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3314FB">
      <w:pPr>
        <w:spacing w:before="480" w:after="480" w:line="288" w:lineRule="auto"/>
        <w:ind w:left="0"/>
      </w:pPr>
      <w:r>
        <w:rPr>
          <w:rFonts w:hint="eastAsia" w:ascii="Arial" w:hAnsi="Arial" w:eastAsia="等线" w:cs="Arial"/>
          <w:b/>
          <w:sz w:val="52"/>
          <w:lang w:val="en-US" w:eastAsia="zh-CN"/>
        </w:rPr>
        <w:t>蒋生平</w:t>
      </w:r>
      <w:r>
        <w:rPr>
          <w:rFonts w:ascii="Arial" w:hAnsi="Arial" w:eastAsia="等线" w:cs="Arial"/>
          <w:b/>
          <w:sz w:val="52"/>
        </w:rPr>
        <w:t>开发工作周报</w:t>
      </w:r>
    </w:p>
    <w:p w14:paraId="54CF65B8">
      <w:pPr>
        <w:spacing w:before="120" w:after="120" w:line="288" w:lineRule="auto"/>
        <w:ind w:left="0"/>
        <w:jc w:val="left"/>
        <w:rPr>
          <w:rFonts w:hint="default" w:eastAsia="等线"/>
          <w:lang w:val="en-US" w:eastAsia="zh-CN"/>
        </w:rPr>
      </w:pPr>
      <w:r>
        <w:rPr>
          <w:rFonts w:ascii="Arial" w:hAnsi="Arial" w:eastAsia="等线" w:cs="Arial"/>
          <w:b/>
          <w:sz w:val="22"/>
        </w:rPr>
        <w:t>报告周期</w:t>
      </w:r>
      <w:r>
        <w:rPr>
          <w:rFonts w:ascii="Arial" w:hAnsi="Arial" w:eastAsia="等线" w:cs="Arial"/>
          <w:sz w:val="22"/>
        </w:rPr>
        <w:t>：2026‑</w:t>
      </w:r>
      <w:r>
        <w:rPr>
          <w:rFonts w:hint="eastAsia" w:ascii="Arial" w:hAnsi="Arial" w:eastAsia="等线" w:cs="Arial"/>
          <w:sz w:val="22"/>
          <w:lang w:val="en-US" w:eastAsia="zh-CN"/>
        </w:rPr>
        <w:t>08</w:t>
      </w:r>
      <w:r>
        <w:rPr>
          <w:rFonts w:ascii="Arial" w:hAnsi="Arial" w:eastAsia="等线" w:cs="Arial"/>
          <w:sz w:val="22"/>
        </w:rPr>
        <w:t>‑</w:t>
      </w:r>
      <w:r>
        <w:rPr>
          <w:rFonts w:hint="eastAsia" w:ascii="Arial" w:hAnsi="Arial" w:eastAsia="等线" w:cs="Arial"/>
          <w:sz w:val="22"/>
          <w:lang w:val="en-US" w:eastAsia="zh-CN"/>
        </w:rPr>
        <w:t>17</w:t>
      </w:r>
      <w:r>
        <w:rPr>
          <w:rFonts w:ascii="Arial" w:hAnsi="Arial" w:eastAsia="等线" w:cs="Arial"/>
          <w:sz w:val="22"/>
        </w:rPr>
        <w:t xml:space="preserve"> 至 2026‑</w:t>
      </w:r>
      <w:r>
        <w:rPr>
          <w:rFonts w:hint="eastAsia" w:ascii="Arial" w:hAnsi="Arial" w:eastAsia="等线" w:cs="Arial"/>
          <w:sz w:val="22"/>
          <w:lang w:val="en-US" w:eastAsia="zh-CN"/>
        </w:rPr>
        <w:t>08</w:t>
      </w:r>
      <w:r>
        <w:rPr>
          <w:rFonts w:ascii="Arial" w:hAnsi="Arial" w:eastAsia="等线" w:cs="Arial"/>
          <w:sz w:val="22"/>
        </w:rPr>
        <w:t>‑</w:t>
      </w:r>
      <w:r>
        <w:rPr>
          <w:rFonts w:hint="eastAsia" w:ascii="Arial" w:hAnsi="Arial" w:eastAsia="等线" w:cs="Arial"/>
          <w:sz w:val="22"/>
          <w:lang w:val="en-US" w:eastAsia="zh-CN"/>
        </w:rPr>
        <w:t>21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汇报人</w:t>
      </w:r>
      <w:r>
        <w:rPr>
          <w:rFonts w:ascii="Arial" w:hAnsi="Arial" w:eastAsia="等线" w:cs="Arial"/>
          <w:sz w:val="22"/>
        </w:rPr>
        <w:t>：</w:t>
      </w:r>
      <w:r>
        <w:rPr>
          <w:rFonts w:hint="eastAsia" w:ascii="Arial" w:hAnsi="Arial" w:eastAsia="等线" w:cs="Arial"/>
          <w:sz w:val="22"/>
          <w:lang w:val="en-US" w:eastAsia="zh-CN"/>
        </w:rPr>
        <w:t>蒋生平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所属模块</w:t>
      </w:r>
      <w:r>
        <w:rPr>
          <w:rFonts w:ascii="Arial" w:hAnsi="Arial" w:eastAsia="等线" w:cs="Arial"/>
          <w:sz w:val="22"/>
        </w:rPr>
        <w:t>：</w:t>
      </w:r>
      <w:r>
        <w:rPr>
          <w:rFonts w:hint="eastAsia" w:ascii="Arial" w:hAnsi="Arial" w:eastAsia="等线" w:cs="Arial"/>
          <w:sz w:val="22"/>
          <w:lang w:val="en-US" w:eastAsia="zh-CN"/>
        </w:rPr>
        <w:t>高光谱算法模块</w:t>
      </w:r>
    </w:p>
    <w:p w14:paraId="5BFA78F2">
      <w:pPr>
        <w:spacing w:before="320" w:after="120" w:line="288" w:lineRule="auto"/>
        <w:ind w:left="0"/>
        <w:jc w:val="left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一、本周已完成工作</w:t>
      </w:r>
      <w:bookmarkEnd w:id="0"/>
    </w:p>
    <w:p w14:paraId="30DB95D9">
      <w:pPr>
        <w:spacing w:before="120" w:after="120" w:line="288" w:lineRule="auto"/>
        <w:ind w:left="0"/>
        <w:jc w:val="left"/>
        <w:rPr>
          <w:rFonts w:hint="default" w:ascii="Arial" w:hAnsi="Arial" w:eastAsia="等线" w:cs="Arial"/>
          <w:b/>
          <w:bCs/>
          <w:sz w:val="22"/>
          <w:lang w:val="en-US" w:eastAsia="zh-CN"/>
        </w:rPr>
      </w:pPr>
      <w:r>
        <w:rPr>
          <w:rFonts w:hint="eastAsia" w:ascii="Arial" w:hAnsi="Arial" w:eastAsia="等线" w:cs="Arial"/>
          <w:b/>
          <w:bCs/>
          <w:sz w:val="22"/>
          <w:lang w:val="en-US" w:eastAsia="zh-CN"/>
        </w:rPr>
        <w:t>1、</w:t>
      </w:r>
      <w:r>
        <w:rPr>
          <w:rFonts w:hint="default" w:ascii="Arial" w:hAnsi="Arial" w:eastAsia="等线" w:cs="Arial"/>
          <w:b/>
          <w:bCs/>
          <w:sz w:val="22"/>
          <w:lang w:val="en-US" w:eastAsia="zh-CN"/>
        </w:rPr>
        <w:t>完成算法收集</w:t>
      </w:r>
    </w:p>
    <w:p w14:paraId="23D6FF14">
      <w:pPr>
        <w:spacing w:before="120" w:after="120" w:line="288" w:lineRule="auto"/>
        <w:ind w:left="0"/>
        <w:jc w:val="left"/>
        <w:rPr>
          <w:rFonts w:hint="default" w:ascii="Arial" w:hAnsi="Arial" w:eastAsia="等线" w:cs="Arial"/>
          <w:sz w:val="22"/>
          <w:lang w:val="en-US" w:eastAsia="zh-CN"/>
        </w:rPr>
      </w:pPr>
      <w:r>
        <w:rPr>
          <w:rFonts w:hint="default" w:ascii="Arial" w:hAnsi="Arial" w:eastAsia="等线" w:cs="Arial"/>
          <w:sz w:val="22"/>
          <w:lang w:val="en-US" w:eastAsia="zh-CN"/>
        </w:rPr>
        <w:t>按采集到地块结论梳理 45 项高光谱算法，对齐 L0–L4 分层（DN → 辐亮度 → 反射率 Cube → 指数/识别 → 地块汇总）。</w:t>
      </w:r>
    </w:p>
    <w:p w14:paraId="0AC71614">
      <w:pPr>
        <w:spacing w:before="120" w:after="120" w:line="288" w:lineRule="auto"/>
        <w:ind w:left="0"/>
        <w:jc w:val="left"/>
        <w:rPr>
          <w:rFonts w:hint="default" w:ascii="Arial" w:hAnsi="Arial" w:eastAsia="等线" w:cs="Arial"/>
          <w:b/>
          <w:bCs/>
          <w:sz w:val="22"/>
          <w:lang w:val="en-US" w:eastAsia="zh-CN"/>
        </w:rPr>
      </w:pPr>
      <w:r>
        <w:rPr>
          <w:rFonts w:hint="eastAsia" w:ascii="Arial" w:hAnsi="Arial" w:eastAsia="等线" w:cs="Arial"/>
          <w:b/>
          <w:bCs/>
          <w:sz w:val="22"/>
          <w:lang w:val="en-US" w:eastAsia="zh-CN"/>
        </w:rPr>
        <w:t>2、</w:t>
      </w:r>
      <w:r>
        <w:rPr>
          <w:rFonts w:hint="default" w:ascii="Arial" w:hAnsi="Arial" w:eastAsia="等线" w:cs="Arial"/>
          <w:b/>
          <w:bCs/>
          <w:sz w:val="22"/>
          <w:lang w:val="en-US" w:eastAsia="zh-CN"/>
        </w:rPr>
        <w:t>完成算法模块服务开发</w:t>
      </w:r>
    </w:p>
    <w:p w14:paraId="219CD4A4">
      <w:pPr>
        <w:spacing w:before="120" w:after="120" w:line="288" w:lineRule="auto"/>
        <w:ind w:left="0"/>
        <w:jc w:val="left"/>
        <w:rPr>
          <w:rFonts w:hint="default" w:ascii="Arial" w:hAnsi="Arial" w:eastAsia="等线" w:cs="Arial"/>
          <w:sz w:val="22"/>
          <w:lang w:val="en-US" w:eastAsia="zh-CN"/>
        </w:rPr>
      </w:pPr>
      <w:r>
        <w:rPr>
          <w:rFonts w:hint="default" w:ascii="Arial" w:hAnsi="Arial" w:eastAsia="等线" w:cs="Arial"/>
          <w:sz w:val="22"/>
          <w:lang w:val="en-US" w:eastAsia="zh-CN"/>
        </w:rPr>
        <w:t>45 项统一 HTTP 入口可运行；配套可视化控制台，支持 testdata 演示与文献来源查看。</w:t>
      </w:r>
    </w:p>
    <w:p w14:paraId="785E7B63">
      <w:pPr>
        <w:spacing w:before="120" w:after="120" w:line="288" w:lineRule="auto"/>
        <w:ind w:left="0"/>
        <w:jc w:val="left"/>
        <w:rPr>
          <w:rFonts w:hint="default" w:ascii="Arial" w:hAnsi="Arial" w:eastAsia="等线" w:cs="Arial"/>
          <w:b/>
          <w:bCs/>
          <w:sz w:val="22"/>
          <w:lang w:val="en-US" w:eastAsia="zh-CN"/>
        </w:rPr>
      </w:pPr>
      <w:r>
        <w:rPr>
          <w:rFonts w:hint="eastAsia" w:ascii="Arial" w:hAnsi="Arial" w:eastAsia="等线" w:cs="Arial"/>
          <w:b/>
          <w:bCs/>
          <w:sz w:val="22"/>
          <w:lang w:val="en-US" w:eastAsia="zh-CN"/>
        </w:rPr>
        <w:t>3、</w:t>
      </w:r>
      <w:r>
        <w:rPr>
          <w:rFonts w:hint="default" w:ascii="Arial" w:hAnsi="Arial" w:eastAsia="等线" w:cs="Arial"/>
          <w:b/>
          <w:bCs/>
          <w:sz w:val="22"/>
          <w:lang w:val="en-US" w:eastAsia="zh-CN"/>
        </w:rPr>
        <w:t>完成算法文档编写</w:t>
      </w:r>
    </w:p>
    <w:p w14:paraId="66D4259A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hint="default" w:ascii="Arial" w:hAnsi="Arial" w:eastAsia="等线" w:cs="Arial"/>
          <w:sz w:val="22"/>
          <w:lang w:val="en-US" w:eastAsia="zh-CN"/>
        </w:rPr>
        <w:t>完成算法清单、层级说明及控制台菜单命名统一</w:t>
      </w:r>
    </w:p>
    <w:p w14:paraId="191223E6">
      <w:pPr>
        <w:numPr>
          <w:ilvl w:val="0"/>
          <w:numId w:val="1"/>
        </w:numPr>
        <w:spacing w:before="320" w:after="120" w:line="288" w:lineRule="auto"/>
        <w:ind w:left="0"/>
        <w:jc w:val="left"/>
        <w:outlineLvl w:val="1"/>
        <w:rPr>
          <w:rFonts w:ascii="Arial" w:hAnsi="Arial" w:eastAsia="等线" w:cs="Arial"/>
          <w:b/>
          <w:sz w:val="32"/>
        </w:rPr>
      </w:pPr>
      <w:bookmarkStart w:id="1" w:name="heading_1"/>
      <w:r>
        <w:rPr>
          <w:rFonts w:ascii="Arial" w:hAnsi="Arial" w:eastAsia="等线" w:cs="Arial"/>
          <w:b/>
          <w:sz w:val="32"/>
        </w:rPr>
        <w:t>后续重点推进工作</w:t>
      </w:r>
      <w:bookmarkEnd w:id="1"/>
    </w:p>
    <w:p w14:paraId="4F7688AF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b/>
          <w:bCs/>
          <w:sz w:val="22"/>
          <w:lang w:val="en-US" w:eastAsia="zh-CN"/>
        </w:rPr>
      </w:pPr>
      <w:r>
        <w:rPr>
          <w:rFonts w:hint="eastAsia" w:ascii="Arial" w:hAnsi="Arial" w:eastAsia="等线" w:cs="Arial"/>
          <w:b/>
          <w:bCs/>
          <w:sz w:val="22"/>
          <w:lang w:val="en-US" w:eastAsia="zh-CN"/>
        </w:rPr>
        <w:t>1、推进</w:t>
      </w:r>
      <w:bookmarkStart w:id="2" w:name="_GoBack"/>
      <w:bookmarkEnd w:id="2"/>
      <w:r>
        <w:rPr>
          <w:rFonts w:hint="eastAsia" w:ascii="Arial" w:hAnsi="Arial" w:eastAsia="等线" w:cs="Arial"/>
          <w:b/>
          <w:bCs/>
          <w:sz w:val="22"/>
          <w:lang w:val="en-US" w:eastAsia="zh-CN"/>
        </w:rPr>
        <w:t xml:space="preserve"> L3 算法调试及验证</w:t>
      </w:r>
    </w:p>
    <w:p w14:paraId="6A423F97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  <w:lang w:val="en-US" w:eastAsia="zh-CN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>重点核植被指数、分类与探测类接口的输入输出和结果是否合理。</w:t>
      </w:r>
    </w:p>
    <w:p w14:paraId="4C213A3C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b/>
          <w:bCs/>
          <w:sz w:val="22"/>
          <w:lang w:val="en-US" w:eastAsia="zh-CN"/>
        </w:rPr>
      </w:pPr>
      <w:r>
        <w:rPr>
          <w:rFonts w:hint="eastAsia" w:ascii="Arial" w:hAnsi="Arial" w:eastAsia="等线" w:cs="Arial"/>
          <w:b/>
          <w:bCs/>
          <w:sz w:val="22"/>
          <w:lang w:val="en-US" w:eastAsia="zh-CN"/>
        </w:rPr>
        <w:t>2、继续完成算法收集</w:t>
      </w:r>
    </w:p>
    <w:p w14:paraId="47F5FC36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  <w:lang w:val="en-US" w:eastAsia="zh-CN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>对照外部常用指数等产品清单，补齐尚未覆盖的算法/指数。</w:t>
      </w:r>
    </w:p>
    <w:p w14:paraId="0C8D60F7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b/>
          <w:bCs/>
          <w:sz w:val="22"/>
          <w:lang w:val="en-US" w:eastAsia="zh-CN"/>
        </w:rPr>
      </w:pPr>
      <w:r>
        <w:rPr>
          <w:rFonts w:hint="eastAsia" w:ascii="Arial" w:hAnsi="Arial" w:eastAsia="等线" w:cs="Arial"/>
          <w:b/>
          <w:bCs/>
          <w:sz w:val="22"/>
          <w:lang w:val="en-US" w:eastAsia="zh-CN"/>
        </w:rPr>
        <w:t>3、算法与产品进行分析</w:t>
      </w:r>
    </w:p>
    <w:p w14:paraId="2000A728">
      <w:pPr>
        <w:spacing w:before="120" w:after="120" w:line="288" w:lineRule="auto"/>
        <w:ind w:left="0"/>
        <w:jc w:val="left"/>
        <w:rPr>
          <w:rFonts w:hint="default" w:ascii="Arial" w:hAnsi="Arial" w:eastAsia="等线" w:cs="Arial"/>
          <w:sz w:val="22"/>
          <w:lang w:val="en-US" w:eastAsia="zh-CN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>梳理已实现能力与产品功能的对应关系，明确哪些可直接支撑产品。</w:t>
      </w:r>
    </w:p>
    <w:p w14:paraId="7517C2F0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3349FCA8">
      <w:pPr>
        <w:spacing w:before="120" w:after="120" w:line="288" w:lineRule="auto"/>
        <w:ind w:left="0"/>
        <w:jc w:val="left"/>
      </w:pP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AEF" w:usb1="C0007841" w:usb2="00000009" w:usb3="00000000" w:csb0="400001FF" w:csb1="FFFF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STFangsong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DejaVu Sans">
    <w:altName w:val="苹方-简"/>
    <w:panose1 w:val="02020603050405020304"/>
    <w:charset w:val="00"/>
    <w:family w:val="roman"/>
    <w:pitch w:val="default"/>
    <w:sig w:usb0="00000000" w:usb1="00000000" w:usb2="00000008" w:usb3="00000000" w:csb0="000001F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STSong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98216F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94B67B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5FE87"/>
    <w:multiLevelType w:val="singleLevel"/>
    <w:tmpl w:val="FFF5FE87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doNotDisplayPageBoundaries w:val="1"/>
  <w:documentProtection w:enforcement="0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F34F25"/>
    <w:rsid w:val="1FFB407E"/>
    <w:rsid w:val="2FBF9F3C"/>
    <w:rsid w:val="3677F511"/>
    <w:rsid w:val="49F7DF1A"/>
    <w:rsid w:val="4EFD0CA9"/>
    <w:rsid w:val="56FE61F5"/>
    <w:rsid w:val="5BF84184"/>
    <w:rsid w:val="5DFF48C3"/>
    <w:rsid w:val="5F7FBEF3"/>
    <w:rsid w:val="67F39BC8"/>
    <w:rsid w:val="6D9FF74B"/>
    <w:rsid w:val="6F7DEB3A"/>
    <w:rsid w:val="754E63DD"/>
    <w:rsid w:val="798FDA94"/>
    <w:rsid w:val="7BDFED3C"/>
    <w:rsid w:val="7BF54FAE"/>
    <w:rsid w:val="7D7EE0E9"/>
    <w:rsid w:val="7EF71403"/>
    <w:rsid w:val="7F7F3DD9"/>
    <w:rsid w:val="7F9603AB"/>
    <w:rsid w:val="7FBF31FB"/>
    <w:rsid w:val="7FF14D83"/>
    <w:rsid w:val="8EEE404D"/>
    <w:rsid w:val="9AF72D24"/>
    <w:rsid w:val="A7CC51A3"/>
    <w:rsid w:val="B9ED5A17"/>
    <w:rsid w:val="BE4A4176"/>
    <w:rsid w:val="CE5F4844"/>
    <w:rsid w:val="E8EF1B24"/>
    <w:rsid w:val="ED6792F8"/>
    <w:rsid w:val="EF858174"/>
    <w:rsid w:val="F4FF1BA8"/>
    <w:rsid w:val="F5BFA84A"/>
    <w:rsid w:val="F67B5BD0"/>
    <w:rsid w:val="F6923F7E"/>
    <w:rsid w:val="F6BF947E"/>
    <w:rsid w:val="F9C3D318"/>
    <w:rsid w:val="FD3D1F73"/>
    <w:rsid w:val="FDFBC50D"/>
    <w:rsid w:val="FEF9549C"/>
    <w:rsid w:val="FF675A6D"/>
    <w:rsid w:val="FFBFB53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17</TotalTime>
  <ScaleCrop>false</ScaleCrop>
  <LinksUpToDate>false</LinksUpToDate>
  <Application>WPS Office_12.1.26035.26035_F1E327BC-269C-435d-A152-05C5408002CA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2026-08-25T13:38:00Z</dcterms:created>
  <dc:creator>Apache POI</dc:creator>
  <cp:lastModifiedBy>蒋生平</cp:lastModifiedBy>
  <dcterms:modified xsi:type="dcterms:W3CDTF">2026-08-24T22:43:52Z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{"Label":"1","ContentProducer":"001191110102MACQD9K64010000","ProduceID":"7677592057960287507","ReservedCode1":"","ContentPropagator":"","PropagateID":"","ReservedCode2":""}</vt:lpwstr>
  </property>
  <property fmtid="{D5CDD505-2E9C-101B-9397-08002B2CF9AE}" pid="3" name="KSOProductBuildVer">
    <vt:lpwstr>2052-12.1.26035.26035</vt:lpwstr>
  </property>
  <property fmtid="{D5CDD505-2E9C-101B-9397-08002B2CF9AE}" pid="4" name="ICV">
    <vt:lpwstr>D709DE9DD9F0DD34CB4D8C6A60620767_43</vt:lpwstr>
  </property>
</Properties>
</file>