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830B56"/>
    <w:p w14:paraId="4A56EFB5">
      <w:pPr>
        <w:pStyle w:val="10"/>
        <w:ind w:firstLine="0" w:firstLineChars="0"/>
        <w:rPr>
          <w:sz w:val="28"/>
          <w:szCs w:val="28"/>
        </w:rPr>
      </w:pPr>
      <w:r>
        <w:rPr>
          <w:rFonts w:hint="eastAsia"/>
          <w:sz w:val="28"/>
          <w:szCs w:val="28"/>
        </w:rPr>
        <w:t>香港</w:t>
      </w:r>
      <w:r>
        <w:rPr>
          <w:rFonts w:hint="eastAsia"/>
          <w:sz w:val="28"/>
          <w:szCs w:val="28"/>
          <w:lang w:val="en-US" w:eastAsia="zh-CN"/>
        </w:rPr>
        <w:t>创新科技及工业局</w:t>
      </w:r>
      <w:r>
        <w:rPr>
          <w:rFonts w:hint="eastAsia"/>
          <w:sz w:val="28"/>
          <w:szCs w:val="28"/>
        </w:rPr>
        <w:t xml:space="preserve">合作交流会 </w:t>
      </w:r>
      <w:r>
        <w:rPr>
          <w:sz w:val="28"/>
          <w:szCs w:val="28"/>
        </w:rPr>
        <w:t>会议纪要</w:t>
      </w:r>
    </w:p>
    <w:p w14:paraId="0436CA33">
      <w:pPr>
        <w:jc w:val="center"/>
        <w:rPr>
          <w:rFonts w:ascii="黑体" w:hAnsi="宋体" w:eastAsia="黑体"/>
          <w:b/>
          <w:sz w:val="10"/>
          <w:szCs w:val="10"/>
        </w:rPr>
      </w:pPr>
    </w:p>
    <w:tbl>
      <w:tblPr>
        <w:tblStyle w:val="7"/>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28"/>
        <w:gridCol w:w="2650"/>
        <w:gridCol w:w="2658"/>
        <w:gridCol w:w="3250"/>
      </w:tblGrid>
      <w:tr w14:paraId="1CDEA0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44F7B907">
            <w:pPr>
              <w:pStyle w:val="11"/>
              <w:snapToGrid w:val="0"/>
            </w:pPr>
            <w:r>
              <w:rPr>
                <w:rFonts w:hint="eastAsia"/>
              </w:rPr>
              <w:t>合作方</w:t>
            </w:r>
          </w:p>
        </w:tc>
        <w:tc>
          <w:tcPr>
            <w:tcW w:w="8369" w:type="dxa"/>
            <w:vAlign w:val="center"/>
          </w:tcPr>
          <w:p w14:paraId="6E822BB7">
            <w:pPr>
              <w:pStyle w:val="10"/>
              <w:snapToGrid w:val="0"/>
              <w:ind w:firstLine="0" w:firstLineChars="0"/>
              <w:jc w:val="both"/>
              <w:rPr>
                <w:rFonts w:asciiTheme="minorHAnsi" w:hAnsiTheme="minorHAnsi" w:eastAsiaTheme="majorEastAsia"/>
                <w:b w:val="0"/>
                <w:sz w:val="21"/>
                <w:szCs w:val="21"/>
              </w:rPr>
            </w:pPr>
          </w:p>
        </w:tc>
        <w:tc>
          <w:tcPr>
            <w:tcW w:w="8369" w:type="dxa"/>
            <w:shd w:val="clear" w:color="auto" w:fill="C0C0C0"/>
            <w:vAlign w:val="center"/>
          </w:tcPr>
          <w:p w14:paraId="12D3F415">
            <w:pPr>
              <w:pStyle w:val="11"/>
              <w:snapToGrid w:val="0"/>
            </w:pPr>
            <w:r>
              <w:t>日期</w:t>
            </w:r>
          </w:p>
        </w:tc>
        <w:tc>
          <w:tcPr>
            <w:tcW w:w="8369" w:type="dxa"/>
            <w:vAlign w:val="center"/>
          </w:tcPr>
          <w:p w14:paraId="684792FB">
            <w:pPr>
              <w:pStyle w:val="13"/>
              <w:snapToGrid w:val="0"/>
              <w:jc w:val="both"/>
              <w:rPr>
                <w:rFonts w:asciiTheme="minorHAnsi" w:hAnsiTheme="minorHAnsi" w:eastAsiaTheme="majorEastAsia"/>
                <w:b w:val="0"/>
                <w:szCs w:val="21"/>
              </w:rPr>
            </w:pPr>
            <w:r>
              <w:rPr>
                <w:rFonts w:asciiTheme="minorHAnsi" w:hAnsiTheme="minorHAnsi" w:eastAsiaTheme="majorEastAsia"/>
                <w:b w:val="0"/>
                <w:szCs w:val="21"/>
              </w:rPr>
              <w:t>202</w:t>
            </w:r>
            <w:r>
              <w:rPr>
                <w:rFonts w:hint="eastAsia" w:asciiTheme="minorHAnsi" w:hAnsiTheme="minorHAnsi" w:eastAsiaTheme="majorEastAsia"/>
                <w:b w:val="0"/>
                <w:szCs w:val="21"/>
              </w:rPr>
              <w:t>6</w:t>
            </w:r>
            <w:r>
              <w:rPr>
                <w:rFonts w:asciiTheme="minorHAnsi" w:hAnsiTheme="minorHAnsi" w:eastAsiaTheme="majorEastAsia"/>
                <w:b w:val="0"/>
                <w:szCs w:val="21"/>
              </w:rPr>
              <w:t>年</w:t>
            </w:r>
            <w:r>
              <w:rPr>
                <w:rFonts w:hint="eastAsia" w:asciiTheme="minorHAnsi" w:hAnsiTheme="minorHAnsi" w:eastAsiaTheme="majorEastAsia"/>
                <w:b w:val="0"/>
                <w:szCs w:val="21"/>
                <w:lang w:val="en-US" w:eastAsia="zh-CN"/>
              </w:rPr>
              <w:t>7</w:t>
            </w:r>
            <w:r>
              <w:rPr>
                <w:rFonts w:asciiTheme="minorHAnsi" w:hAnsiTheme="minorHAnsi" w:eastAsiaTheme="majorEastAsia"/>
                <w:b w:val="0"/>
                <w:szCs w:val="21"/>
              </w:rPr>
              <w:t>月</w:t>
            </w:r>
            <w:r>
              <w:rPr>
                <w:rFonts w:hint="eastAsia" w:asciiTheme="minorHAnsi" w:hAnsiTheme="minorHAnsi" w:eastAsiaTheme="majorEastAsia"/>
                <w:b w:val="0"/>
                <w:szCs w:val="21"/>
              </w:rPr>
              <w:t>1</w:t>
            </w:r>
            <w:r>
              <w:rPr>
                <w:rFonts w:hint="eastAsia" w:asciiTheme="minorHAnsi" w:hAnsiTheme="minorHAnsi" w:eastAsiaTheme="majorEastAsia"/>
                <w:b w:val="0"/>
                <w:szCs w:val="21"/>
                <w:lang w:val="en-US" w:eastAsia="zh-CN"/>
              </w:rPr>
              <w:t>2</w:t>
            </w:r>
            <w:r>
              <w:rPr>
                <w:rFonts w:asciiTheme="minorHAnsi" w:hAnsiTheme="minorHAnsi" w:eastAsiaTheme="majorEastAsia"/>
                <w:b w:val="0"/>
                <w:szCs w:val="21"/>
              </w:rPr>
              <w:t>日</w:t>
            </w:r>
          </w:p>
        </w:tc>
      </w:tr>
      <w:tr w14:paraId="57265C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23C87E26">
            <w:pPr>
              <w:pStyle w:val="11"/>
              <w:snapToGrid w:val="0"/>
            </w:pPr>
            <w:r>
              <w:t>地点</w:t>
            </w:r>
          </w:p>
        </w:tc>
        <w:tc>
          <w:tcPr>
            <w:tcW w:w="8369" w:type="dxa"/>
            <w:vAlign w:val="center"/>
          </w:tcPr>
          <w:p w14:paraId="5D9C4055">
            <w:pPr>
              <w:snapToGrid w:val="0"/>
              <w:rPr>
                <w:rFonts w:hint="eastAsia" w:asciiTheme="minorHAnsi" w:hAnsiTheme="minorHAnsi" w:eastAsiaTheme="majorEastAsia"/>
                <w:szCs w:val="21"/>
                <w:lang w:val="en-US" w:eastAsia="zh-CN"/>
              </w:rPr>
            </w:pPr>
            <w:r>
              <w:rPr>
                <w:rFonts w:hint="eastAsia" w:asciiTheme="minorHAnsi" w:hAnsiTheme="minorHAnsi" w:eastAsiaTheme="majorEastAsia"/>
                <w:szCs w:val="21"/>
                <w:lang w:val="en-US" w:eastAsia="zh-CN"/>
              </w:rPr>
              <w:t>线上</w:t>
            </w:r>
          </w:p>
        </w:tc>
        <w:tc>
          <w:tcPr>
            <w:tcW w:w="8369" w:type="dxa"/>
            <w:shd w:val="clear" w:color="auto" w:fill="C0C0C0"/>
            <w:vAlign w:val="center"/>
          </w:tcPr>
          <w:p w14:paraId="4E5CF67D">
            <w:pPr>
              <w:pStyle w:val="11"/>
              <w:snapToGrid w:val="0"/>
            </w:pPr>
            <w:r>
              <w:t>时间</w:t>
            </w:r>
          </w:p>
        </w:tc>
        <w:tc>
          <w:tcPr>
            <w:tcW w:w="8369" w:type="dxa"/>
            <w:vAlign w:val="center"/>
          </w:tcPr>
          <w:p w14:paraId="5F68EBAE">
            <w:pPr>
              <w:pStyle w:val="14"/>
              <w:snapToGrid w:val="0"/>
              <w:jc w:val="both"/>
              <w:rPr>
                <w:rFonts w:asciiTheme="minorHAnsi" w:hAnsiTheme="minorHAnsi" w:eastAsiaTheme="majorEastAsia"/>
                <w:b w:val="0"/>
                <w:bCs/>
                <w:szCs w:val="21"/>
              </w:rPr>
            </w:pPr>
            <w:r>
              <w:rPr>
                <w:rFonts w:hint="eastAsia" w:asciiTheme="minorHAnsi" w:hAnsiTheme="minorHAnsi" w:eastAsiaTheme="majorEastAsia"/>
                <w:b w:val="0"/>
                <w:bCs/>
                <w:szCs w:val="21"/>
              </w:rPr>
              <w:t>1</w:t>
            </w:r>
            <w:r>
              <w:rPr>
                <w:rFonts w:hint="eastAsia" w:asciiTheme="minorHAnsi" w:hAnsiTheme="minorHAnsi" w:eastAsiaTheme="majorEastAsia"/>
                <w:b w:val="0"/>
                <w:bCs/>
                <w:szCs w:val="21"/>
                <w:lang w:val="en-US" w:eastAsia="zh-CN"/>
              </w:rPr>
              <w:t>0</w:t>
            </w:r>
            <w:r>
              <w:rPr>
                <w:rFonts w:hint="eastAsia" w:asciiTheme="minorHAnsi" w:hAnsiTheme="minorHAnsi" w:eastAsiaTheme="majorEastAsia"/>
                <w:b w:val="0"/>
                <w:bCs/>
                <w:szCs w:val="21"/>
              </w:rPr>
              <w:t>:</w:t>
            </w:r>
            <w:r>
              <w:rPr>
                <w:rFonts w:hint="eastAsia" w:asciiTheme="minorHAnsi" w:hAnsiTheme="minorHAnsi" w:eastAsiaTheme="majorEastAsia"/>
                <w:b w:val="0"/>
                <w:bCs/>
                <w:szCs w:val="21"/>
                <w:lang w:val="en-US" w:eastAsia="zh-CN"/>
              </w:rPr>
              <w:t>0</w:t>
            </w:r>
            <w:r>
              <w:rPr>
                <w:rFonts w:hint="eastAsia" w:asciiTheme="minorHAnsi" w:hAnsiTheme="minorHAnsi" w:eastAsiaTheme="majorEastAsia"/>
                <w:b w:val="0"/>
                <w:bCs/>
                <w:szCs w:val="21"/>
              </w:rPr>
              <w:t>0-</w:t>
            </w:r>
            <w:r>
              <w:rPr>
                <w:rFonts w:hint="eastAsia" w:asciiTheme="minorHAnsi" w:hAnsiTheme="minorHAnsi" w:eastAsiaTheme="majorEastAsia"/>
                <w:b w:val="0"/>
                <w:bCs/>
                <w:szCs w:val="21"/>
                <w:lang w:val="en-US" w:eastAsia="zh-CN"/>
              </w:rPr>
              <w:t>12</w:t>
            </w:r>
            <w:r>
              <w:rPr>
                <w:rFonts w:hint="eastAsia" w:asciiTheme="minorHAnsi" w:hAnsiTheme="minorHAnsi" w:eastAsiaTheme="majorEastAsia"/>
                <w:b w:val="0"/>
                <w:bCs/>
                <w:szCs w:val="21"/>
              </w:rPr>
              <w:t>:</w:t>
            </w:r>
            <w:r>
              <w:rPr>
                <w:rFonts w:hint="eastAsia" w:asciiTheme="minorHAnsi" w:hAnsiTheme="minorHAnsi" w:eastAsiaTheme="majorEastAsia"/>
                <w:b w:val="0"/>
                <w:bCs/>
                <w:szCs w:val="21"/>
                <w:lang w:val="en-US" w:eastAsia="zh-CN"/>
              </w:rPr>
              <w:t>3</w:t>
            </w:r>
            <w:r>
              <w:rPr>
                <w:rFonts w:hint="eastAsia" w:asciiTheme="minorHAnsi" w:hAnsiTheme="minorHAnsi" w:eastAsiaTheme="majorEastAsia"/>
                <w:b w:val="0"/>
                <w:bCs/>
                <w:szCs w:val="21"/>
              </w:rPr>
              <w:t>0</w:t>
            </w:r>
          </w:p>
        </w:tc>
      </w:tr>
      <w:tr w14:paraId="020D63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75CA032A">
            <w:pPr>
              <w:pStyle w:val="11"/>
              <w:snapToGrid w:val="0"/>
            </w:pPr>
            <w:r>
              <w:t>主持</w:t>
            </w:r>
          </w:p>
        </w:tc>
        <w:tc>
          <w:tcPr>
            <w:tcW w:w="8369" w:type="dxa"/>
            <w:vAlign w:val="center"/>
          </w:tcPr>
          <w:p w14:paraId="61E8575E">
            <w:pPr>
              <w:snapToGrid w:val="0"/>
              <w:rPr>
                <w:rFonts w:hint="default" w:asciiTheme="minorHAnsi" w:hAnsiTheme="minorHAnsi" w:eastAsiaTheme="majorEastAsia"/>
                <w:szCs w:val="21"/>
                <w:lang w:val="en-US" w:eastAsia="zh-CN"/>
              </w:rPr>
            </w:pPr>
            <w:r>
              <w:rPr>
                <w:rFonts w:hint="eastAsia" w:asciiTheme="minorHAnsi" w:hAnsiTheme="minorHAnsi" w:eastAsiaTheme="majorEastAsia"/>
                <w:szCs w:val="21"/>
                <w:lang w:val="en-US" w:eastAsia="zh-CN"/>
              </w:rPr>
              <w:t>杨旭青</w:t>
            </w:r>
          </w:p>
        </w:tc>
        <w:tc>
          <w:tcPr>
            <w:tcW w:w="8369" w:type="dxa"/>
            <w:shd w:val="clear" w:color="auto" w:fill="C0C0C0"/>
            <w:vAlign w:val="center"/>
          </w:tcPr>
          <w:p w14:paraId="296CADC2">
            <w:pPr>
              <w:snapToGrid w:val="0"/>
              <w:jc w:val="center"/>
              <w:rPr>
                <w:rFonts w:asciiTheme="minorHAnsi" w:hAnsiTheme="minorHAnsi" w:eastAsiaTheme="majorEastAsia"/>
                <w:szCs w:val="21"/>
              </w:rPr>
            </w:pPr>
            <w:r>
              <w:rPr>
                <w:rFonts w:asciiTheme="minorHAnsi" w:hAnsiTheme="minorHAnsi" w:eastAsiaTheme="majorEastAsia"/>
                <w:b/>
                <w:szCs w:val="21"/>
              </w:rPr>
              <w:t>记录</w:t>
            </w:r>
          </w:p>
        </w:tc>
        <w:tc>
          <w:tcPr>
            <w:tcW w:w="8369" w:type="dxa"/>
            <w:vAlign w:val="center"/>
          </w:tcPr>
          <w:p w14:paraId="4952A193">
            <w:pPr>
              <w:snapToGrid w:val="0"/>
              <w:rPr>
                <w:rFonts w:asciiTheme="minorHAnsi" w:hAnsiTheme="minorHAnsi" w:eastAsiaTheme="majorEastAsia"/>
                <w:szCs w:val="21"/>
              </w:rPr>
            </w:pPr>
            <w:r>
              <w:rPr>
                <w:rFonts w:hint="eastAsia" w:asciiTheme="minorHAnsi" w:hAnsiTheme="minorHAnsi" w:eastAsiaTheme="majorEastAsia"/>
                <w:szCs w:val="21"/>
              </w:rPr>
              <w:t>谢雨孝</w:t>
            </w:r>
          </w:p>
        </w:tc>
      </w:tr>
      <w:tr w14:paraId="226D55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56B9F8A0">
            <w:pPr>
              <w:pStyle w:val="12"/>
              <w:snapToGrid w:val="0"/>
              <w:jc w:val="center"/>
              <w:rPr>
                <w:rFonts w:asciiTheme="minorHAnsi" w:hAnsiTheme="minorHAnsi" w:eastAsiaTheme="majorEastAsia"/>
                <w:szCs w:val="21"/>
              </w:rPr>
            </w:pPr>
            <w:r>
              <w:rPr>
                <w:rFonts w:asciiTheme="minorHAnsi" w:hAnsiTheme="minorHAnsi" w:eastAsiaTheme="majorEastAsia"/>
                <w:szCs w:val="21"/>
              </w:rPr>
              <w:t>参会人员</w:t>
            </w:r>
          </w:p>
        </w:tc>
        <w:tc>
          <w:tcPr>
            <w:tcW w:w="8369" w:type="dxa"/>
            <w:gridSpan w:val="3"/>
            <w:vAlign w:val="center"/>
          </w:tcPr>
          <w:p w14:paraId="0D160FEB">
            <w:pPr>
              <w:snapToGrid w:val="0"/>
              <w:rPr>
                <w:rFonts w:asciiTheme="minorHAnsi" w:hAnsiTheme="minorHAnsi" w:eastAsiaTheme="majorEastAsia"/>
                <w:szCs w:val="21"/>
              </w:rPr>
            </w:pPr>
            <w:r>
              <w:rPr>
                <w:rFonts w:hint="eastAsia"/>
              </w:rPr>
              <w:t>杨旭青、刘子轩、谢雨孝（Ed）、杨沛、汤半山等7人</w:t>
            </w:r>
          </w:p>
        </w:tc>
      </w:tr>
      <w:tr w14:paraId="1F2FB3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57884D15">
            <w:pPr>
              <w:pStyle w:val="11"/>
              <w:snapToGrid w:val="0"/>
            </w:pPr>
            <w:r>
              <w:t>会议</w:t>
            </w:r>
            <w:r>
              <w:rPr>
                <w:rFonts w:hint="eastAsia"/>
              </w:rPr>
              <w:t>主题</w:t>
            </w:r>
          </w:p>
        </w:tc>
        <w:tc>
          <w:tcPr>
            <w:tcW w:w="8369" w:type="dxa"/>
            <w:gridSpan w:val="3"/>
            <w:vAlign w:val="center"/>
          </w:tcPr>
          <w:p w14:paraId="230202BC">
            <w:pPr>
              <w:snapToGrid w:val="0"/>
              <w:rPr>
                <w:rFonts w:hint="default" w:eastAsia="宋体" w:asciiTheme="minorHAnsi" w:hAnsiTheme="minorHAnsi"/>
                <w:szCs w:val="21"/>
                <w:lang w:val="en-US" w:eastAsia="zh-CN"/>
              </w:rPr>
            </w:pPr>
            <w:r>
              <w:rPr>
                <w:rFonts w:hint="eastAsia"/>
              </w:rPr>
              <w:t>本次会议旨在对齐中达瑞和高光谱项目目标，明确了通过AI大模型与Agent技术实现产品标准化与营收倍增的路径</w:t>
            </w:r>
            <w:r>
              <w:rPr>
                <w:rFonts w:hint="eastAsia"/>
                <w:lang w:eastAsia="zh-CN"/>
              </w:rPr>
              <w:t>。</w:t>
            </w:r>
          </w:p>
        </w:tc>
      </w:tr>
      <w:tr w14:paraId="616454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0407E61E">
            <w:pPr>
              <w:pStyle w:val="11"/>
              <w:snapToGrid w:val="0"/>
            </w:pPr>
            <w:r>
              <w:rPr>
                <w:rFonts w:hint="eastAsia"/>
              </w:rPr>
              <w:t>会议议题</w:t>
            </w:r>
          </w:p>
        </w:tc>
        <w:tc>
          <w:tcPr>
            <w:tcW w:w="8369" w:type="dxa"/>
            <w:gridSpan w:val="3"/>
            <w:vAlign w:val="center"/>
          </w:tcPr>
          <w:p w14:paraId="00C87C20">
            <w:pPr>
              <w:rPr>
                <w:rFonts w:hint="eastAsia"/>
              </w:rPr>
            </w:pPr>
            <w:r>
              <w:rPr>
                <w:rFonts w:hint="eastAsia"/>
              </w:rPr>
              <w:t xml:space="preserve"> 一、项目背景与战略目标设定</w:t>
            </w:r>
          </w:p>
          <w:p w14:paraId="5C9B2896">
            <w:pPr>
              <w:rPr>
                <w:rFonts w:hint="eastAsia"/>
              </w:rPr>
            </w:pPr>
          </w:p>
          <w:p w14:paraId="15BB5EE6">
            <w:pPr>
              <w:rPr>
                <w:rFonts w:hint="eastAsia"/>
              </w:rPr>
            </w:pPr>
            <w:r>
              <w:rPr>
                <w:rFonts w:hint="eastAsia"/>
              </w:rPr>
              <w:t>中达瑞和创立于2005年，是集液晶分光芯片研制、光谱产品开发、解决方案实现、行业应用服务为一体的国家高新技术企业，设有深圳和美国硅谷两大研发实验室。公司自2009年开始高光谱技术预研，是国内唯一一家同时掌握凝采式、推扫式、光计算重构三种高光谱成像技术路线的产品公司和端到端解决方案提供商。针对公司业务现状，会议确立了明确的转型方向与业绩指标：</w:t>
            </w:r>
          </w:p>
          <w:p w14:paraId="218F0235">
            <w:pPr>
              <w:rPr>
                <w:rFonts w:hint="eastAsia"/>
              </w:rPr>
            </w:pPr>
          </w:p>
          <w:p w14:paraId="72A92322">
            <w:pPr>
              <w:rPr>
                <w:rFonts w:hint="eastAsia"/>
              </w:rPr>
            </w:pPr>
            <w:r>
              <w:rPr>
                <w:rFonts w:hint="eastAsia"/>
              </w:rPr>
              <w:t>1. 市场对标与营收规划</w:t>
            </w:r>
          </w:p>
          <w:p w14:paraId="10945E2E">
            <w:pPr>
              <w:rPr>
                <w:rFonts w:hint="eastAsia"/>
              </w:rPr>
            </w:pPr>
          </w:p>
          <w:p w14:paraId="160A3D6F">
            <w:pPr>
              <w:rPr>
                <w:rFonts w:hint="eastAsia"/>
              </w:rPr>
            </w:pPr>
            <w:r>
              <w:rPr>
                <w:rFonts w:hint="eastAsia"/>
              </w:rPr>
              <w:t xml:space="preserve">    行业标杆分析： 参考海星智源（已上市，市值200多亿）的成功案例，该公司通过AI转型将高光谱大模型业务做到年营收6个亿，验证了“硬件+AI”模式的可行性。</w:t>
            </w:r>
          </w:p>
          <w:p w14:paraId="3DD67C04">
            <w:pPr>
              <w:rPr>
                <w:rFonts w:hint="eastAsia"/>
              </w:rPr>
            </w:pPr>
          </w:p>
          <w:p w14:paraId="19669A7E">
            <w:pPr>
              <w:rPr>
                <w:rFonts w:hint="eastAsia"/>
              </w:rPr>
            </w:pPr>
            <w:r>
              <w:rPr>
                <w:rFonts w:hint="eastAsia"/>
              </w:rPr>
              <w:t xml:space="preserve">    营收倍增目标： 计划在2024年将中达瑞和的整体营收提升至2亿元，其中AI相关业务需贡献约1亿元，占总营收的一半。</w:t>
            </w:r>
          </w:p>
          <w:p w14:paraId="1C7A23E7">
            <w:pPr>
              <w:rPr>
                <w:rFonts w:hint="eastAsia"/>
              </w:rPr>
            </w:pPr>
          </w:p>
          <w:p w14:paraId="648DBC0B">
            <w:pPr>
              <w:rPr>
                <w:rFonts w:hint="eastAsia"/>
              </w:rPr>
            </w:pPr>
            <w:r>
              <w:rPr>
                <w:rFonts w:hint="eastAsia"/>
              </w:rPr>
              <w:t xml:space="preserve">    商业模式重构： 改变目前依赖硬件销售和定制化项目的模式，向标准化的“解决方案+AI服务”转型，以实现规模化复制。</w:t>
            </w:r>
          </w:p>
          <w:p w14:paraId="1C3BED09">
            <w:pPr>
              <w:rPr>
                <w:rFonts w:hint="eastAsia"/>
              </w:rPr>
            </w:pPr>
          </w:p>
          <w:p w14:paraId="5D86346E">
            <w:pPr>
              <w:rPr>
                <w:rFonts w:hint="eastAsia"/>
              </w:rPr>
            </w:pPr>
            <w:r>
              <w:rPr>
                <w:rFonts w:hint="eastAsia"/>
              </w:rPr>
              <w:t>2. 核心能力建设方向</w:t>
            </w:r>
          </w:p>
          <w:p w14:paraId="3908048C">
            <w:pPr>
              <w:rPr>
                <w:rFonts w:hint="eastAsia"/>
              </w:rPr>
            </w:pPr>
          </w:p>
          <w:p w14:paraId="13111144">
            <w:pPr>
              <w:rPr>
                <w:rFonts w:hint="eastAsia"/>
              </w:rPr>
            </w:pPr>
            <w:r>
              <w:rPr>
                <w:rFonts w:hint="eastAsia"/>
              </w:rPr>
              <w:t xml:space="preserve">    产品成熟度定义： 引入L1-L5的产品成熟度模型，指出中达瑞和目前产品多处于L1-L3阶段（需专业人士介入），目标是打造L5级（即插即用、无需专业干预）的标准产品和解决方案。</w:t>
            </w:r>
          </w:p>
          <w:p w14:paraId="0164136F">
            <w:pPr>
              <w:rPr>
                <w:rFonts w:hint="eastAsia"/>
              </w:rPr>
            </w:pPr>
          </w:p>
          <w:p w14:paraId="0E8BC2A3">
            <w:pPr>
              <w:rPr>
                <w:rFonts w:hint="eastAsia"/>
              </w:rPr>
            </w:pPr>
            <w:r>
              <w:rPr>
                <w:rFonts w:hint="eastAsia"/>
              </w:rPr>
              <w:t xml:space="preserve">    核心技术壁垒构建： 结合中达瑞和在滤光器、芯片方面的硬件优势，叠加AI算法与软件能力，构建软硬一体化的核心竞争力。</w:t>
            </w:r>
          </w:p>
          <w:p w14:paraId="48881A1D">
            <w:pPr>
              <w:rPr>
                <w:rFonts w:hint="eastAsia"/>
              </w:rPr>
            </w:pPr>
          </w:p>
          <w:p w14:paraId="749FCA7C">
            <w:pPr>
              <w:rPr>
                <w:rFonts w:hint="eastAsia"/>
              </w:rPr>
            </w:pPr>
            <w:r>
              <w:rPr>
                <w:rFonts w:hint="eastAsia"/>
              </w:rPr>
              <w:t>二、高光谱AI技术路线规划</w:t>
            </w:r>
          </w:p>
          <w:p w14:paraId="456262D8">
            <w:pPr>
              <w:rPr>
                <w:rFonts w:hint="eastAsia"/>
              </w:rPr>
            </w:pPr>
          </w:p>
          <w:p w14:paraId="19CE84D1">
            <w:pPr>
              <w:rPr>
                <w:rFonts w:hint="eastAsia"/>
              </w:rPr>
            </w:pPr>
            <w:r>
              <w:rPr>
                <w:rFonts w:hint="eastAsia"/>
              </w:rPr>
              <w:t>针对中达瑞和现有技术的局限性，会议制定了具体的AI赋能策略：</w:t>
            </w:r>
          </w:p>
          <w:p w14:paraId="34FF6D67">
            <w:pPr>
              <w:rPr>
                <w:rFonts w:hint="eastAsia"/>
              </w:rPr>
            </w:pPr>
          </w:p>
          <w:p w14:paraId="6C39E9F9">
            <w:pPr>
              <w:rPr>
                <w:rFonts w:hint="eastAsia"/>
              </w:rPr>
            </w:pPr>
            <w:r>
              <w:rPr>
                <w:rFonts w:hint="eastAsia"/>
              </w:rPr>
              <w:t>1. AI与大模型赋能路径</w:t>
            </w:r>
          </w:p>
          <w:p w14:paraId="573C4A49">
            <w:pPr>
              <w:rPr>
                <w:rFonts w:hint="eastAsia"/>
              </w:rPr>
            </w:pPr>
          </w:p>
          <w:p w14:paraId="17E6856A">
            <w:pPr>
              <w:rPr>
                <w:rFonts w:hint="eastAsia"/>
              </w:rPr>
            </w:pPr>
            <w:r>
              <w:rPr>
                <w:rFonts w:hint="eastAsia"/>
              </w:rPr>
              <w:t xml:space="preserve">    模型架构演进： 建议从传统的机器学习/深度学习算法转向Transformer/ViT架构的大模型，解决当前模型泛化性差、跨场景迁移难的问题。</w:t>
            </w:r>
          </w:p>
          <w:p w14:paraId="6034B4F0">
            <w:pPr>
              <w:rPr>
                <w:rFonts w:hint="eastAsia"/>
              </w:rPr>
            </w:pPr>
          </w:p>
          <w:p w14:paraId="7427642E">
            <w:pPr>
              <w:rPr>
                <w:rFonts w:hint="eastAsia"/>
              </w:rPr>
            </w:pPr>
            <w:r>
              <w:rPr>
                <w:rFonts w:hint="eastAsia"/>
              </w:rPr>
              <w:t xml:space="preserve">    多模态融合： 探索高光谱数据与物理机理、环境条件（如温度、光源变化、地理空间信息）的多模态融合，提升模型的鲁棒性和准确性。</w:t>
            </w:r>
          </w:p>
          <w:p w14:paraId="6EDD5FCB">
            <w:pPr>
              <w:rPr>
                <w:rFonts w:hint="eastAsia"/>
              </w:rPr>
            </w:pPr>
          </w:p>
          <w:p w14:paraId="4F855241">
            <w:pPr>
              <w:ind w:firstLine="408"/>
              <w:rPr>
                <w:rFonts w:hint="eastAsia"/>
              </w:rPr>
            </w:pPr>
            <w:r>
              <w:rPr>
                <w:rFonts w:hint="eastAsia"/>
              </w:rPr>
              <w:t>Agentic能力构建： 利用智能体（Agent）技术改造现有应用，实现自主作业与分析决策，降低对人力的依赖，特别是在工业分选、巡检等场景。</w:t>
            </w:r>
          </w:p>
          <w:p w14:paraId="680F643E">
            <w:pPr>
              <w:ind w:firstLine="408"/>
              <w:rPr>
                <w:rFonts w:hint="eastAsia"/>
                <w:lang w:eastAsia="zh-CN"/>
              </w:rPr>
            </w:pPr>
          </w:p>
          <w:p w14:paraId="44C4E6ED">
            <w:pPr>
              <w:ind w:firstLine="408"/>
              <w:rPr>
                <w:rFonts w:hint="eastAsia"/>
                <w:lang w:eastAsia="zh-CN"/>
              </w:rPr>
            </w:pPr>
          </w:p>
          <w:p w14:paraId="6131091E">
            <w:pPr>
              <w:ind w:firstLine="408"/>
              <w:rPr>
                <w:rFonts w:hint="eastAsia"/>
                <w:lang w:eastAsia="zh-CN"/>
              </w:rPr>
            </w:pPr>
          </w:p>
        </w:tc>
      </w:tr>
      <w:tr w14:paraId="5B5FF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20620143">
            <w:pPr>
              <w:pStyle w:val="11"/>
              <w:snapToGrid w:val="0"/>
              <w:rPr>
                <w:rFonts w:hint="eastAsia"/>
              </w:rPr>
            </w:pPr>
          </w:p>
        </w:tc>
        <w:tc>
          <w:tcPr>
            <w:tcW w:w="8369" w:type="dxa"/>
            <w:gridSpan w:val="3"/>
            <w:vAlign w:val="center"/>
          </w:tcPr>
          <w:p w14:paraId="410C2FA5">
            <w:pPr>
              <w:rPr>
                <w:rFonts w:hint="eastAsia"/>
              </w:rPr>
            </w:pPr>
            <w:r>
              <w:rPr>
                <w:rFonts w:hint="eastAsia"/>
              </w:rPr>
              <w:t>2. 研发与交付体系</w:t>
            </w:r>
          </w:p>
          <w:p w14:paraId="6BB50D89">
            <w:pPr>
              <w:rPr>
                <w:rFonts w:hint="eastAsia"/>
              </w:rPr>
            </w:pPr>
          </w:p>
          <w:p w14:paraId="40007AE1">
            <w:pPr>
              <w:rPr>
                <w:rFonts w:hint="eastAsia"/>
              </w:rPr>
            </w:pPr>
            <w:r>
              <w:rPr>
                <w:rFonts w:hint="eastAsia"/>
              </w:rPr>
              <w:t xml:space="preserve">    基础模型体系建设： 规划构建包含数据底座、基础模型、智能体和行业应用的完整技术栈，支持端到端的闭环服务。</w:t>
            </w:r>
          </w:p>
          <w:p w14:paraId="32DBA69C">
            <w:pPr>
              <w:rPr>
                <w:rFonts w:hint="eastAsia"/>
              </w:rPr>
            </w:pPr>
          </w:p>
          <w:p w14:paraId="1AE1EAFD">
            <w:pPr>
              <w:rPr>
                <w:rFonts w:hint="eastAsia"/>
              </w:rPr>
            </w:pPr>
            <w:r>
              <w:rPr>
                <w:rFonts w:hint="eastAsia"/>
              </w:rPr>
              <w:t xml:space="preserve">    标注与工具链优化： 开发灵活的标注平台，支持快速适应新场景的数据处理需求，降低定制化门槛。</w:t>
            </w:r>
          </w:p>
          <w:p w14:paraId="7B2A932C">
            <w:pPr>
              <w:rPr>
                <w:rFonts w:hint="eastAsia"/>
              </w:rPr>
            </w:pPr>
          </w:p>
          <w:p w14:paraId="04CCF0B3">
            <w:pPr>
              <w:rPr>
                <w:rFonts w:hint="eastAsia"/>
              </w:rPr>
            </w:pPr>
            <w:r>
              <w:rPr>
                <w:rFonts w:hint="eastAsia"/>
              </w:rPr>
              <w:t>三、重点业务场景与生态合作</w:t>
            </w:r>
          </w:p>
          <w:p w14:paraId="1BC23864">
            <w:pPr>
              <w:rPr>
                <w:rFonts w:hint="eastAsia"/>
              </w:rPr>
            </w:pPr>
          </w:p>
          <w:p w14:paraId="28C952B9">
            <w:pPr>
              <w:rPr>
                <w:rFonts w:hint="eastAsia"/>
              </w:rPr>
            </w:pPr>
            <w:r>
              <w:rPr>
                <w:rFonts w:hint="eastAsia"/>
              </w:rPr>
              <w:t>1. 垂直行业场景突破</w:t>
            </w:r>
          </w:p>
          <w:p w14:paraId="6BEF6504">
            <w:pPr>
              <w:rPr>
                <w:rFonts w:hint="eastAsia"/>
              </w:rPr>
            </w:pPr>
          </w:p>
          <w:p w14:paraId="2D170ADA">
            <w:pPr>
              <w:rPr>
                <w:rFonts w:hint="eastAsia"/>
              </w:rPr>
            </w:pPr>
            <w:r>
              <w:rPr>
                <w:rFonts w:hint="eastAsia"/>
              </w:rPr>
              <w:t xml:space="preserve">    工业检测分选： 聚焦塑料回收、油田漏油监测、烟草水分检测等高价值场景，利用高光谱技术替代人工或传统视觉方案。</w:t>
            </w:r>
          </w:p>
          <w:p w14:paraId="645B6015">
            <w:pPr>
              <w:rPr>
                <w:rFonts w:hint="eastAsia"/>
              </w:rPr>
            </w:pPr>
          </w:p>
          <w:p w14:paraId="1CDD9B23">
            <w:pPr>
              <w:rPr>
                <w:rFonts w:hint="eastAsia"/>
              </w:rPr>
            </w:pPr>
            <w:r>
              <w:rPr>
                <w:rFonts w:hint="eastAsia"/>
              </w:rPr>
              <w:t xml:space="preserve">    农业与环境监测： 结合无人机载设备，在农业巡飞、水体污染检测等领域提供一体化解决方案。</w:t>
            </w:r>
          </w:p>
          <w:p w14:paraId="77EBDF36">
            <w:pPr>
              <w:rPr>
                <w:rFonts w:hint="eastAsia"/>
              </w:rPr>
            </w:pPr>
          </w:p>
          <w:p w14:paraId="5CABB145">
            <w:pPr>
              <w:rPr>
                <w:rFonts w:hint="eastAsia"/>
              </w:rPr>
            </w:pPr>
            <w:r>
              <w:rPr>
                <w:rFonts w:hint="eastAsia"/>
              </w:rPr>
              <w:t xml:space="preserve">    消费级产品探索： 关注手机色温调节、美容镜、中医头套等C端或B2B2C领域的商业化机会。</w:t>
            </w:r>
          </w:p>
          <w:p w14:paraId="624DA2FD">
            <w:pPr>
              <w:rPr>
                <w:rFonts w:hint="eastAsia"/>
              </w:rPr>
            </w:pPr>
          </w:p>
          <w:p w14:paraId="419ACB78">
            <w:pPr>
              <w:rPr>
                <w:rFonts w:hint="eastAsia"/>
              </w:rPr>
            </w:pPr>
            <w:r>
              <w:rPr>
                <w:rFonts w:hint="eastAsia"/>
              </w:rPr>
              <w:t>2. 算力与生态协同</w:t>
            </w:r>
          </w:p>
          <w:p w14:paraId="41DD74B4">
            <w:pPr>
              <w:rPr>
                <w:rFonts w:hint="eastAsia"/>
              </w:rPr>
            </w:pPr>
          </w:p>
          <w:p w14:paraId="46CE6BDD">
            <w:pPr>
              <w:rPr>
                <w:rFonts w:hint="eastAsia"/>
              </w:rPr>
            </w:pPr>
            <w:r>
              <w:rPr>
                <w:rFonts w:hint="eastAsia"/>
              </w:rPr>
              <w:t xml:space="preserve">    算力中心结合： 将高光谱大模型与算力中心运营相结合，探索“模型即服务”（MaaS）的创新商业模式，以支撑未来大规模的企业级服务。</w:t>
            </w:r>
          </w:p>
          <w:p w14:paraId="18D82013">
            <w:pPr>
              <w:rPr>
                <w:rFonts w:hint="eastAsia"/>
              </w:rPr>
            </w:pPr>
          </w:p>
          <w:p w14:paraId="30ADF2BF">
            <w:pPr>
              <w:rPr>
                <w:rFonts w:hint="eastAsia"/>
              </w:rPr>
            </w:pPr>
            <w:r>
              <w:rPr>
                <w:rFonts w:hint="eastAsia"/>
              </w:rPr>
              <w:t xml:space="preserve">    鸿蒙生态适配： 推动高光谱设备与鸿蒙系统的深度集成，包括驱动适配、安全认证等，以获取华为生态的市场红利。</w:t>
            </w:r>
          </w:p>
          <w:p w14:paraId="2A7C696C">
            <w:pPr>
              <w:rPr>
                <w:rFonts w:hint="eastAsia"/>
              </w:rPr>
            </w:pPr>
          </w:p>
          <w:p w14:paraId="4225743F">
            <w:pPr>
              <w:pStyle w:val="6"/>
              <w:tabs>
                <w:tab w:val="left" w:pos="2562"/>
              </w:tabs>
              <w:snapToGrid w:val="0"/>
              <w:spacing w:before="0" w:beforeAutospacing="0" w:after="0" w:afterAutospacing="0"/>
            </w:pPr>
          </w:p>
        </w:tc>
      </w:tr>
      <w:tr w14:paraId="25D488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917" w:type="dxa"/>
            <w:shd w:val="clear" w:color="auto" w:fill="C0C0C0"/>
            <w:vAlign w:val="center"/>
          </w:tcPr>
          <w:p w14:paraId="7A4B77D4">
            <w:pPr>
              <w:pStyle w:val="11"/>
              <w:snapToGrid w:val="0"/>
            </w:pPr>
            <w:r>
              <w:rPr>
                <w:rFonts w:hint="eastAsia"/>
              </w:rPr>
              <w:t>下一步工作：</w:t>
            </w:r>
          </w:p>
        </w:tc>
        <w:tc>
          <w:tcPr>
            <w:tcW w:w="8369" w:type="dxa"/>
            <w:gridSpan w:val="3"/>
            <w:vAlign w:val="center"/>
          </w:tcPr>
          <w:p w14:paraId="7A3C405D">
            <w:pPr>
              <w:pStyle w:val="2"/>
              <w:keepNext w:val="0"/>
              <w:keepLines w:val="0"/>
              <w:widowControl/>
              <w:suppressLineNumbers w:val="0"/>
            </w:pPr>
            <w:r>
              <w:t>待办事项</w:t>
            </w:r>
            <w:bookmarkStart w:id="0" w:name="_GoBack"/>
            <w:bookmarkEnd w:id="0"/>
          </w:p>
          <w:tbl>
            <w:tblPr>
              <w:tblW w:w="0" w:type="auto"/>
              <w:tblCellSpacing w:w="15" w:type="dxa"/>
              <w:tblInd w:w="-4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418"/>
              <w:gridCol w:w="6281"/>
              <w:gridCol w:w="1643"/>
            </w:tblGrid>
            <w:tr w14:paraId="196ECE5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2FBC3D82">
                  <w:pPr>
                    <w:keepNext w:val="0"/>
                    <w:keepLines w:val="0"/>
                    <w:widowControl/>
                    <w:suppressLineNumbers w:val="0"/>
                    <w:jc w:val="center"/>
                    <w:rPr>
                      <w:b/>
                      <w:bCs/>
                    </w:rPr>
                  </w:pPr>
                  <w:r>
                    <w:rPr>
                      <w:rFonts w:ascii="宋体" w:hAnsi="宋体" w:eastAsia="宋体" w:cs="宋体"/>
                      <w:b/>
                      <w:bCs/>
                      <w:kern w:val="0"/>
                      <w:sz w:val="24"/>
                      <w:szCs w:val="24"/>
                      <w:lang w:val="en-US" w:eastAsia="zh-CN" w:bidi="ar"/>
                    </w:rPr>
                    <w:t>序号</w:t>
                  </w:r>
                </w:p>
              </w:tc>
              <w:tc>
                <w:tcPr>
                  <w:tcW w:w="0" w:type="auto"/>
                  <w:shd w:val="clear"/>
                  <w:vAlign w:val="center"/>
                </w:tcPr>
                <w:p w14:paraId="1D2FDEB5">
                  <w:pPr>
                    <w:keepNext w:val="0"/>
                    <w:keepLines w:val="0"/>
                    <w:widowControl/>
                    <w:suppressLineNumbers w:val="0"/>
                    <w:jc w:val="center"/>
                    <w:rPr>
                      <w:b/>
                      <w:bCs/>
                    </w:rPr>
                  </w:pPr>
                  <w:r>
                    <w:rPr>
                      <w:rFonts w:ascii="宋体" w:hAnsi="宋体" w:eastAsia="宋体" w:cs="宋体"/>
                      <w:b/>
                      <w:bCs/>
                      <w:kern w:val="0"/>
                      <w:sz w:val="24"/>
                      <w:szCs w:val="24"/>
                      <w:lang w:val="en-US" w:eastAsia="zh-CN" w:bidi="ar"/>
                    </w:rPr>
                    <w:t>待办事项</w:t>
                  </w:r>
                </w:p>
              </w:tc>
              <w:tc>
                <w:tcPr>
                  <w:tcW w:w="0" w:type="auto"/>
                  <w:shd w:val="clear"/>
                  <w:vAlign w:val="center"/>
                </w:tcPr>
                <w:p w14:paraId="32A90AFB">
                  <w:pPr>
                    <w:keepNext w:val="0"/>
                    <w:keepLines w:val="0"/>
                    <w:widowControl/>
                    <w:suppressLineNumbers w:val="0"/>
                    <w:jc w:val="center"/>
                    <w:rPr>
                      <w:b/>
                      <w:bCs/>
                    </w:rPr>
                  </w:pPr>
                  <w:r>
                    <w:rPr>
                      <w:rFonts w:ascii="宋体" w:hAnsi="宋体" w:eastAsia="宋体" w:cs="宋体"/>
                      <w:b/>
                      <w:bCs/>
                      <w:kern w:val="0"/>
                      <w:sz w:val="24"/>
                      <w:szCs w:val="24"/>
                      <w:lang w:val="en-US" w:eastAsia="zh-CN" w:bidi="ar"/>
                    </w:rPr>
                    <w:t>负责人</w:t>
                  </w:r>
                </w:p>
              </w:tc>
            </w:tr>
            <w:tr w14:paraId="15D6538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23909D">
                  <w:pPr>
                    <w:keepNext w:val="0"/>
                    <w:keepLines w:val="0"/>
                    <w:widowControl/>
                    <w:suppressLineNumbers w:val="0"/>
                    <w:jc w:val="left"/>
                  </w:pPr>
                  <w:r>
                    <w:rPr>
                      <w:rFonts w:ascii="宋体" w:hAnsi="宋体" w:eastAsia="宋体" w:cs="宋体"/>
                      <w:kern w:val="0"/>
                      <w:sz w:val="24"/>
                      <w:szCs w:val="24"/>
                      <w:lang w:val="en-US" w:eastAsia="zh-CN" w:bidi="ar"/>
                    </w:rPr>
                    <w:t>1</w:t>
                  </w:r>
                </w:p>
              </w:tc>
              <w:tc>
                <w:tcPr>
                  <w:tcW w:w="0" w:type="auto"/>
                  <w:shd w:val="clear"/>
                  <w:vAlign w:val="center"/>
                </w:tcPr>
                <w:p w14:paraId="0F28A052">
                  <w:pPr>
                    <w:keepNext w:val="0"/>
                    <w:keepLines w:val="0"/>
                    <w:widowControl/>
                    <w:suppressLineNumbers w:val="0"/>
                    <w:jc w:val="left"/>
                  </w:pPr>
                  <w:r>
                    <w:rPr>
                      <w:rFonts w:ascii="宋体" w:hAnsi="宋体" w:eastAsia="宋体" w:cs="宋体"/>
                      <w:kern w:val="0"/>
                      <w:sz w:val="24"/>
                      <w:szCs w:val="24"/>
                      <w:lang w:val="en-US" w:eastAsia="zh-CN" w:bidi="ar"/>
                    </w:rPr>
                    <w:t>与中达瑞和（梁总/Tiger总）沟通，安排周二、周三为期两天的深入交流议程，确保对方全面展示其硬件、软件、算法及组织架构</w:t>
                  </w:r>
                </w:p>
              </w:tc>
              <w:tc>
                <w:tcPr>
                  <w:tcW w:w="0" w:type="auto"/>
                  <w:shd w:val="clear"/>
                  <w:vAlign w:val="center"/>
                </w:tcPr>
                <w:p w14:paraId="3E94C7ED">
                  <w:pPr>
                    <w:keepNext w:val="0"/>
                    <w:keepLines w:val="0"/>
                    <w:widowControl/>
                    <w:suppressLineNumbers w:val="0"/>
                    <w:jc w:val="left"/>
                  </w:pPr>
                  <w:r>
                    <w:rPr>
                      <w:rFonts w:ascii="宋体" w:hAnsi="宋体" w:eastAsia="宋体" w:cs="宋体"/>
                      <w:kern w:val="0"/>
                      <w:sz w:val="24"/>
                      <w:szCs w:val="24"/>
                      <w:lang w:val="en-US" w:eastAsia="zh-CN" w:bidi="ar"/>
                    </w:rPr>
                    <w:t>谢雨孝（Ed）</w:t>
                  </w:r>
                </w:p>
              </w:tc>
            </w:tr>
            <w:tr w14:paraId="31AB50A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6A523E74">
                  <w:pPr>
                    <w:keepNext w:val="0"/>
                    <w:keepLines w:val="0"/>
                    <w:widowControl/>
                    <w:suppressLineNumbers w:val="0"/>
                    <w:jc w:val="left"/>
                  </w:pPr>
                  <w:r>
                    <w:rPr>
                      <w:rFonts w:ascii="宋体" w:hAnsi="宋体" w:eastAsia="宋体" w:cs="宋体"/>
                      <w:kern w:val="0"/>
                      <w:sz w:val="24"/>
                      <w:szCs w:val="24"/>
                      <w:lang w:val="en-US" w:eastAsia="zh-CN" w:bidi="ar"/>
                    </w:rPr>
                    <w:t>2</w:t>
                  </w:r>
                </w:p>
              </w:tc>
              <w:tc>
                <w:tcPr>
                  <w:tcW w:w="0" w:type="auto"/>
                  <w:shd w:val="clear"/>
                  <w:vAlign w:val="center"/>
                </w:tcPr>
                <w:p w14:paraId="4487230D">
                  <w:pPr>
                    <w:keepNext w:val="0"/>
                    <w:keepLines w:val="0"/>
                    <w:widowControl/>
                    <w:suppressLineNumbers w:val="0"/>
                    <w:jc w:val="left"/>
                  </w:pPr>
                  <w:r>
                    <w:rPr>
                      <w:rFonts w:ascii="宋体" w:hAnsi="宋体" w:eastAsia="宋体" w:cs="宋体"/>
                      <w:kern w:val="0"/>
                      <w:sz w:val="24"/>
                      <w:szCs w:val="24"/>
                      <w:lang w:val="en-US" w:eastAsia="zh-CN" w:bidi="ar"/>
                    </w:rPr>
                    <w:t>基于刘子轩提供的模板，进一步丰富和完善高光谱AI的规划材料，形成详细的商业计划书草案</w:t>
                  </w:r>
                </w:p>
              </w:tc>
              <w:tc>
                <w:tcPr>
                  <w:tcW w:w="0" w:type="auto"/>
                  <w:shd w:val="clear"/>
                  <w:vAlign w:val="center"/>
                </w:tcPr>
                <w:p w14:paraId="3585BC3B">
                  <w:pPr>
                    <w:keepNext w:val="0"/>
                    <w:keepLines w:val="0"/>
                    <w:widowControl/>
                    <w:suppressLineNumbers w:val="0"/>
                    <w:jc w:val="left"/>
                  </w:pPr>
                  <w:r>
                    <w:rPr>
                      <w:rFonts w:ascii="宋体" w:hAnsi="宋体" w:eastAsia="宋体" w:cs="宋体"/>
                      <w:kern w:val="0"/>
                      <w:sz w:val="24"/>
                      <w:szCs w:val="24"/>
                      <w:lang w:val="en-US" w:eastAsia="zh-CN" w:bidi="ar"/>
                    </w:rPr>
                    <w:t>刘子轩、杨旭青</w:t>
                  </w:r>
                </w:p>
              </w:tc>
            </w:tr>
            <w:tr w14:paraId="1E4C9D7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3E917CA5">
                  <w:pPr>
                    <w:keepNext w:val="0"/>
                    <w:keepLines w:val="0"/>
                    <w:widowControl/>
                    <w:suppressLineNumbers w:val="0"/>
                    <w:jc w:val="left"/>
                  </w:pPr>
                  <w:r>
                    <w:rPr>
                      <w:rFonts w:ascii="宋体" w:hAnsi="宋体" w:eastAsia="宋体" w:cs="宋体"/>
                      <w:kern w:val="0"/>
                      <w:sz w:val="24"/>
                      <w:szCs w:val="24"/>
                      <w:lang w:val="en-US" w:eastAsia="zh-CN" w:bidi="ar"/>
                    </w:rPr>
                    <w:t>3</w:t>
                  </w:r>
                </w:p>
              </w:tc>
              <w:tc>
                <w:tcPr>
                  <w:tcW w:w="0" w:type="auto"/>
                  <w:shd w:val="clear"/>
                  <w:vAlign w:val="center"/>
                </w:tcPr>
                <w:p w14:paraId="57FD386F">
                  <w:pPr>
                    <w:keepNext w:val="0"/>
                    <w:keepLines w:val="0"/>
                    <w:widowControl/>
                    <w:suppressLineNumbers w:val="0"/>
                    <w:jc w:val="left"/>
                  </w:pPr>
                  <w:r>
                    <w:rPr>
                      <w:rFonts w:ascii="宋体" w:hAnsi="宋体" w:eastAsia="宋体" w:cs="宋体"/>
                      <w:kern w:val="0"/>
                      <w:sz w:val="24"/>
                      <w:szCs w:val="24"/>
                      <w:lang w:val="en-US" w:eastAsia="zh-CN" w:bidi="ar"/>
                    </w:rPr>
                    <w:t>学习并研究珠宝行业的供应链金融相关知识（包括金银贷、保兑仓、税务流程等）</w:t>
                  </w:r>
                </w:p>
              </w:tc>
              <w:tc>
                <w:tcPr>
                  <w:tcW w:w="0" w:type="auto"/>
                  <w:shd w:val="clear"/>
                  <w:vAlign w:val="center"/>
                </w:tcPr>
                <w:p w14:paraId="61055B4C">
                  <w:pPr>
                    <w:keepNext w:val="0"/>
                    <w:keepLines w:val="0"/>
                    <w:widowControl/>
                    <w:suppressLineNumbers w:val="0"/>
                    <w:jc w:val="left"/>
                  </w:pPr>
                  <w:r>
                    <w:rPr>
                      <w:rFonts w:ascii="宋体" w:hAnsi="宋体" w:eastAsia="宋体" w:cs="宋体"/>
                      <w:kern w:val="0"/>
                      <w:sz w:val="24"/>
                      <w:szCs w:val="24"/>
                      <w:lang w:val="en-US" w:eastAsia="zh-CN" w:bidi="ar"/>
                    </w:rPr>
                    <w:t>杨沛、汤半山、蒋生平</w:t>
                  </w:r>
                </w:p>
              </w:tc>
            </w:tr>
            <w:tr w14:paraId="06C9D01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56F0C16">
                  <w:pPr>
                    <w:keepNext w:val="0"/>
                    <w:keepLines w:val="0"/>
                    <w:widowControl/>
                    <w:suppressLineNumbers w:val="0"/>
                    <w:jc w:val="left"/>
                  </w:pPr>
                  <w:r>
                    <w:rPr>
                      <w:rFonts w:ascii="宋体" w:hAnsi="宋体" w:eastAsia="宋体" w:cs="宋体"/>
                      <w:kern w:val="0"/>
                      <w:sz w:val="24"/>
                      <w:szCs w:val="24"/>
                      <w:lang w:val="en-US" w:eastAsia="zh-CN" w:bidi="ar"/>
                    </w:rPr>
                    <w:t>4</w:t>
                  </w:r>
                </w:p>
              </w:tc>
              <w:tc>
                <w:tcPr>
                  <w:tcW w:w="0" w:type="auto"/>
                  <w:shd w:val="clear"/>
                  <w:vAlign w:val="center"/>
                </w:tcPr>
                <w:p w14:paraId="67806144">
                  <w:pPr>
                    <w:keepNext w:val="0"/>
                    <w:keepLines w:val="0"/>
                    <w:widowControl/>
                    <w:suppressLineNumbers w:val="0"/>
                    <w:jc w:val="left"/>
                  </w:pPr>
                  <w:r>
                    <w:rPr>
                      <w:rFonts w:ascii="宋体" w:hAnsi="宋体" w:eastAsia="宋体" w:cs="宋体"/>
                      <w:kern w:val="0"/>
                      <w:sz w:val="24"/>
                      <w:szCs w:val="24"/>
                      <w:lang w:val="en-US" w:eastAsia="zh-CN" w:bidi="ar"/>
                    </w:rPr>
                    <w:t>制定水贝珠宝供应链金融平台的初步设计方案和技术原型</w:t>
                  </w:r>
                </w:p>
              </w:tc>
              <w:tc>
                <w:tcPr>
                  <w:tcW w:w="0" w:type="auto"/>
                  <w:shd w:val="clear"/>
                  <w:vAlign w:val="center"/>
                </w:tcPr>
                <w:p w14:paraId="7BC6EFBD">
                  <w:pPr>
                    <w:keepNext w:val="0"/>
                    <w:keepLines w:val="0"/>
                    <w:widowControl/>
                    <w:suppressLineNumbers w:val="0"/>
                    <w:jc w:val="left"/>
                  </w:pPr>
                  <w:r>
                    <w:rPr>
                      <w:rFonts w:ascii="宋体" w:hAnsi="宋体" w:eastAsia="宋体" w:cs="宋体"/>
                      <w:kern w:val="0"/>
                      <w:sz w:val="24"/>
                      <w:szCs w:val="24"/>
                      <w:lang w:val="en-US" w:eastAsia="zh-CN" w:bidi="ar"/>
                    </w:rPr>
                    <w:t>谢雨孝（Ed）、杨沛</w:t>
                  </w:r>
                </w:p>
              </w:tc>
            </w:tr>
          </w:tbl>
          <w:p w14:paraId="189F9CBD">
            <w:pPr>
              <w:pStyle w:val="6"/>
              <w:tabs>
                <w:tab w:val="left" w:pos="2562"/>
              </w:tabs>
              <w:snapToGrid w:val="0"/>
              <w:spacing w:before="0" w:beforeAutospacing="0" w:after="0" w:afterAutospacing="0"/>
              <w:rPr>
                <w:sz w:val="21"/>
                <w:szCs w:val="21"/>
              </w:rPr>
            </w:pPr>
          </w:p>
          <w:p w14:paraId="3C4107C9">
            <w:pPr>
              <w:pStyle w:val="6"/>
              <w:tabs>
                <w:tab w:val="left" w:pos="2562"/>
              </w:tabs>
              <w:snapToGrid w:val="0"/>
              <w:spacing w:before="0" w:beforeAutospacing="0" w:after="0" w:afterAutospacing="0"/>
              <w:rPr>
                <w:sz w:val="21"/>
                <w:szCs w:val="21"/>
              </w:rPr>
            </w:pPr>
          </w:p>
        </w:tc>
      </w:tr>
    </w:tbl>
    <w:p w14:paraId="07529494"/>
    <w:sectPr>
      <w:headerReference r:id="rId3" w:type="default"/>
      <w:footerReference r:id="rId4" w:type="default"/>
      <w:pgSz w:w="11906" w:h="16838"/>
      <w:pgMar w:top="851" w:right="1418" w:bottom="1021" w:left="1418" w:header="567" w:footer="454"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swiss"/>
    <w:pitch w:val="default"/>
    <w:sig w:usb0="A00002AF" w:usb1="400078FB" w:usb2="00000000" w:usb3="00000000" w:csb0="6000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7520418">
    <w:pPr>
      <w:pStyle w:val="4"/>
      <w:ind w:left="4050" w:hanging="4050" w:hangingChars="2250"/>
    </w:pPr>
  </w:p>
  <w:p w14:paraId="1073D614">
    <w:pPr>
      <w:pStyle w:val="4"/>
      <w:ind w:left="4605" w:leftChars="1850" w:hanging="720" w:hangingChars="400"/>
    </w:pPr>
    <w:r>
      <w:rPr>
        <w:rFonts w:hint="eastAsia"/>
        <w:kern w:val="0"/>
        <w:szCs w:val="21"/>
      </w:rPr>
      <w:t>第</w:t>
    </w:r>
    <w:r>
      <w:rPr>
        <w:kern w:val="0"/>
        <w:szCs w:val="21"/>
      </w:rPr>
      <w:fldChar w:fldCharType="begin"/>
    </w:r>
    <w:r>
      <w:rPr>
        <w:kern w:val="0"/>
        <w:szCs w:val="21"/>
      </w:rPr>
      <w:instrText xml:space="preserve"> PAGE </w:instrText>
    </w:r>
    <w:r>
      <w:rPr>
        <w:kern w:val="0"/>
        <w:szCs w:val="21"/>
      </w:rPr>
      <w:fldChar w:fldCharType="separate"/>
    </w:r>
    <w:r>
      <w:rPr>
        <w:kern w:val="0"/>
        <w:szCs w:val="21"/>
      </w:rPr>
      <w:t>2</w:t>
    </w:r>
    <w:r>
      <w:rPr>
        <w:kern w:val="0"/>
        <w:szCs w:val="21"/>
      </w:rPr>
      <w:fldChar w:fldCharType="end"/>
    </w:r>
    <w:r>
      <w:rPr>
        <w:rFonts w:hint="eastAsia"/>
        <w:kern w:val="0"/>
        <w:szCs w:val="21"/>
      </w:rPr>
      <w:t>页 共</w:t>
    </w:r>
    <w:r>
      <w:rPr>
        <w:kern w:val="0"/>
        <w:szCs w:val="21"/>
      </w:rPr>
      <w:fldChar w:fldCharType="begin"/>
    </w:r>
    <w:r>
      <w:rPr>
        <w:kern w:val="0"/>
        <w:szCs w:val="21"/>
      </w:rPr>
      <w:instrText xml:space="preserve"> NUMPAGES </w:instrText>
    </w:r>
    <w:r>
      <w:rPr>
        <w:kern w:val="0"/>
        <w:szCs w:val="21"/>
      </w:rPr>
      <w:fldChar w:fldCharType="separate"/>
    </w:r>
    <w:r>
      <w:rPr>
        <w:kern w:val="0"/>
        <w:szCs w:val="21"/>
      </w:rPr>
      <w:t>2</w:t>
    </w:r>
    <w:r>
      <w:rPr>
        <w:kern w:val="0"/>
        <w:szCs w:val="21"/>
      </w:rPr>
      <w:fldChar w:fldCharType="end"/>
    </w:r>
    <w:r>
      <w:rPr>
        <w:rFonts w:hint="eastAsia"/>
        <w:kern w:val="0"/>
        <w:szCs w:val="21"/>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04F7A9">
    <w:pPr>
      <w:pStyle w:val="10"/>
      <w:ind w:firstLine="0" w:firstLineChars="0"/>
      <w:rPr>
        <w:sz w:val="21"/>
        <w:szCs w:val="21"/>
      </w:rPr>
    </w:pPr>
    <w:r>
      <w:rPr>
        <w:rFonts w:ascii="宋体" w:hAnsi="宋体" w:cs="宋体"/>
        <w:kern w:val="0"/>
        <w:sz w:val="24"/>
      </w:rPr>
      <w:drawing>
        <wp:anchor distT="0" distB="0" distL="114300" distR="114300" simplePos="0" relativeHeight="251659264" behindDoc="0" locked="0" layoutInCell="1" allowOverlap="1">
          <wp:simplePos x="0" y="0"/>
          <wp:positionH relativeFrom="column">
            <wp:posOffset>300355</wp:posOffset>
          </wp:positionH>
          <wp:positionV relativeFrom="paragraph">
            <wp:posOffset>-17145</wp:posOffset>
          </wp:positionV>
          <wp:extent cx="654050" cy="238760"/>
          <wp:effectExtent l="0" t="0" r="3175" b="8890"/>
          <wp:wrapTopAndBottom/>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noChangeArrowheads="1"/>
                  </pic:cNvPicPr>
                </pic:nvPicPr>
                <pic:blipFill>
                  <a:blip r:embed="rId1" cstate="print">
                    <a:extLst>
                      <a:ext uri="{28A0092B-C50C-407E-A947-70E740481C1C}">
                        <a14:useLocalDpi xmlns:a14="http://schemas.microsoft.com/office/drawing/2010/main" val="0"/>
                      </a:ext>
                    </a:extLst>
                  </a:blip>
                  <a:stretch>
                    <a:fillRect/>
                  </a:stretch>
                </pic:blipFill>
                <pic:spPr>
                  <a:xfrm>
                    <a:off x="0" y="0"/>
                    <a:ext cx="654050" cy="238760"/>
                  </a:xfrm>
                  <a:prstGeom prst="rect">
                    <a:avLst/>
                  </a:prstGeom>
                  <a:noFill/>
                </pic:spPr>
              </pic:pic>
            </a:graphicData>
          </a:graphic>
        </wp:anchor>
      </w:drawing>
    </w:r>
    <w:r>
      <w:rPr>
        <w:rFonts w:hint="eastAsia"/>
        <w:sz w:val="21"/>
        <w:szCs w:val="21"/>
      </w:rPr>
      <w:t>软通智慧外部交流会-合作伙伴</w:t>
    </w:r>
  </w:p>
  <w:p w14:paraId="209E0E73">
    <w:pPr>
      <w:pStyle w:val="5"/>
      <w:jc w:val="both"/>
    </w:pPr>
    <w:r>
      <w:rPr>
        <w:rFonts w:ascii="宋体" w:hAnsi="宋体" w:cs="宋体"/>
        <w:kern w:val="0"/>
        <w:sz w:val="24"/>
        <w:szCs w:val="24"/>
      </w:rPr>
      <mc:AlternateContent>
        <mc:Choice Requires="wps">
          <w:drawing>
            <wp:anchor distT="0" distB="0" distL="114300" distR="114300" simplePos="0" relativeHeight="251660288" behindDoc="0" locked="0" layoutInCell="1" allowOverlap="1">
              <wp:simplePos x="0" y="0"/>
              <wp:positionH relativeFrom="column">
                <wp:posOffset>58420</wp:posOffset>
              </wp:positionH>
              <wp:positionV relativeFrom="paragraph">
                <wp:posOffset>191770</wp:posOffset>
              </wp:positionV>
              <wp:extent cx="5737225" cy="0"/>
              <wp:effectExtent l="0" t="19050" r="6350" b="19050"/>
              <wp:wrapNone/>
              <wp:docPr id="1" name="Line 3"/>
              <wp:cNvGraphicFramePr/>
              <a:graphic xmlns:a="http://schemas.openxmlformats.org/drawingml/2006/main">
                <a:graphicData uri="http://schemas.microsoft.com/office/word/2010/wordprocessingShape">
                  <wps:wsp>
                    <wps:cNvCnPr>
                      <a:cxnSpLocks noChangeShapeType="1"/>
                    </wps:cNvCnPr>
                    <wps:spPr bwMode="auto">
                      <a:xfrm>
                        <a:off x="0" y="0"/>
                        <a:ext cx="5737225" cy="0"/>
                      </a:xfrm>
                      <a:prstGeom prst="line">
                        <a:avLst/>
                      </a:prstGeom>
                      <a:noFill/>
                      <a:ln w="38100">
                        <a:solidFill>
                          <a:srgbClr val="808080"/>
                        </a:solidFill>
                        <a:round/>
                      </a:ln>
                    </wps:spPr>
                    <wps:bodyPr/>
                  </wps:wsp>
                </a:graphicData>
              </a:graphic>
            </wp:anchor>
          </w:drawing>
        </mc:Choice>
        <mc:Fallback>
          <w:pict>
            <v:line id="Line 3" o:spid="_x0000_s1026" o:spt="20" style="position:absolute;left:0pt;margin-left:4.6pt;margin-top:15.1pt;height:0pt;width:451.75pt;z-index:251660288;mso-width-relative:page;mso-height-relative:page;" filled="f" stroked="t" coordsize="21600,21600" o:gfxdata="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">
              <v:fill on="f" focussize="0,0"/>
              <v:stroke weight="3pt" color="#808080" joinstyle="round"/>
              <v:imagedata o:title=""/>
              <o:lock v:ext="edit" aspectratio="f"/>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984353"/>
    <w:rsid w:val="00027B3A"/>
    <w:rsid w:val="00056D81"/>
    <w:rsid w:val="000705DA"/>
    <w:rsid w:val="00124B53"/>
    <w:rsid w:val="001577C0"/>
    <w:rsid w:val="001C67FF"/>
    <w:rsid w:val="002B0CF3"/>
    <w:rsid w:val="002E6A58"/>
    <w:rsid w:val="00491FB7"/>
    <w:rsid w:val="004F10F7"/>
    <w:rsid w:val="004F7AE9"/>
    <w:rsid w:val="00504907"/>
    <w:rsid w:val="00580FD9"/>
    <w:rsid w:val="005832F0"/>
    <w:rsid w:val="00587687"/>
    <w:rsid w:val="005D0BBE"/>
    <w:rsid w:val="005E7785"/>
    <w:rsid w:val="00606657"/>
    <w:rsid w:val="006632C2"/>
    <w:rsid w:val="006759E7"/>
    <w:rsid w:val="006E4A4C"/>
    <w:rsid w:val="00716281"/>
    <w:rsid w:val="00785027"/>
    <w:rsid w:val="007D03C8"/>
    <w:rsid w:val="007F2211"/>
    <w:rsid w:val="00800112"/>
    <w:rsid w:val="008315DD"/>
    <w:rsid w:val="00865AB1"/>
    <w:rsid w:val="00867765"/>
    <w:rsid w:val="00875E95"/>
    <w:rsid w:val="00896056"/>
    <w:rsid w:val="008A78DF"/>
    <w:rsid w:val="00946048"/>
    <w:rsid w:val="00984B7E"/>
    <w:rsid w:val="00995303"/>
    <w:rsid w:val="009E5FE3"/>
    <w:rsid w:val="00AD78E5"/>
    <w:rsid w:val="00B048FB"/>
    <w:rsid w:val="00B42E1D"/>
    <w:rsid w:val="00D95708"/>
    <w:rsid w:val="00E87DE2"/>
    <w:rsid w:val="00EE6BF4"/>
    <w:rsid w:val="00EF7DEF"/>
    <w:rsid w:val="00F60CDC"/>
    <w:rsid w:val="00FA1D2F"/>
    <w:rsid w:val="00FB6148"/>
    <w:rsid w:val="00FE7999"/>
    <w:rsid w:val="03E05439"/>
    <w:rsid w:val="0EE24829"/>
    <w:rsid w:val="142A08C7"/>
    <w:rsid w:val="14984353"/>
    <w:rsid w:val="15193728"/>
    <w:rsid w:val="17535968"/>
    <w:rsid w:val="18E64DFC"/>
    <w:rsid w:val="22F96070"/>
    <w:rsid w:val="2E311C6D"/>
    <w:rsid w:val="340458C4"/>
    <w:rsid w:val="34A771E5"/>
    <w:rsid w:val="385332EF"/>
    <w:rsid w:val="386F7517"/>
    <w:rsid w:val="3A204AEC"/>
    <w:rsid w:val="3BAB4873"/>
    <w:rsid w:val="40EC4968"/>
    <w:rsid w:val="423A6D1A"/>
    <w:rsid w:val="4A0325F6"/>
    <w:rsid w:val="55CD79BC"/>
    <w:rsid w:val="56F40F72"/>
    <w:rsid w:val="61452B94"/>
    <w:rsid w:val="66196162"/>
    <w:rsid w:val="6814614D"/>
    <w:rsid w:val="6F77126D"/>
    <w:rsid w:val="7259262A"/>
    <w:rsid w:val="73FE075C"/>
    <w:rsid w:val="76F825A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3">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9">
    <w:name w:val="Default Paragraph Font"/>
    <w:semiHidden/>
    <w:unhideWhenUsed/>
    <w:qFormat/>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spacing w:before="120"/>
      <w:jc w:val="left"/>
    </w:pPr>
    <w:rPr>
      <w:sz w:val="18"/>
      <w:szCs w:val="20"/>
    </w:rPr>
  </w:style>
  <w:style w:type="paragraph" w:styleId="5">
    <w:name w:val="header"/>
    <w:basedOn w:val="1"/>
    <w:qFormat/>
    <w:uiPriority w:val="0"/>
    <w:pPr>
      <w:tabs>
        <w:tab w:val="center" w:pos="4153"/>
        <w:tab w:val="right" w:pos="8306"/>
      </w:tabs>
      <w:snapToGrid w:val="0"/>
      <w:spacing w:line="360" w:lineRule="auto"/>
      <w:jc w:val="center"/>
    </w:pPr>
    <w:rPr>
      <w:sz w:val="18"/>
      <w:szCs w:val="20"/>
    </w:rPr>
  </w:style>
  <w:style w:type="paragraph" w:styleId="6">
    <w:name w:val="Normal (Web)"/>
    <w:basedOn w:val="1"/>
    <w:unhideWhenUsed/>
    <w:qFormat/>
    <w:uiPriority w:val="99"/>
    <w:pPr>
      <w:widowControl/>
      <w:spacing w:before="100" w:beforeAutospacing="1" w:after="100" w:afterAutospacing="1"/>
      <w:jc w:val="left"/>
    </w:pPr>
    <w:rPr>
      <w:rFonts w:ascii="宋体" w:hAnsi="宋体" w:cs="宋体"/>
      <w:kern w:val="0"/>
      <w:sz w:val="24"/>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0">
    <w:name w:val="主标题"/>
    <w:basedOn w:val="1"/>
    <w:qFormat/>
    <w:uiPriority w:val="0"/>
    <w:pPr>
      <w:spacing w:line="300" w:lineRule="auto"/>
      <w:ind w:firstLine="200" w:firstLineChars="200"/>
      <w:jc w:val="center"/>
    </w:pPr>
    <w:rPr>
      <w:rFonts w:ascii="Arial Black" w:hAnsi="Arial Black" w:eastAsia="黑体"/>
      <w:b/>
      <w:sz w:val="48"/>
    </w:rPr>
  </w:style>
  <w:style w:type="paragraph" w:customStyle="1" w:styleId="11">
    <w:name w:val="左表头"/>
    <w:basedOn w:val="12"/>
    <w:autoRedefine/>
    <w:qFormat/>
    <w:uiPriority w:val="0"/>
    <w:pPr>
      <w:spacing w:line="360" w:lineRule="auto"/>
      <w:jc w:val="center"/>
    </w:pPr>
    <w:rPr>
      <w:rFonts w:ascii="宋体" w:hAnsi="宋体"/>
      <w:sz w:val="22"/>
      <w:szCs w:val="22"/>
    </w:rPr>
  </w:style>
  <w:style w:type="paragraph" w:customStyle="1" w:styleId="12">
    <w:name w:val="表头文字"/>
    <w:basedOn w:val="1"/>
    <w:qFormat/>
    <w:uiPriority w:val="0"/>
    <w:rPr>
      <w:rFonts w:ascii="Arial" w:hAnsi="Arial"/>
      <w:b/>
      <w:szCs w:val="20"/>
    </w:rPr>
  </w:style>
  <w:style w:type="paragraph" w:customStyle="1" w:styleId="13">
    <w:name w:val="上表头"/>
    <w:basedOn w:val="1"/>
    <w:autoRedefine/>
    <w:qFormat/>
    <w:uiPriority w:val="0"/>
    <w:pPr>
      <w:jc w:val="left"/>
    </w:pPr>
    <w:rPr>
      <w:rFonts w:ascii="Arial" w:hAnsi="Arial"/>
      <w:b/>
      <w:szCs w:val="20"/>
    </w:rPr>
  </w:style>
  <w:style w:type="paragraph" w:customStyle="1" w:styleId="14">
    <w:name w:val="居中表头"/>
    <w:basedOn w:val="13"/>
    <w:autoRedefine/>
    <w:qFormat/>
    <w:uiPriority w:val="0"/>
    <w:pPr>
      <w:jc w:val="center"/>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MS</Company>
  <Pages>4</Pages>
  <Words>1809</Words>
  <Characters>1900</Characters>
  <Lines>8</Lines>
  <Paragraphs>2</Paragraphs>
  <TotalTime>0</TotalTime>
  <ScaleCrop>false</ScaleCrop>
  <LinksUpToDate>false</LinksUpToDate>
  <CharactersWithSpaces>1922</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2026-04-14T14:38:00Z</dcterms:created>
  <dc:creator>路灯</dc:creator>
  <cp:lastModifiedBy>谢雨孝</cp:lastModifiedBy>
  <dcterms:modified xsi:type="dcterms:W3CDTF">2026-07-12T09:29:59Z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43366360148E4593B0002D6A3C9C7750_13</vt:lpwstr>
  </property>
  <property fmtid="{D5CDD505-2E9C-101B-9397-08002B2CF9AE}" pid="4" name="KSOTemplateDocerSaveRecord">
    <vt:lpwstr>eyJoZGlkIjoiNTI1MTBjMTQwYWJkZjFmYjVlYTE3ZjE3ZDhmZjhiYWYiLCJ1c2VySWQiOiIxMjM5ODU3NjI1In0=</vt:lpwstr>
  </property>
</Properties>
</file>