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EXAMPLE COMPANY LIMITED</w:t>
      </w:r>
    </w:p>
    <w:p>
      <w:pPr>
        <w:jc w:val="center"/>
      </w:pPr>
      <w:r>
        <w:rPr>
          <w:b/>
          <w:sz w:val="40"/>
        </w:rPr>
        <w:t>Corporate Prospectus 2026</w:t>
      </w:r>
    </w:p>
    <w:p>
      <w:pPr>
        <w:jc w:val="center"/>
      </w:pPr>
      <w:r>
        <w:rPr>
          <w:sz w:val="24"/>
        </w:rPr>
        <w:t>Proposed Public Offering and Corporate Information Memorandum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160" w:type="dxa"/>
              <w:start w:w="160" w:type="dxa"/>
              <w:bottom w:w="160" w:type="dxa"/>
              <w:end w:w="160" w:type="dxa"/>
            </w:tcMar>
            <w:shd w:fill="EAF2F8"/>
          </w:tcPr>
          <w:p>
            <w:r>
              <w:rPr>
                <w:b/>
              </w:rPr>
              <w:t>Registered Office</w:t>
            </w:r>
          </w:p>
        </w:tc>
        <w:tc>
          <w:tcPr>
            <w:tcW w:type="dxa" w:w="5040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t>123 Example Street, Sample City 100001, India</w:t>
            </w:r>
          </w:p>
        </w:tc>
      </w:tr>
      <w:tr>
        <w:tc>
          <w:tcPr>
            <w:tcW w:type="dxa" w:w="5040"/>
            <w:tcMar>
              <w:top w:w="160" w:type="dxa"/>
              <w:start w:w="160" w:type="dxa"/>
              <w:bottom w:w="160" w:type="dxa"/>
              <w:end w:w="160" w:type="dxa"/>
            </w:tcMar>
            <w:shd w:fill="EAF2F8"/>
          </w:tcPr>
          <w:p>
            <w:r>
              <w:rPr>
                <w:b/>
              </w:rPr>
              <w:t>Corporate Identity No.</w:t>
            </w:r>
          </w:p>
        </w:tc>
        <w:tc>
          <w:tcPr>
            <w:tcW w:type="dxa" w:w="5040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t>U00000MH2020PTC000000</w:t>
            </w:r>
          </w:p>
        </w:tc>
      </w:tr>
      <w:tr>
        <w:tc>
          <w:tcPr>
            <w:tcW w:type="dxa" w:w="5040"/>
            <w:tcMar>
              <w:top w:w="160" w:type="dxa"/>
              <w:start w:w="160" w:type="dxa"/>
              <w:bottom w:w="160" w:type="dxa"/>
              <w:end w:w="160" w:type="dxa"/>
            </w:tcMar>
            <w:shd w:fill="EAF2F8"/>
          </w:tcPr>
          <w:p>
            <w:r>
              <w:rPr>
                <w:b/>
              </w:rPr>
              <w:t>Issue Size</w:t>
            </w:r>
          </w:p>
        </w:tc>
        <w:tc>
          <w:tcPr>
            <w:tcW w:type="dxa" w:w="5040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t>Up to INR 425 crore</w:t>
            </w:r>
          </w:p>
        </w:tc>
      </w:tr>
      <w:tr>
        <w:tc>
          <w:tcPr>
            <w:tcW w:type="dxa" w:w="5040"/>
            <w:tcMar>
              <w:top w:w="160" w:type="dxa"/>
              <w:start w:w="160" w:type="dxa"/>
              <w:bottom w:w="160" w:type="dxa"/>
              <w:end w:w="160" w:type="dxa"/>
            </w:tcMar>
            <w:shd w:fill="EAF2F8"/>
          </w:tcPr>
          <w:p>
            <w:r>
              <w:rPr>
                <w:b/>
              </w:rPr>
              <w:t>Document Date</w:t>
            </w:r>
          </w:p>
        </w:tc>
        <w:tc>
          <w:tcPr>
            <w:tcW w:type="dxa" w:w="5040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t>13 August 2026</w:t>
            </w:r>
          </w:p>
        </w:tc>
      </w:tr>
    </w:tbl>
    <w:p>
      <w:pPr>
        <w:jc w:val="center"/>
      </w:pPr>
      <w:r>
        <w:rPr>
          <w:b/>
          <w:sz w:val="22"/>
        </w:rPr>
        <w:br/>
        <w:t>CONFIDENTIAL TEST DOCUMENT</w:t>
      </w:r>
    </w:p>
    <w:p>
      <w:pPr>
        <w:jc w:val="center"/>
      </w:pPr>
      <w:r>
        <w:rPr>
          <w:i/>
          <w:sz w:val="18"/>
        </w:rPr>
        <w:t>All persons, companies, identifiers, account numbers and transactions in this document are fictional and created solely for software testing.</w:t>
      </w:r>
    </w:p>
    <w:p>
      <w:r>
        <w:br w:type="page"/>
      </w:r>
    </w:p>
    <w:p>
      <w:pPr>
        <w:pStyle w:val="Heading1"/>
      </w:pPr>
      <w:r>
        <w:t>1. Executive Overview</w:t>
      </w:r>
    </w:p>
    <w:p>
      <w:r>
        <w:t>EXAMPLE COMPANY LIMITED ("Northstar" or the "Company") is a fictional technology and business-services company incorporated in Maharashtra, India. The Company provides enterprise automation, data integration, managed analytics and compliance workflow solutions to mid-market and large customers across India, Singapore and the United Arab Emirates.</w:t>
      </w:r>
    </w:p>
    <w:p>
      <w:r>
        <w:t>The proposed offering is intended to fund product development, geographic expansion, debt repayment, data-centre capacity and general corporate purposes. This prospectus intentionally contains realistic-looking personal, financial and corporate identifiers to serve as a redaction-test fixture.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45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187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FY2024</w:t>
            </w:r>
          </w:p>
        </w:tc>
        <w:tc>
          <w:tcPr>
            <w:tcW w:type="dxa" w:w="187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FY2025</w:t>
            </w:r>
          </w:p>
        </w:tc>
        <w:tc>
          <w:tcPr>
            <w:tcW w:type="dxa" w:w="187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FY2026E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Revenue (INR crore)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182.4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236.8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311.5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EBITDA (INR crore)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31.7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48.9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70.3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PAT (INR crore)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16.9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28.4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42.1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612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784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935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Enterprise customers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148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193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241</w:t>
            </w:r>
          </w:p>
        </w:tc>
      </w:tr>
    </w:tbl>
    <w:p/>
    <w:p>
      <w:pPr>
        <w:pStyle w:val="Heading1"/>
      </w:pPr>
      <w:r>
        <w:t>2. Corporate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705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Legal name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EXAMPLE COMPANY LIMITED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CIN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U00000MH2020PTC000000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PAN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ABCDE0000A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GSTIN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27ABCDE0000A1Z0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LEI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335800NORTHSTARV26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Registered office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123 Example Street, Sample City 100001, India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Corporate office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123 Example Street, Sample City 100001, India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Main telephone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+91 70 0000 0000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Investor email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john.doe@example.com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Website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www.example.com</w:t>
            </w:r>
          </w:p>
        </w:tc>
      </w:tr>
    </w:tbl>
    <w:p/>
    <w:p>
      <w:pPr>
        <w:pStyle w:val="Heading1"/>
      </w:pPr>
      <w:r>
        <w:t>3. Directors and Key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80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194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237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180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Phone</w:t>
            </w:r>
          </w:p>
        </w:tc>
        <w:tc>
          <w:tcPr>
            <w:tcW w:type="dxa" w:w="316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ID / Address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Aarav Mehta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Managing Director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john.doe@example.com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+91 70000 00000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PAN: ABCDE0000A; 17 Palm Crest, Powai, Mumbai 400076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Ishita Rao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Chief Financial Officer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john.doe@example.com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+91 70000 00000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PAN: ABCDE0000A; 9 Lake View Road, Pune 411001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Rohan Malhotra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Chief Technology Officer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john.doe@example.com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+91 70000 00000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123 Example Street, Sample City 100001, India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Maya Sen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Independent Director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john.doe@example.com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+91 70000 00000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DIN: 00000000; 6 Queens Park, Kolkata 700019</w:t>
            </w:r>
          </w:p>
        </w:tc>
      </w:tr>
    </w:tbl>
    <w:p/>
    <w:p>
      <w:pPr>
        <w:pStyle w:val="Heading1"/>
      </w:pPr>
      <w:r>
        <w:t>4. Share Capital and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02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Shareholder</w:t>
            </w:r>
          </w:p>
        </w:tc>
        <w:tc>
          <w:tcPr>
            <w:tcW w:type="dxa" w:w="187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Shares</w:t>
            </w:r>
          </w:p>
        </w:tc>
        <w:tc>
          <w:tcPr>
            <w:tcW w:type="dxa" w:w="14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Holding</w:t>
            </w:r>
          </w:p>
        </w:tc>
        <w:tc>
          <w:tcPr>
            <w:tcW w:type="dxa" w:w="345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Contact / Identifier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Aarav Mehta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18,400,000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32.0%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Demat: 12081600 00491827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Blue River Growth Fund I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12,650,000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22.0%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Investor code: BRGF-IND-7741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Example Trust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5,750,000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10.0%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Trust PAN: ABCDE0000A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Example Trust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4,312,500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7.5%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Trust acct: NSV-ESOP-2026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Other shareholders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16,387,500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28.5%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Various</w:t>
            </w:r>
          </w:p>
        </w:tc>
      </w:tr>
    </w:tbl>
    <w:p/>
    <w:p>
      <w:r>
        <w:br w:type="page"/>
      </w:r>
    </w:p>
    <w:p>
      <w:pPr>
        <w:pStyle w:val="Heading1"/>
      </w:pPr>
      <w:r>
        <w:t>5. Financial Information</w:t>
      </w:r>
    </w:p>
    <w:p>
      <w:r>
        <w:t>The following summary financial information is synthetic but structured to resemble data commonly presented in an offering document.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88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INR crore</w:t>
            </w:r>
          </w:p>
        </w:tc>
        <w:tc>
          <w:tcPr>
            <w:tcW w:type="dxa" w:w="180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FY2024</w:t>
            </w:r>
          </w:p>
        </w:tc>
        <w:tc>
          <w:tcPr>
            <w:tcW w:type="dxa" w:w="180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FY2025</w:t>
            </w:r>
          </w:p>
        </w:tc>
        <w:tc>
          <w:tcPr>
            <w:tcW w:type="dxa" w:w="180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FY2026E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182.4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236.8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311.5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Cost of services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91.3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113.2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143.9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Employee cost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42.6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54.1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67.8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EBITDA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31.7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48.9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70.3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Depreciation &amp; amortisation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7.4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9.6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12.1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Finance cost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3.4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Profit before tax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20.0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35.5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54.8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Profit after tax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16.9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28.4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42.1</w:t>
            </w:r>
          </w:p>
        </w:tc>
      </w:tr>
    </w:tbl>
    <w:p/>
    <w:p>
      <w:pPr>
        <w:pStyle w:val="Heading1"/>
      </w:pPr>
      <w:r>
        <w:t>6. Banking and Financing Arrangements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44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Institution</w:t>
            </w:r>
          </w:p>
        </w:tc>
        <w:tc>
          <w:tcPr>
            <w:tcW w:type="dxa" w:w="230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Facility / Account</w:t>
            </w:r>
          </w:p>
        </w:tc>
        <w:tc>
          <w:tcPr>
            <w:tcW w:type="dxa" w:w="172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Amount</w:t>
            </w:r>
          </w:p>
        </w:tc>
        <w:tc>
          <w:tcPr>
            <w:tcW w:type="dxa" w:w="417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Example Bank Limited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Operating account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A/C 004928173600; IFSC NMBK0002147; SWIFT NMBKINBBMUM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Example Bank Limited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Working capital line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INR 65 crore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Loan ref HCB/WC/2025/88419; reset 1 Apr 2027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Example Bank Limited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Term loan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INR 42 crore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Loan A/C 77102948115; outstanding INR 19.6 crore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Example Bank Limited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Payroll account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A/C 110029884271; IFSC WCBL0000721</w:t>
            </w:r>
          </w:p>
        </w:tc>
      </w:tr>
    </w:tbl>
    <w:p/>
    <w:p>
      <w:pPr>
        <w:pStyle w:val="Heading1"/>
      </w:pPr>
      <w:r>
        <w:t>7. Material Customers and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16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Customer</w:t>
            </w:r>
          </w:p>
        </w:tc>
        <w:tc>
          <w:tcPr>
            <w:tcW w:type="dxa" w:w="187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Contract value</w:t>
            </w:r>
          </w:p>
        </w:tc>
        <w:tc>
          <w:tcPr>
            <w:tcW w:type="dxa" w:w="187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Primary contact</w:t>
            </w:r>
          </w:p>
        </w:tc>
        <w:tc>
          <w:tcPr>
            <w:tcW w:type="dxa" w:w="388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Contact details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Example Company Private Limited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INR 28.4 crore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Neel Kapoor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john.doe@example.com; +91 70000 00000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Example Company Limited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INR 21.7 crore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Farah Sheikh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john.doe@example.com; +91 70000 00000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Example Company Limited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INR 18.9 crore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Dr. John Doe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john.doe@example.com; +91 70000 00000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Example Company Private Limited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INR 16.6 crore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Vikram Joshi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john.doe@example.com; +91 70000 00000</w:t>
            </w:r>
          </w:p>
        </w:tc>
      </w:tr>
    </w:tbl>
    <w:p/>
    <w:p>
      <w:pPr>
        <w:pStyle w:val="Heading1"/>
      </w:pPr>
      <w:r>
        <w:t>8. Employee and Payroll Sample Data</w:t>
      </w:r>
    </w:p>
    <w:p>
      <w:r>
        <w:t>The records below are intentionally included as high-sensitivity test content to exercise redaction across tables and mixed identifier types.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8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Employee</w:t>
            </w:r>
          </w:p>
        </w:tc>
        <w:tc>
          <w:tcPr>
            <w:tcW w:type="dxa" w:w="194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Employee ID</w:t>
            </w:r>
          </w:p>
        </w:tc>
        <w:tc>
          <w:tcPr>
            <w:tcW w:type="dxa" w:w="158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DOB</w:t>
            </w:r>
          </w:p>
        </w:tc>
        <w:tc>
          <w:tcPr>
            <w:tcW w:type="dxa" w:w="518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Tax / Bank / Contact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Ananya Kulkarni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NSV-EMP-00481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14-Feb-1992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PAN ABCDE0000A; A/C 200000000000; +91 70000 00000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Dev Patel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NSV-EMP-00672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03-Nov-1988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PAN ABCDE0000A; A/C 200000000000; +91 70000 00000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Sana Qureshi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NSV-EMP-00819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22-Jun-1995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PAN ABCDE0000A; A/C 200000000000; +91 70000 00000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Arjun Bose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NSV-EMP-00934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09-Sep-1991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PAN ABCDE0000A; A/C 200000000000; +91 70000 00000</w:t>
            </w:r>
          </w:p>
        </w:tc>
      </w:tr>
    </w:tbl>
    <w:p/>
    <w:p>
      <w:r>
        <w:br w:type="page"/>
      </w:r>
    </w:p>
    <w:p>
      <w:pPr>
        <w:pStyle w:val="Heading1"/>
      </w:pPr>
      <w:r>
        <w:t>9. Risk Factors</w:t>
      </w:r>
    </w:p>
    <w:p>
      <w:r>
        <w:rPr>
          <w:b/>
        </w:rPr>
        <w:t xml:space="preserve">Customer concentration: </w:t>
      </w:r>
      <w:r>
        <w:t>The ten largest customers represented approximately 41% of FY2025 revenue. Loss of one or more major customers could materially affect operating performance.</w:t>
      </w:r>
    </w:p>
    <w:p>
      <w:r>
        <w:rPr>
          <w:b/>
        </w:rPr>
        <w:t xml:space="preserve">Data security and privacy: </w:t>
      </w:r>
      <w:r>
        <w:t>The Company processes customer and employee information. Security incidents, regulatory non-compliance or inadequate access controls could result in financial loss and reputational damage.</w:t>
      </w:r>
    </w:p>
    <w:p>
      <w:r>
        <w:rPr>
          <w:b/>
        </w:rPr>
        <w:t xml:space="preserve">Key-person dependency: </w:t>
      </w:r>
      <w:r>
        <w:t>The Company depends on senior executives and technical leaders. Sudden departures could disrupt delivery, sales and product development.</w:t>
      </w:r>
    </w:p>
    <w:p>
      <w:r>
        <w:rPr>
          <w:b/>
        </w:rPr>
        <w:t xml:space="preserve">Foreign exchange exposure: </w:t>
      </w:r>
      <w:r>
        <w:t>A portion of revenue and vendor expenses is denominated in USD, SGD and AED, creating translation and transaction exposure.</w:t>
      </w:r>
    </w:p>
    <w:p>
      <w:r>
        <w:rPr>
          <w:b/>
        </w:rPr>
        <w:t xml:space="preserve">Execution risk: </w:t>
      </w:r>
      <w:r>
        <w:t>The Company plans to scale rapidly after the offering; delays in hiring, product delivery or infrastructure expansion could reduce expected returns.</w:t>
      </w:r>
    </w:p>
    <w:p>
      <w:pPr>
        <w:pStyle w:val="Heading1"/>
      </w:pPr>
      <w:r>
        <w:t>10. Use of Proceeds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59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Allocation (INR crore)</w:t>
            </w:r>
          </w:p>
        </w:tc>
        <w:tc>
          <w:tcPr>
            <w:tcW w:type="dxa" w:w="244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% of Net Proceeds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Product engineering and AI automation platform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30%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Data centre and cloud capacity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22%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International expansion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18%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Repayment of borrowings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Working capital and general corporate purposes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15%</w:t>
            </w:r>
          </w:p>
        </w:tc>
      </w:tr>
    </w:tbl>
    <w:p/>
    <w:p>
      <w:pPr>
        <w:pStyle w:val="Heading1"/>
      </w:pPr>
      <w:r>
        <w:t>11. Legal, Regulatory and Compliance Matters</w:t>
      </w:r>
    </w:p>
    <w:p>
      <w:r>
        <w:t>The Company maintains internal policies covering data privacy, anti-bribery, information security, whistle-blower handling, related-party transactions and vendor due diligence. For testing purposes, the following reference numbers are fictional: SEBI correspondence ref. SEBI/CFD/NSV/2026/11482; MCA filing SRN AA7719246; labour registration MH-S&amp;E-2024-918234.</w:t>
      </w:r>
    </w:p>
    <w:p>
      <w:pPr>
        <w:pStyle w:val="Heading1"/>
      </w:pPr>
      <w:r>
        <w:t>12. Related-Party Transactions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88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Counterparty</w:t>
            </w:r>
          </w:p>
        </w:tc>
        <w:tc>
          <w:tcPr>
            <w:tcW w:type="dxa" w:w="302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Relationship</w:t>
            </w:r>
          </w:p>
        </w:tc>
        <w:tc>
          <w:tcPr>
            <w:tcW w:type="dxa" w:w="201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FY2025 amount</w:t>
            </w:r>
          </w:p>
        </w:tc>
        <w:tc>
          <w:tcPr>
            <w:tcW w:type="dxa" w:w="316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Reference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Example Advisory LLP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Entity controlled by promoter relative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INR 1.82 crore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Vendor ID V-001842; GSTIN 27ABCDE0000A1Z0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Rao Family Properties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Lease provider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INR 0.96 crore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Lease ref RFP/BKC/2024/16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Example Trust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Example Trust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INR 0.48 crore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Trust acct NEWT-01498</w:t>
            </w:r>
          </w:p>
        </w:tc>
      </w:tr>
    </w:tbl>
    <w:p/>
    <w:p>
      <w:pPr>
        <w:pStyle w:val="Heading1"/>
      </w:pPr>
      <w:r>
        <w:t>13. Registrar and Professional Advisers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38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Organisation / Person</w:t>
            </w:r>
          </w:p>
        </w:tc>
        <w:tc>
          <w:tcPr>
            <w:tcW w:type="dxa" w:w="482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Registrar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Example Company Private Limited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john.doe@example.com; +91 70 0000 0000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Legal counsel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Veritas Corporate Law Chambers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Lead: Rhea Menon; john.doe@example.com; +91 70000 00000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Statutory auditor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Dutt, Example Advisory LLP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Partner: Sameer Dutt; Membership No. 184229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Issue banker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Example Bank Limited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Escrow A/C 004928176511; IFSC NMBK0002147</w:t>
            </w:r>
          </w:p>
        </w:tc>
      </w:tr>
    </w:tbl>
    <w:p/>
    <w:p>
      <w:pPr>
        <w:pStyle w:val="Heading1"/>
      </w:pPr>
      <w:r>
        <w:t>14. Sample Investor Applications</w:t>
      </w:r>
    </w:p>
    <w:p>
      <w:r>
        <w:t>These fictional application records are included to provide dense redaction targets across names, addresses, email addresses, tax identifiers, bank details and payment references.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8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Applicant</w:t>
            </w:r>
          </w:p>
        </w:tc>
        <w:tc>
          <w:tcPr>
            <w:tcW w:type="dxa" w:w="295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338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Identifiers</w:t>
            </w:r>
          </w:p>
        </w:tc>
        <w:tc>
          <w:tcPr>
            <w:tcW w:type="dxa" w:w="280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Payment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Priya Sharma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23 Rosewood Apartments, Noida, Uttar Pradesh 201301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PAN ABCDE0000A; john.doe@example.com; +91 70000 00000</w:t>
            </w:r>
          </w:p>
        </w:tc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UPI priya.sharma87@upi; Ref 200000000000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Karan Iyer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8 Marine View, Kochi, Kerala 682001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PAN ABCDE0000A; john.doe@example.com; +91 70000 00000</w:t>
            </w:r>
          </w:p>
        </w:tc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A/C 091842760119; IFSC HDFC0001842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Zoya Khan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123 Example Street, Sample City 100001, India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PAN ABCDE0000A; john.doe@example.com; +91 70000 00000</w:t>
            </w:r>
          </w:p>
        </w:tc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A/C 200000000000; IFSC ICIC0002291</w:t>
            </w:r>
          </w:p>
        </w:tc>
      </w:tr>
    </w:tbl>
    <w:p/>
    <w:p>
      <w:r>
        <w:br w:type="page"/>
      </w:r>
    </w:p>
    <w:p>
      <w:pPr>
        <w:pStyle w:val="Heading1"/>
      </w:pPr>
      <w:r>
        <w:t>15. Redaction Test Inventory</w:t>
      </w:r>
    </w:p>
    <w:p>
      <w:r>
        <w:t>The document contains the following categories of synthetic sensitive data: personal names, postal addresses, email addresses, telephone numbers, dates of birth, PAN-style tax identifiers, GSTINs, CIN and DIN identifiers, passport-style numbers, employee IDs, bank account numbers, IFSC and SWIFT codes, Demat-style references, UPI handles, loan references, application payment references, membership numbers and contract/vendor identifiers.</w:t>
      </w:r>
    </w:p>
    <w:p>
      <w:r>
        <w:t>Recommended test cases include: exact-match redaction; regex-based masking; preserving last four digits; redaction inside tables; header/footer scanning; mixed punctuation; identifiers adjacent to labels; multi-line addresses; and ensuring ordinary financial amounts are not falsely redacted.</w:t>
      </w:r>
    </w:p>
    <w:sectPr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EXAMPLE COMPANY LIMITED - Synthetic Prospectus for Redaction Testing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Ventures Limited - Synthetic Corporate Prospectus</dc:title>
  <dc:subject>Synthetic redaction test fixture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