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276" w:lineRule="auto"/>
        <w:jc w:val="right"/>
      </w:pPr>
      <w:r>
        <w:rPr>
          <w:rFonts w:ascii="Times New Roman" w:hAnsi="Times New Roman" w:eastAsia="Times New Roman"/>
          <w:b w:val="0"/>
          <w:color w:val="000000"/>
          <w:sz w:val="32"/>
        </w:rPr>
        <w:t>Осьмушкин Н.М. 25222</w:t>
      </w:r>
    </w:p>
    <w:p>
      <w:pPr>
        <w:spacing w:after="240" w:before="0" w:line="276" w:lineRule="auto"/>
        <w:jc w:val="center"/>
      </w:pPr>
      <w:r>
        <w:rPr>
          <w:rFonts w:ascii="Times New Roman" w:hAnsi="Times New Roman" w:eastAsia="Times New Roman"/>
          <w:b/>
          <w:color w:val="000000"/>
          <w:sz w:val="32"/>
        </w:rPr>
        <w:t>Классификация растровых изображений с помощью kNN и поиск выбросов методом ODIN</w:t>
      </w:r>
    </w:p>
    <w:p>
      <w:pPr>
        <w:spacing w:after="120" w:before="0" w:line="276" w:lineRule="auto"/>
      </w:pPr>
      <w:r>
        <w:rPr>
          <w:rFonts w:ascii="Times New Roman" w:hAnsi="Times New Roman" w:eastAsia="Times New Roman"/>
          <w:b/>
          <w:color w:val="000000"/>
          <w:sz w:val="28"/>
        </w:rPr>
        <w:t>Цель работы:</w:t>
      </w:r>
      <w:r>
        <w:rPr>
          <w:rFonts w:ascii="Times New Roman" w:hAnsi="Times New Roman" w:eastAsia="Times New Roman"/>
          <w:b w:val="0"/>
          <w:color w:val="000000"/>
          <w:sz w:val="28"/>
        </w:rPr>
        <w:t xml:space="preserve"> исследовать распознавание бинарных и полутоновых изображений методом k ближайших соседей, сравнить несколько мер близости и проверить два способа обнаружения выбросов.</w:t>
      </w:r>
    </w:p>
    <w:p>
      <w:pPr>
        <w:spacing w:after="120" w:before="240" w:line="276" w:lineRule="auto"/>
      </w:pPr>
      <w:r>
        <w:rPr>
          <w:rFonts w:ascii="Times New Roman" w:hAnsi="Times New Roman" w:eastAsia="Times New Roman"/>
          <w:b/>
          <w:color w:val="000000"/>
          <w:sz w:val="32"/>
        </w:rPr>
        <w:t>Исходные данные</w:t>
      </w:r>
    </w:p>
    <w:p>
      <w:pPr>
        <w:spacing w:after="120" w:before="0" w:line="276" w:lineRule="auto"/>
      </w:pPr>
      <w:r>
        <w:rPr>
          <w:rFonts w:ascii="Times New Roman" w:hAnsi="Times New Roman" w:eastAsia="Times New Roman"/>
          <w:b w:val="0"/>
          <w:color w:val="000000"/>
          <w:sz w:val="28"/>
        </w:rPr>
        <w:t>В работе использовались шесть синтетических эталонов размером 16 на 16 пикселей: диск, кольцо, горизонтальная полоса, вертикальная полоса, диагональ и рамка. После разворачивания каждое изображение становится вектором из 256 признаков.</w:t>
      </w:r>
    </w:p>
    <w:p>
      <w:pPr>
        <w:spacing w:after="120" w:before="0" w:line="276" w:lineRule="auto"/>
      </w:pPr>
      <w:r>
        <w:rPr>
          <w:rFonts w:ascii="Times New Roman" w:hAnsi="Times New Roman" w:eastAsia="Times New Roman"/>
          <w:b w:val="0"/>
          <w:color w:val="000000"/>
          <w:sz w:val="28"/>
        </w:rPr>
        <w:t>Были подготовлены две версии данных. В бинарной версии пиксели равны 0 или 1. В полутоновой фон равен 40, а фигура — 160, то есть контраст меньше полного диапазона яркости. В обучающую выборку вошло по 24 зашумлённые копии каждого класса, в тестовую — по 40. Итого использовалось 144 обучающих и 240 тестовых изображений. Число своих копий больше максимального k = 11, поэтому соседи не набираются из чужих классов только из-за нехватки своих.</w:t>
      </w:r>
    </w:p>
    <w:p>
      <w:pPr>
        <w:spacing w:after="40"/>
        <w:jc w:val="center"/>
      </w:pPr>
      <w:r>
        <w:drawing>
          <wp:inline xmlns:a="http://schemas.openxmlformats.org/drawingml/2006/main" xmlns:pic="http://schemas.openxmlformats.org/drawingml/2006/picture">
            <wp:extent cx="5760000" cy="1152000"/>
            <wp:docPr id="1" name="Picture 1"/>
            <wp:cNvGraphicFramePr>
              <a:graphicFrameLocks noChangeAspect="1"/>
            </wp:cNvGraphicFramePr>
            <a:graphic>
              <a:graphicData uri="http://schemas.openxmlformats.org/drawingml/2006/picture">
                <pic:pic>
                  <pic:nvPicPr>
                    <pic:cNvPr id="0" name="prototypes.png"/>
                    <pic:cNvPicPr/>
                  </pic:nvPicPr>
                  <pic:blipFill>
                    <a:blip r:embed="rId9"/>
                    <a:stretch>
                      <a:fillRect/>
                    </a:stretch>
                  </pic:blipFill>
                  <pic:spPr>
                    <a:xfrm>
                      <a:off x="0" y="0"/>
                      <a:ext cx="5760000" cy="1152000"/>
                    </a:xfrm>
                    <a:prstGeom prst="rect"/>
                  </pic:spPr>
                </pic:pic>
              </a:graphicData>
            </a:graphic>
          </wp:inline>
        </w:drawing>
      </w:r>
    </w:p>
    <w:p>
      <w:pPr>
        <w:spacing w:after="240" w:before="0" w:line="276" w:lineRule="auto"/>
        <w:jc w:val="center"/>
      </w:pPr>
      <w:r>
        <w:rPr>
          <w:rFonts w:ascii="Times New Roman" w:hAnsi="Times New Roman" w:eastAsia="Times New Roman"/>
          <w:b w:val="0"/>
          <w:color w:val="000000"/>
          <w:sz w:val="24"/>
        </w:rPr>
        <w:t>Рисунок 1 — Эталонные бинарные изображения</w:t>
      </w:r>
    </w:p>
    <w:p>
      <w:pPr>
        <w:spacing w:after="120" w:before="240" w:line="276" w:lineRule="auto"/>
      </w:pPr>
      <w:r>
        <w:rPr>
          <w:rFonts w:ascii="Times New Roman" w:hAnsi="Times New Roman" w:eastAsia="Times New Roman"/>
          <w:b/>
          <w:color w:val="000000"/>
          <w:sz w:val="32"/>
        </w:rPr>
        <w:t>Зашумление изображений</w:t>
      </w:r>
    </w:p>
    <w:p>
      <w:pPr>
        <w:spacing w:after="120" w:before="0" w:line="276" w:lineRule="auto"/>
      </w:pPr>
      <w:r>
        <w:rPr>
          <w:rFonts w:ascii="Times New Roman" w:hAnsi="Times New Roman" w:eastAsia="Times New Roman"/>
          <w:b w:val="0"/>
          <w:color w:val="000000"/>
          <w:sz w:val="28"/>
        </w:rPr>
        <w:t>Равномерный шум действует на каждый пиксель одинаково. У бинарного изображения пиксель переворачивается с вероятностью 0,30. У полутонового к яркости прибавляется случайное число из интервала от −40 до 40, после чего значение ограничивается диапазоном от 0 до 255.</w:t>
      </w:r>
    </w:p>
    <w:p>
      <w:pPr>
        <w:spacing w:after="120" w:before="0" w:line="276" w:lineRule="auto"/>
      </w:pPr>
      <w:r>
        <w:rPr>
          <w:rFonts w:ascii="Times New Roman" w:hAnsi="Times New Roman" w:eastAsia="Times New Roman"/>
          <w:b w:val="0"/>
          <w:color w:val="000000"/>
          <w:sz w:val="28"/>
        </w:rPr>
        <w:t>Неравномерный шум сильнее портит только часть пикселей. У бинарного изображения 35 % пикселей переворачиваются с вероятностью 0,75, остальные — с вероятностью 0,08. У полутонового все пиксели получают слабый шум ±8, а 12 % заменяются случайной яркостью от 0 до 255. Такой пиксель меняется сильнее, чем межклассовый контраст 120, и это особенно важно для расстояния Чебышёва.</w:t>
      </w:r>
    </w:p>
    <w:p>
      <w:pPr>
        <w:spacing w:after="40"/>
        <w:jc w:val="center"/>
      </w:pPr>
      <w:r>
        <w:drawing>
          <wp:inline xmlns:a="http://schemas.openxmlformats.org/drawingml/2006/main" xmlns:pic="http://schemas.openxmlformats.org/drawingml/2006/picture">
            <wp:extent cx="5040000" cy="3276000"/>
            <wp:docPr id="2" name="Picture 2"/>
            <wp:cNvGraphicFramePr>
              <a:graphicFrameLocks noChangeAspect="1"/>
            </wp:cNvGraphicFramePr>
            <a:graphic>
              <a:graphicData uri="http://schemas.openxmlformats.org/drawingml/2006/picture">
                <pic:pic>
                  <pic:nvPicPr>
                    <pic:cNvPr id="0" name="noise_examples.png"/>
                    <pic:cNvPicPr/>
                  </pic:nvPicPr>
                  <pic:blipFill>
                    <a:blip r:embed="rId10"/>
                    <a:stretch>
                      <a:fillRect/>
                    </a:stretch>
                  </pic:blipFill>
                  <pic:spPr>
                    <a:xfrm>
                      <a:off x="0" y="0"/>
                      <a:ext cx="5040000" cy="3276000"/>
                    </a:xfrm>
                    <a:prstGeom prst="rect"/>
                  </pic:spPr>
                </pic:pic>
              </a:graphicData>
            </a:graphic>
          </wp:inline>
        </w:drawing>
      </w:r>
    </w:p>
    <w:p>
      <w:pPr>
        <w:spacing w:after="240" w:before="0" w:line="276" w:lineRule="auto"/>
        <w:jc w:val="center"/>
      </w:pPr>
      <w:r>
        <w:rPr>
          <w:rFonts w:ascii="Times New Roman" w:hAnsi="Times New Roman" w:eastAsia="Times New Roman"/>
          <w:b w:val="0"/>
          <w:color w:val="000000"/>
          <w:sz w:val="24"/>
        </w:rPr>
        <w:t>Рисунок 2 — Класс 0 до и после зашумления</w:t>
      </w:r>
    </w:p>
    <w:p>
      <w:pPr>
        <w:spacing w:after="120" w:before="240" w:line="276" w:lineRule="auto"/>
      </w:pPr>
      <w:r>
        <w:rPr>
          <w:rFonts w:ascii="Times New Roman" w:hAnsi="Times New Roman" w:eastAsia="Times New Roman"/>
          <w:b/>
          <w:color w:val="000000"/>
          <w:sz w:val="32"/>
        </w:rPr>
        <w:t>Классификация методом kNN</w:t>
      </w:r>
    </w:p>
    <w:p>
      <w:pPr>
        <w:spacing w:after="120" w:before="0" w:line="276" w:lineRule="auto"/>
      </w:pPr>
      <w:r>
        <w:rPr>
          <w:rFonts w:ascii="Times New Roman" w:hAnsi="Times New Roman" w:eastAsia="Times New Roman"/>
          <w:b w:val="0"/>
          <w:color w:val="000000"/>
          <w:sz w:val="28"/>
        </w:rPr>
        <w:t>Для каждого тестового изображения вычислялись расстояния до всех объектов обучающей выборки. Затем набирались k ближайших соседей, и изображению назначался класс, который чаще всего встречался среди их меток. Если два класса набирали поровну, выбирался тот, чей сосед ближе. Проверялись значения k, равные 1, 3, 5, 7 и 11.</w:t>
      </w:r>
    </w:p>
    <w:p>
      <w:pPr>
        <w:spacing w:after="120" w:before="0" w:line="276" w:lineRule="auto"/>
      </w:pPr>
      <w:r>
        <w:rPr>
          <w:rFonts w:ascii="Times New Roman" w:hAnsi="Times New Roman" w:eastAsia="Times New Roman"/>
          <w:b w:val="0"/>
          <w:color w:val="000000"/>
          <w:sz w:val="28"/>
        </w:rPr>
        <w:t>В эксперимент вошли евклидово расстояние, квадрат евклидова расстояния, манхэттенская метрика, взвешенное евклидово расстояние и расстояние Чебышёва. Вес пикселя во взвешенной метрике равен его дисперсии по шести чистым эталонам. Пиксель, которым классы отличаются, влияет сильнее. Пиксель, одинаковый у всех эталонов, получает нулевой вес.</w:t>
      </w:r>
    </w:p>
    <w:p>
      <w:pPr>
        <w:spacing w:after="120" w:before="240" w:line="276" w:lineRule="auto"/>
      </w:pPr>
      <w:r>
        <w:rPr>
          <w:rFonts w:ascii="Times New Roman" w:hAnsi="Times New Roman" w:eastAsia="Times New Roman"/>
          <w:b/>
          <w:color w:val="000000"/>
          <w:sz w:val="32"/>
        </w:rPr>
        <w:t>Результаты распознавания</w:t>
      </w:r>
    </w:p>
    <w:p>
      <w:pPr>
        <w:spacing w:after="120" w:before="0" w:line="276" w:lineRule="auto"/>
      </w:pPr>
      <w:r>
        <w:rPr>
          <w:rFonts w:ascii="Times New Roman" w:hAnsi="Times New Roman" w:eastAsia="Times New Roman"/>
          <w:b w:val="0"/>
          <w:color w:val="000000"/>
          <w:sz w:val="28"/>
        </w:rPr>
        <w:t>В таблице приведена лучшая точность каждой серии. Полная зависимость от k показана на рисунке 3.</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fill="F2F2F2"/>
          </w:tcPr>
          <w:p>
            <w:pPr>
              <w:spacing w:after="0" w:before="0"/>
              <w:jc w:val="center"/>
            </w:pPr>
            <w:r/>
            <w:r>
              <w:rPr>
                <w:rFonts w:ascii="Times New Roman" w:hAnsi="Times New Roman" w:eastAsia="Times New Roman"/>
                <w:b/>
                <w:color w:val="000000"/>
                <w:sz w:val="24"/>
              </w:rPr>
              <w:t>Изображение</w:t>
            </w:r>
          </w:p>
        </w:tc>
        <w:tc>
          <w:tcPr>
            <w:tcW w:type="dxa" w:w="2409"/>
            <w:shd w:fill="F2F2F2"/>
          </w:tcPr>
          <w:p>
            <w:pPr>
              <w:spacing w:after="0" w:before="0"/>
              <w:jc w:val="center"/>
            </w:pPr>
            <w:r/>
            <w:r>
              <w:rPr>
                <w:rFonts w:ascii="Times New Roman" w:hAnsi="Times New Roman" w:eastAsia="Times New Roman"/>
                <w:b/>
                <w:color w:val="000000"/>
                <w:sz w:val="24"/>
              </w:rPr>
              <w:t>Шум</w:t>
            </w:r>
          </w:p>
        </w:tc>
        <w:tc>
          <w:tcPr>
            <w:tcW w:type="dxa" w:w="2409"/>
            <w:shd w:fill="F2F2F2"/>
          </w:tcPr>
          <w:p>
            <w:pPr>
              <w:spacing w:after="0" w:before="0"/>
              <w:jc w:val="center"/>
            </w:pPr>
            <w:r/>
            <w:r>
              <w:rPr>
                <w:rFonts w:ascii="Times New Roman" w:hAnsi="Times New Roman" w:eastAsia="Times New Roman"/>
                <w:b/>
                <w:color w:val="000000"/>
                <w:sz w:val="24"/>
              </w:rPr>
              <w:t>Точность</w:t>
            </w:r>
          </w:p>
        </w:tc>
        <w:tc>
          <w:tcPr>
            <w:tcW w:type="dxa" w:w="2409"/>
            <w:shd w:fill="F2F2F2"/>
          </w:tcPr>
          <w:p>
            <w:pPr>
              <w:spacing w:after="0" w:before="0"/>
              <w:jc w:val="center"/>
            </w:pPr>
            <w:r/>
            <w:r>
              <w:rPr>
                <w:rFonts w:ascii="Times New Roman" w:hAnsi="Times New Roman" w:eastAsia="Times New Roman"/>
                <w:b/>
                <w:color w:val="000000"/>
                <w:sz w:val="24"/>
              </w:rPr>
              <w:t>Лучший вариант</w:t>
            </w:r>
          </w:p>
        </w:tc>
      </w:tr>
      <w:tr>
        <w:tc>
          <w:tcPr>
            <w:tcW w:type="dxa" w:w="2409"/>
          </w:tcPr>
          <w:p>
            <w:pPr>
              <w:spacing w:after="0" w:before="0"/>
              <w:jc w:val="center"/>
            </w:pPr>
            <w:r/>
            <w:r>
              <w:rPr>
                <w:rFonts w:ascii="Times New Roman" w:hAnsi="Times New Roman" w:eastAsia="Times New Roman"/>
                <w:b w:val="0"/>
                <w:color w:val="000000"/>
                <w:sz w:val="24"/>
              </w:rPr>
              <w:t>Бинарное</w:t>
            </w:r>
          </w:p>
        </w:tc>
        <w:tc>
          <w:tcPr>
            <w:tcW w:type="dxa" w:w="2409"/>
          </w:tcPr>
          <w:p>
            <w:pPr>
              <w:spacing w:after="0" w:before="0"/>
              <w:jc w:val="center"/>
            </w:pPr>
            <w:r/>
            <w:r>
              <w:rPr>
                <w:rFonts w:ascii="Times New Roman" w:hAnsi="Times New Roman" w:eastAsia="Times New Roman"/>
                <w:b w:val="0"/>
                <w:color w:val="000000"/>
                <w:sz w:val="24"/>
              </w:rPr>
              <w:t>Равномерный</w:t>
            </w:r>
          </w:p>
        </w:tc>
        <w:tc>
          <w:tcPr>
            <w:tcW w:type="dxa" w:w="2409"/>
          </w:tcPr>
          <w:p>
            <w:pPr>
              <w:spacing w:after="0" w:before="0"/>
              <w:jc w:val="center"/>
            </w:pPr>
            <w:r/>
            <w:r>
              <w:rPr>
                <w:rFonts w:ascii="Times New Roman" w:hAnsi="Times New Roman" w:eastAsia="Times New Roman"/>
                <w:b w:val="0"/>
                <w:color w:val="000000"/>
                <w:sz w:val="24"/>
              </w:rPr>
              <w:t>97,9 %</w:t>
            </w:r>
          </w:p>
        </w:tc>
        <w:tc>
          <w:tcPr>
            <w:tcW w:type="dxa" w:w="2409"/>
          </w:tcPr>
          <w:p>
            <w:pPr>
              <w:spacing w:after="0" w:before="0"/>
              <w:jc w:val="center"/>
            </w:pPr>
            <w:r/>
            <w:r>
              <w:rPr>
                <w:rFonts w:ascii="Times New Roman" w:hAnsi="Times New Roman" w:eastAsia="Times New Roman"/>
                <w:b w:val="0"/>
                <w:color w:val="000000"/>
                <w:sz w:val="24"/>
              </w:rPr>
              <w:t>евклидова, k = 11</w:t>
            </w:r>
          </w:p>
        </w:tc>
      </w:tr>
      <w:tr>
        <w:tc>
          <w:tcPr>
            <w:tcW w:type="dxa" w:w="2409"/>
          </w:tcPr>
          <w:p>
            <w:pPr>
              <w:spacing w:after="0" w:before="0"/>
              <w:jc w:val="center"/>
            </w:pPr>
            <w:r/>
            <w:r>
              <w:rPr>
                <w:rFonts w:ascii="Times New Roman" w:hAnsi="Times New Roman" w:eastAsia="Times New Roman"/>
                <w:b w:val="0"/>
                <w:color w:val="000000"/>
                <w:sz w:val="24"/>
              </w:rPr>
              <w:t>Бинарное</w:t>
            </w:r>
          </w:p>
        </w:tc>
        <w:tc>
          <w:tcPr>
            <w:tcW w:type="dxa" w:w="2409"/>
          </w:tcPr>
          <w:p>
            <w:pPr>
              <w:spacing w:after="0" w:before="0"/>
              <w:jc w:val="center"/>
            </w:pPr>
            <w:r/>
            <w:r>
              <w:rPr>
                <w:rFonts w:ascii="Times New Roman" w:hAnsi="Times New Roman" w:eastAsia="Times New Roman"/>
                <w:b w:val="0"/>
                <w:color w:val="000000"/>
                <w:sz w:val="24"/>
              </w:rPr>
              <w:t>Неравномерный</w:t>
            </w:r>
          </w:p>
        </w:tc>
        <w:tc>
          <w:tcPr>
            <w:tcW w:type="dxa" w:w="2409"/>
          </w:tcPr>
          <w:p>
            <w:pPr>
              <w:spacing w:after="0" w:before="0"/>
              <w:jc w:val="center"/>
            </w:pPr>
            <w:r/>
            <w:r>
              <w:rPr>
                <w:rFonts w:ascii="Times New Roman" w:hAnsi="Times New Roman" w:eastAsia="Times New Roman"/>
                <w:b w:val="0"/>
                <w:color w:val="000000"/>
                <w:sz w:val="24"/>
              </w:rPr>
              <w:t>97,9 %</w:t>
            </w:r>
          </w:p>
        </w:tc>
        <w:tc>
          <w:tcPr>
            <w:tcW w:type="dxa" w:w="2409"/>
          </w:tcPr>
          <w:p>
            <w:pPr>
              <w:spacing w:after="0" w:before="0"/>
              <w:jc w:val="center"/>
            </w:pPr>
            <w:r/>
            <w:r>
              <w:rPr>
                <w:rFonts w:ascii="Times New Roman" w:hAnsi="Times New Roman" w:eastAsia="Times New Roman"/>
                <w:b w:val="0"/>
                <w:color w:val="000000"/>
                <w:sz w:val="24"/>
              </w:rPr>
              <w:t>взвешенная евклидова, k = 7</w:t>
            </w:r>
          </w:p>
        </w:tc>
      </w:tr>
      <w:tr>
        <w:tc>
          <w:tcPr>
            <w:tcW w:type="dxa" w:w="2409"/>
          </w:tcPr>
          <w:p>
            <w:pPr>
              <w:spacing w:after="0" w:before="0"/>
              <w:jc w:val="center"/>
            </w:pPr>
            <w:r/>
            <w:r>
              <w:rPr>
                <w:rFonts w:ascii="Times New Roman" w:hAnsi="Times New Roman" w:eastAsia="Times New Roman"/>
                <w:b w:val="0"/>
                <w:color w:val="000000"/>
                <w:sz w:val="24"/>
              </w:rPr>
              <w:t>Полутоновое</w:t>
            </w:r>
          </w:p>
        </w:tc>
        <w:tc>
          <w:tcPr>
            <w:tcW w:type="dxa" w:w="2409"/>
          </w:tcPr>
          <w:p>
            <w:pPr>
              <w:spacing w:after="0" w:before="0"/>
              <w:jc w:val="center"/>
            </w:pPr>
            <w:r/>
            <w:r>
              <w:rPr>
                <w:rFonts w:ascii="Times New Roman" w:hAnsi="Times New Roman" w:eastAsia="Times New Roman"/>
                <w:b w:val="0"/>
                <w:color w:val="000000"/>
                <w:sz w:val="24"/>
              </w:rPr>
              <w:t>Равномерный</w:t>
            </w:r>
          </w:p>
        </w:tc>
        <w:tc>
          <w:tcPr>
            <w:tcW w:type="dxa" w:w="2409"/>
          </w:tcPr>
          <w:p>
            <w:pPr>
              <w:spacing w:after="0" w:before="0"/>
              <w:jc w:val="center"/>
            </w:pPr>
            <w:r/>
            <w:r>
              <w:rPr>
                <w:rFonts w:ascii="Times New Roman" w:hAnsi="Times New Roman" w:eastAsia="Times New Roman"/>
                <w:b w:val="0"/>
                <w:color w:val="000000"/>
                <w:sz w:val="24"/>
              </w:rPr>
              <w:t>100 %</w:t>
            </w:r>
          </w:p>
        </w:tc>
        <w:tc>
          <w:tcPr>
            <w:tcW w:type="dxa" w:w="2409"/>
          </w:tcPr>
          <w:p>
            <w:pPr>
              <w:spacing w:after="0" w:before="0"/>
              <w:jc w:val="center"/>
            </w:pPr>
            <w:r/>
            <w:r>
              <w:rPr>
                <w:rFonts w:ascii="Times New Roman" w:hAnsi="Times New Roman" w:eastAsia="Times New Roman"/>
                <w:b w:val="0"/>
                <w:color w:val="000000"/>
                <w:sz w:val="24"/>
              </w:rPr>
              <w:t>евклидова, k = 1</w:t>
            </w:r>
          </w:p>
        </w:tc>
      </w:tr>
      <w:tr>
        <w:tc>
          <w:tcPr>
            <w:tcW w:type="dxa" w:w="2409"/>
          </w:tcPr>
          <w:p>
            <w:pPr>
              <w:spacing w:after="0" w:before="0"/>
              <w:jc w:val="center"/>
            </w:pPr>
            <w:r/>
            <w:r>
              <w:rPr>
                <w:rFonts w:ascii="Times New Roman" w:hAnsi="Times New Roman" w:eastAsia="Times New Roman"/>
                <w:b w:val="0"/>
                <w:color w:val="000000"/>
                <w:sz w:val="24"/>
              </w:rPr>
              <w:t>Полутоновое</w:t>
            </w:r>
          </w:p>
        </w:tc>
        <w:tc>
          <w:tcPr>
            <w:tcW w:type="dxa" w:w="2409"/>
          </w:tcPr>
          <w:p>
            <w:pPr>
              <w:spacing w:after="0" w:before="0"/>
              <w:jc w:val="center"/>
            </w:pPr>
            <w:r/>
            <w:r>
              <w:rPr>
                <w:rFonts w:ascii="Times New Roman" w:hAnsi="Times New Roman" w:eastAsia="Times New Roman"/>
                <w:b w:val="0"/>
                <w:color w:val="000000"/>
                <w:sz w:val="24"/>
              </w:rPr>
              <w:t>Неравномерный</w:t>
            </w:r>
          </w:p>
        </w:tc>
        <w:tc>
          <w:tcPr>
            <w:tcW w:type="dxa" w:w="2409"/>
          </w:tcPr>
          <w:p>
            <w:pPr>
              <w:spacing w:after="0" w:before="0"/>
              <w:jc w:val="center"/>
            </w:pPr>
            <w:r/>
            <w:r>
              <w:rPr>
                <w:rFonts w:ascii="Times New Roman" w:hAnsi="Times New Roman" w:eastAsia="Times New Roman"/>
                <w:b w:val="0"/>
                <w:color w:val="000000"/>
                <w:sz w:val="24"/>
              </w:rPr>
              <w:t>100 %</w:t>
            </w:r>
          </w:p>
        </w:tc>
        <w:tc>
          <w:tcPr>
            <w:tcW w:type="dxa" w:w="2409"/>
          </w:tcPr>
          <w:p>
            <w:pPr>
              <w:spacing w:after="0" w:before="0"/>
              <w:jc w:val="center"/>
            </w:pPr>
            <w:r/>
            <w:r>
              <w:rPr>
                <w:rFonts w:ascii="Times New Roman" w:hAnsi="Times New Roman" w:eastAsia="Times New Roman"/>
                <w:b w:val="0"/>
                <w:color w:val="000000"/>
                <w:sz w:val="24"/>
              </w:rPr>
              <w:t>евклидова, k = 1</w:t>
            </w:r>
          </w:p>
        </w:tc>
      </w:tr>
    </w:tbl>
    <w:p/>
    <w:p>
      <w:pPr>
        <w:spacing w:after="120" w:before="0" w:line="276" w:lineRule="auto"/>
      </w:pPr>
      <w:r>
        <w:rPr>
          <w:rFonts w:ascii="Times New Roman" w:hAnsi="Times New Roman" w:eastAsia="Times New Roman"/>
          <w:b w:val="0"/>
          <w:color w:val="000000"/>
          <w:sz w:val="28"/>
        </w:rPr>
        <w:t>На бинарных изображениях евклидова норма, её квадрат и манхэттенская метрика дают один и тот же процент: пиксель отличается на 0 или 1, и эти три формулы одинаково упорядочивают соседей. При равномерном шуме точность растёт от 90,8 % при k = 1 до 97,9 % при k = 11. При неравномерном шуме взвешенная норма достигает тех же 97,9 % уже при k = 7.</w:t>
      </w:r>
    </w:p>
    <w:p>
      <w:pPr>
        <w:spacing w:after="120" w:before="0" w:line="276" w:lineRule="auto"/>
      </w:pPr>
      <w:r>
        <w:rPr>
          <w:rFonts w:ascii="Times New Roman" w:hAnsi="Times New Roman" w:eastAsia="Times New Roman"/>
          <w:b w:val="0"/>
          <w:color w:val="000000"/>
          <w:sz w:val="28"/>
        </w:rPr>
        <w:t>Полутоновые изображения при равномерном шуме ±40 распознаются всеми пятью мерами на 100 %. Контраст фигур равен 120, а шум его не перекрывает. При замене 12 % пикселей случайным значением евклидова, манхэттенская и взвешенная нормы тоже остаются на 100 %. Расстояние Чебышёва падает до 17–19 %.</w:t>
      </w:r>
    </w:p>
    <w:p>
      <w:pPr>
        <w:spacing w:after="40"/>
        <w:jc w:val="center"/>
      </w:pPr>
      <w:r>
        <w:drawing>
          <wp:inline xmlns:a="http://schemas.openxmlformats.org/drawingml/2006/main" xmlns:pic="http://schemas.openxmlformats.org/drawingml/2006/picture">
            <wp:extent cx="5580000" cy="3906000"/>
            <wp:docPr id="3" name="Picture 3"/>
            <wp:cNvGraphicFramePr>
              <a:graphicFrameLocks noChangeAspect="1"/>
            </wp:cNvGraphicFramePr>
            <a:graphic>
              <a:graphicData uri="http://schemas.openxmlformats.org/drawingml/2006/picture">
                <pic:pic>
                  <pic:nvPicPr>
                    <pic:cNvPr id="0" name="accuracy.png"/>
                    <pic:cNvPicPr/>
                  </pic:nvPicPr>
                  <pic:blipFill>
                    <a:blip r:embed="rId11"/>
                    <a:stretch>
                      <a:fillRect/>
                    </a:stretch>
                  </pic:blipFill>
                  <pic:spPr>
                    <a:xfrm>
                      <a:off x="0" y="0"/>
                      <a:ext cx="5580000" cy="3906000"/>
                    </a:xfrm>
                    <a:prstGeom prst="rect"/>
                  </pic:spPr>
                </pic:pic>
              </a:graphicData>
            </a:graphic>
          </wp:inline>
        </w:drawing>
      </w:r>
    </w:p>
    <w:p>
      <w:pPr>
        <w:spacing w:after="240" w:before="0" w:line="276" w:lineRule="auto"/>
        <w:jc w:val="center"/>
      </w:pPr>
      <w:r>
        <w:rPr>
          <w:rFonts w:ascii="Times New Roman" w:hAnsi="Times New Roman" w:eastAsia="Times New Roman"/>
          <w:b w:val="0"/>
          <w:color w:val="000000"/>
          <w:sz w:val="24"/>
        </w:rPr>
        <w:t>Рисунок 3 — Точность kNN для разных метрик и значений k</w:t>
      </w:r>
    </w:p>
    <w:p>
      <w:pPr>
        <w:spacing w:after="120" w:before="240" w:line="276" w:lineRule="auto"/>
      </w:pPr>
      <w:r>
        <w:rPr>
          <w:rFonts w:ascii="Times New Roman" w:hAnsi="Times New Roman" w:eastAsia="Times New Roman"/>
          <w:b/>
          <w:color w:val="000000"/>
          <w:sz w:val="32"/>
        </w:rPr>
        <w:t>Особенность расстояния Чебышёва</w:t>
      </w:r>
    </w:p>
    <w:p>
      <w:pPr>
        <w:spacing w:after="120" w:before="0" w:line="276" w:lineRule="auto"/>
      </w:pPr>
      <w:r>
        <w:rPr>
          <w:rFonts w:ascii="Times New Roman" w:hAnsi="Times New Roman" w:eastAsia="Times New Roman"/>
          <w:b w:val="0"/>
          <w:color w:val="000000"/>
          <w:sz w:val="28"/>
        </w:rPr>
        <w:t>Расстояние Чебышёва определяется по самому большому отличию между соответствующими пикселями двух изображений. Для полутоновых данных с ограниченным шумом это значение ещё позволяет отличить близкие изображения от далёких, поэтому при шуме ±40 точность равна 100 %.</w:t>
      </w:r>
    </w:p>
    <w:p>
      <w:pPr>
        <w:spacing w:after="120" w:before="0" w:line="276" w:lineRule="auto"/>
      </w:pPr>
      <w:r>
        <w:rPr>
          <w:rFonts w:ascii="Times New Roman" w:hAnsi="Times New Roman" w:eastAsia="Times New Roman"/>
          <w:b w:val="0"/>
          <w:color w:val="000000"/>
          <w:sz w:val="28"/>
        </w:rPr>
        <w:t>Для бинарных изображений разность двух пикселей равна только 0 или 1. Если растры отличаются хотя бы в одном пикселе, расстояние сразу становится равным 1. Неважно, различаются они в одном пикселе или почти во всех. Почти все изображения оказываются на одном расстоянии, и kNN не может упорядочить соседей. Точность равна 16,7 %, то есть 1/6: классов шесть, и при равных расстояниях выбирается первый класс обучающей выборки. Это свойство метрики, а не ошибка программы.</w:t>
      </w:r>
    </w:p>
    <w:p>
      <w:pPr>
        <w:spacing w:after="120" w:before="0" w:line="276" w:lineRule="auto"/>
      </w:pPr>
      <w:r>
        <w:rPr>
          <w:rFonts w:ascii="Times New Roman" w:hAnsi="Times New Roman" w:eastAsia="Times New Roman"/>
          <w:b w:val="0"/>
          <w:color w:val="000000"/>
          <w:sz w:val="28"/>
        </w:rPr>
        <w:t>При неравномерном полутоновом шуме один заменённый пиксель даёт скачок яркости больше контраста между классами. Для Чебышёва этот пиксель важнее всей остальной картинки, и точность падает примерно до 18 %.</w:t>
      </w:r>
    </w:p>
    <w:p>
      <w:pPr>
        <w:spacing w:after="120" w:before="240" w:line="276" w:lineRule="auto"/>
      </w:pPr>
      <w:r>
        <w:rPr>
          <w:rFonts w:ascii="Times New Roman" w:hAnsi="Times New Roman" w:eastAsia="Times New Roman"/>
          <w:b/>
          <w:color w:val="000000"/>
          <w:sz w:val="32"/>
        </w:rPr>
        <w:t>Обнаружение выбросов</w:t>
      </w:r>
    </w:p>
    <w:p>
      <w:pPr>
        <w:spacing w:after="120" w:before="0" w:line="276" w:lineRule="auto"/>
      </w:pPr>
      <w:r>
        <w:rPr>
          <w:rFonts w:ascii="Times New Roman" w:hAnsi="Times New Roman" w:eastAsia="Times New Roman"/>
          <w:b w:val="0"/>
          <w:color w:val="000000"/>
          <w:sz w:val="28"/>
        </w:rPr>
        <w:t>В выборку из 120 слабо зашумлённых бинарных изображений (по 20 на класс, вероятность переворота пикселя 0,06) были добавлены 21 известный выброс типа 0. Восемнадцать — обычные изображения с намеренно неправильной меткой, по три из каждого класса. Ещё три — случайные растры из нулей и единиц, не похожие на эталоны.</w:t>
      </w:r>
    </w:p>
    <w:p>
      <w:pPr>
        <w:spacing w:after="120" w:before="0" w:line="276" w:lineRule="auto"/>
      </w:pPr>
      <w:r>
        <w:rPr>
          <w:rFonts w:ascii="Times New Roman" w:hAnsi="Times New Roman" w:eastAsia="Times New Roman"/>
          <w:b w:val="0"/>
          <w:color w:val="000000"/>
          <w:sz w:val="28"/>
        </w:rPr>
        <w:t>kNN-детектор проверял каждый объект методом leave-one-out при k = 5. Объект исключался из соседей и классифицировался по остальной выборке. Если предсказанный класс не совпадал с меткой, объект считался выбросом. Пропущенные этим способом известные выбросы называются выбросами типа 1.</w:t>
      </w:r>
    </w:p>
    <w:p>
      <w:pPr>
        <w:spacing w:after="120" w:before="0" w:line="276" w:lineRule="auto"/>
      </w:pPr>
      <w:r>
        <w:rPr>
          <w:rFonts w:ascii="Times New Roman" w:hAnsi="Times New Roman" w:eastAsia="Times New Roman"/>
          <w:b w:val="0"/>
          <w:color w:val="000000"/>
          <w:sz w:val="28"/>
        </w:rPr>
        <w:t>ODIN строил ориентированный граф пяти ближайших соседей. Для каждого объекта считалось, сколько других объектов выбрало его своим соседом. Нулевая входящая степень означает, что объект никому не сосед. Пропущенные ODIN известные выбросы называются выбросами типа 2.</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fill="F2F2F2"/>
          </w:tcPr>
          <w:p>
            <w:pPr>
              <w:spacing w:after="0" w:before="0"/>
              <w:jc w:val="center"/>
            </w:pPr>
            <w:r/>
            <w:r>
              <w:rPr>
                <w:rFonts w:ascii="Times New Roman" w:hAnsi="Times New Roman" w:eastAsia="Times New Roman"/>
                <w:b/>
                <w:color w:val="000000"/>
                <w:sz w:val="24"/>
              </w:rPr>
              <w:t>Метод</w:t>
            </w:r>
          </w:p>
        </w:tc>
        <w:tc>
          <w:tcPr>
            <w:tcW w:type="dxa" w:w="1928"/>
            <w:shd w:fill="F2F2F2"/>
          </w:tcPr>
          <w:p>
            <w:pPr>
              <w:spacing w:after="0" w:before="0"/>
              <w:jc w:val="center"/>
            </w:pPr>
            <w:r/>
            <w:r>
              <w:rPr>
                <w:rFonts w:ascii="Times New Roman" w:hAnsi="Times New Roman" w:eastAsia="Times New Roman"/>
                <w:b/>
                <w:color w:val="000000"/>
                <w:sz w:val="24"/>
              </w:rPr>
              <w:t>TP / FP / FN</w:t>
            </w:r>
          </w:p>
        </w:tc>
        <w:tc>
          <w:tcPr>
            <w:tcW w:type="dxa" w:w="1928"/>
            <w:shd w:fill="F2F2F2"/>
          </w:tcPr>
          <w:p>
            <w:pPr>
              <w:spacing w:after="0" w:before="0"/>
              <w:jc w:val="center"/>
            </w:pPr>
            <w:r/>
            <w:r>
              <w:rPr>
                <w:rFonts w:ascii="Times New Roman" w:hAnsi="Times New Roman" w:eastAsia="Times New Roman"/>
                <w:b/>
                <w:color w:val="000000"/>
                <w:sz w:val="24"/>
              </w:rPr>
              <w:t>Precision</w:t>
            </w:r>
          </w:p>
        </w:tc>
        <w:tc>
          <w:tcPr>
            <w:tcW w:type="dxa" w:w="1928"/>
            <w:shd w:fill="F2F2F2"/>
          </w:tcPr>
          <w:p>
            <w:pPr>
              <w:spacing w:after="0" w:before="0"/>
              <w:jc w:val="center"/>
            </w:pPr>
            <w:r/>
            <w:r>
              <w:rPr>
                <w:rFonts w:ascii="Times New Roman" w:hAnsi="Times New Roman" w:eastAsia="Times New Roman"/>
                <w:b/>
                <w:color w:val="000000"/>
                <w:sz w:val="24"/>
              </w:rPr>
              <w:t>Recall</w:t>
            </w:r>
          </w:p>
        </w:tc>
        <w:tc>
          <w:tcPr>
            <w:tcW w:type="dxa" w:w="1928"/>
            <w:shd w:fill="F2F2F2"/>
          </w:tcPr>
          <w:p>
            <w:pPr>
              <w:spacing w:after="0" w:before="0"/>
              <w:jc w:val="center"/>
            </w:pPr>
            <w:r/>
            <w:r>
              <w:rPr>
                <w:rFonts w:ascii="Times New Roman" w:hAnsi="Times New Roman" w:eastAsia="Times New Roman"/>
                <w:b/>
                <w:color w:val="000000"/>
                <w:sz w:val="24"/>
              </w:rPr>
              <w:t>F1</w:t>
            </w:r>
          </w:p>
        </w:tc>
      </w:tr>
      <w:tr>
        <w:tc>
          <w:tcPr>
            <w:tcW w:type="dxa" w:w="1928"/>
          </w:tcPr>
          <w:p>
            <w:pPr>
              <w:spacing w:after="0" w:before="0"/>
              <w:jc w:val="center"/>
            </w:pPr>
            <w:r/>
            <w:r>
              <w:rPr>
                <w:rFonts w:ascii="Times New Roman" w:hAnsi="Times New Roman" w:eastAsia="Times New Roman"/>
                <w:b w:val="0"/>
                <w:color w:val="000000"/>
                <w:sz w:val="24"/>
              </w:rPr>
              <w:t>kNN</w:t>
            </w:r>
          </w:p>
        </w:tc>
        <w:tc>
          <w:tcPr>
            <w:tcW w:type="dxa" w:w="1928"/>
          </w:tcPr>
          <w:p>
            <w:pPr>
              <w:spacing w:after="0" w:before="0"/>
              <w:jc w:val="center"/>
            </w:pPr>
            <w:r/>
            <w:r>
              <w:rPr>
                <w:rFonts w:ascii="Times New Roman" w:hAnsi="Times New Roman" w:eastAsia="Times New Roman"/>
                <w:b w:val="0"/>
                <w:color w:val="000000"/>
                <w:sz w:val="24"/>
              </w:rPr>
              <w:t>21 / 1 / 0</w:t>
            </w:r>
          </w:p>
        </w:tc>
        <w:tc>
          <w:tcPr>
            <w:tcW w:type="dxa" w:w="1928"/>
          </w:tcPr>
          <w:p>
            <w:pPr>
              <w:spacing w:after="0" w:before="0"/>
              <w:jc w:val="center"/>
            </w:pPr>
            <w:r/>
            <w:r>
              <w:rPr>
                <w:rFonts w:ascii="Times New Roman" w:hAnsi="Times New Roman" w:eastAsia="Times New Roman"/>
                <w:b w:val="0"/>
                <w:color w:val="000000"/>
                <w:sz w:val="24"/>
              </w:rPr>
              <w:t>0,95</w:t>
            </w:r>
          </w:p>
        </w:tc>
        <w:tc>
          <w:tcPr>
            <w:tcW w:type="dxa" w:w="1928"/>
          </w:tcPr>
          <w:p>
            <w:pPr>
              <w:spacing w:after="0" w:before="0"/>
              <w:jc w:val="center"/>
            </w:pPr>
            <w:r/>
            <w:r>
              <w:rPr>
                <w:rFonts w:ascii="Times New Roman" w:hAnsi="Times New Roman" w:eastAsia="Times New Roman"/>
                <w:b w:val="0"/>
                <w:color w:val="000000"/>
                <w:sz w:val="24"/>
              </w:rPr>
              <w:t>1,00</w:t>
            </w:r>
          </w:p>
        </w:tc>
        <w:tc>
          <w:tcPr>
            <w:tcW w:type="dxa" w:w="1928"/>
          </w:tcPr>
          <w:p>
            <w:pPr>
              <w:spacing w:after="0" w:before="0"/>
              <w:jc w:val="center"/>
            </w:pPr>
            <w:r/>
            <w:r>
              <w:rPr>
                <w:rFonts w:ascii="Times New Roman" w:hAnsi="Times New Roman" w:eastAsia="Times New Roman"/>
                <w:b w:val="0"/>
                <w:color w:val="000000"/>
                <w:sz w:val="24"/>
              </w:rPr>
              <w:t>0,98</w:t>
            </w:r>
          </w:p>
        </w:tc>
      </w:tr>
      <w:tr>
        <w:tc>
          <w:tcPr>
            <w:tcW w:type="dxa" w:w="1928"/>
          </w:tcPr>
          <w:p>
            <w:pPr>
              <w:spacing w:after="0" w:before="0"/>
              <w:jc w:val="center"/>
            </w:pPr>
            <w:r/>
            <w:r>
              <w:rPr>
                <w:rFonts w:ascii="Times New Roman" w:hAnsi="Times New Roman" w:eastAsia="Times New Roman"/>
                <w:b w:val="0"/>
                <w:color w:val="000000"/>
                <w:sz w:val="24"/>
              </w:rPr>
              <w:t>ODIN</w:t>
            </w:r>
          </w:p>
        </w:tc>
        <w:tc>
          <w:tcPr>
            <w:tcW w:type="dxa" w:w="1928"/>
          </w:tcPr>
          <w:p>
            <w:pPr>
              <w:spacing w:after="0" w:before="0"/>
              <w:jc w:val="center"/>
            </w:pPr>
            <w:r/>
            <w:r>
              <w:rPr>
                <w:rFonts w:ascii="Times New Roman" w:hAnsi="Times New Roman" w:eastAsia="Times New Roman"/>
                <w:b w:val="0"/>
                <w:color w:val="000000"/>
                <w:sz w:val="24"/>
              </w:rPr>
              <w:t>5 / 33 / 16</w:t>
            </w:r>
          </w:p>
        </w:tc>
        <w:tc>
          <w:tcPr>
            <w:tcW w:type="dxa" w:w="1928"/>
          </w:tcPr>
          <w:p>
            <w:pPr>
              <w:spacing w:after="0" w:before="0"/>
              <w:jc w:val="center"/>
            </w:pPr>
            <w:r/>
            <w:r>
              <w:rPr>
                <w:rFonts w:ascii="Times New Roman" w:hAnsi="Times New Roman" w:eastAsia="Times New Roman"/>
                <w:b w:val="0"/>
                <w:color w:val="000000"/>
                <w:sz w:val="24"/>
              </w:rPr>
              <w:t>0,13</w:t>
            </w:r>
          </w:p>
        </w:tc>
        <w:tc>
          <w:tcPr>
            <w:tcW w:type="dxa" w:w="1928"/>
          </w:tcPr>
          <w:p>
            <w:pPr>
              <w:spacing w:after="0" w:before="0"/>
              <w:jc w:val="center"/>
            </w:pPr>
            <w:r/>
            <w:r>
              <w:rPr>
                <w:rFonts w:ascii="Times New Roman" w:hAnsi="Times New Roman" w:eastAsia="Times New Roman"/>
                <w:b w:val="0"/>
                <w:color w:val="000000"/>
                <w:sz w:val="24"/>
              </w:rPr>
              <w:t>0,24</w:t>
            </w:r>
          </w:p>
        </w:tc>
        <w:tc>
          <w:tcPr>
            <w:tcW w:type="dxa" w:w="1928"/>
          </w:tcPr>
          <w:p>
            <w:pPr>
              <w:spacing w:after="0" w:before="0"/>
              <w:jc w:val="center"/>
            </w:pPr>
            <w:r/>
            <w:r>
              <w:rPr>
                <w:rFonts w:ascii="Times New Roman" w:hAnsi="Times New Roman" w:eastAsia="Times New Roman"/>
                <w:b w:val="0"/>
                <w:color w:val="000000"/>
                <w:sz w:val="24"/>
              </w:rPr>
              <w:t>0,17</w:t>
            </w:r>
          </w:p>
        </w:tc>
      </w:tr>
    </w:tbl>
    <w:p/>
    <w:p>
      <w:pPr>
        <w:spacing w:after="120" w:before="0" w:line="276" w:lineRule="auto"/>
      </w:pPr>
      <w:r>
        <w:rPr>
          <w:rFonts w:ascii="Times New Roman" w:hAnsi="Times New Roman" w:eastAsia="Times New Roman"/>
          <w:b w:val="0"/>
          <w:color w:val="000000"/>
          <w:sz w:val="28"/>
        </w:rPr>
        <w:t>kNN нашёл все 18 объектов с неправильной меткой и все 3 случайных изображения. Выбросов типа 1 нет. Одна обычная картинка была помечена ошибочно.</w:t>
      </w:r>
    </w:p>
    <w:p>
      <w:pPr>
        <w:spacing w:after="120" w:before="0" w:line="276" w:lineRule="auto"/>
      </w:pPr>
      <w:r>
        <w:rPr>
          <w:rFonts w:ascii="Times New Roman" w:hAnsi="Times New Roman" w:eastAsia="Times New Roman"/>
          <w:b w:val="0"/>
          <w:color w:val="000000"/>
          <w:sz w:val="28"/>
        </w:rPr>
        <w:t>ODIN нашёл 4 ошибки разметки из 18 и 1 случайное изображение из 3. Остальные 16 известных выбросов он пропустил: это выбросы типа 2. Подмена метки не уводит картинку из своего облака, поэтому соседи по-прежнему её выбирают. Кроме того, 33 обычные точки тоже получили нулевую входящую степень. В пространстве из 256 пикселей часть нормальных объектов редко попадает в чужие списки соседей, и порог «меньше одного входящего ребра» их не отделяет.</w:t>
      </w:r>
    </w:p>
    <w:p>
      <w:pPr>
        <w:spacing w:after="120" w:before="240" w:line="276" w:lineRule="auto"/>
      </w:pPr>
      <w:r>
        <w:rPr>
          <w:rFonts w:ascii="Times New Roman" w:hAnsi="Times New Roman" w:eastAsia="Times New Roman"/>
          <w:b/>
          <w:color w:val="000000"/>
          <w:sz w:val="32"/>
        </w:rPr>
        <w:t>Выводы</w:t>
      </w:r>
    </w:p>
    <w:p>
      <w:pPr>
        <w:spacing w:after="120" w:before="0" w:line="276" w:lineRule="auto"/>
      </w:pPr>
      <w:r>
        <w:rPr>
          <w:rFonts w:ascii="Times New Roman" w:hAnsi="Times New Roman" w:eastAsia="Times New Roman"/>
          <w:b w:val="0"/>
          <w:color w:val="000000"/>
          <w:sz w:val="28"/>
        </w:rPr>
        <w:t>Метод k ближайших соседей распознаёт эти фигуры и на бинарных, и на полутоновых изображениях. Лучшая точность на бинарных данных составила 97,9 %. На полутоновых при использованном шуме она равна 100 % для всех мер, кроме расстояния Чебышёва на неравномерном шуме.</w:t>
      </w:r>
    </w:p>
    <w:p>
      <w:pPr>
        <w:spacing w:after="120" w:before="0" w:line="276" w:lineRule="auto"/>
      </w:pPr>
      <w:r>
        <w:rPr>
          <w:rFonts w:ascii="Times New Roman" w:hAnsi="Times New Roman" w:eastAsia="Times New Roman"/>
          <w:b w:val="0"/>
          <w:color w:val="000000"/>
          <w:sz w:val="28"/>
        </w:rPr>
        <w:t>Мера близости должна соответствовать данным. Евклидово и манхэттенское расстояния суммируют отличия пикселей. Расстояние Чебышёва смотрит только на максимальное отличие: на бинарных растрах оно почти не различает изображения и даёт 16,7 %, а один сильно испорченный пиксель ломает его и на полутоновых данных.</w:t>
      </w:r>
    </w:p>
    <w:p>
      <w:pPr>
        <w:spacing w:after="120" w:before="0" w:line="276" w:lineRule="auto"/>
      </w:pPr>
      <w:r>
        <w:rPr>
          <w:rFonts w:ascii="Times New Roman" w:hAnsi="Times New Roman" w:eastAsia="Times New Roman"/>
          <w:b w:val="0"/>
          <w:color w:val="000000"/>
          <w:sz w:val="28"/>
        </w:rPr>
        <w:t>Детекторы выбросов решают разные задачи. kNN использует метки и в этом опыте нашёл все посаженные выбросы. ODIN метки не учитывает и здесь почти не отделяет их от обычных точек. На этих изображениях ориентироваться на kNN надёжнее.</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