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5.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194.png" ContentType="image/png"/>
  <Override PartName="/word/media/rId225.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1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rPr>
          <w:bCs/>
          <w:b/>
        </w:rPr>
        <w:t xml:space="preserve">SHARDIC</w:t>
      </w:r>
    </w:p>
    <w:p>
      <w:pPr>
        <w:pStyle w:val="BodyText"/>
      </w:pPr>
      <w:r>
        <w:t xml:space="preserve">Sharded Encryption for Threshold-Recoverable Vaults — and Protected-Action Ceremonies</w:t>
      </w:r>
    </w:p>
    <w:p>
      <w:pPr>
        <w:pStyle w:val="BodyText"/>
      </w:pPr>
      <w:r>
        <w:rPr>
          <w:iCs/>
          <w:i/>
        </w:rPr>
        <w:t xml:space="preserve">Enforcing Multi-Person Integrity for High-Stakes Data Recovery and Capability Authorization</w:t>
      </w:r>
    </w:p>
    <w:p>
      <w:pPr>
        <w:pStyle w:val="BodyText"/>
      </w:pPr>
      <w:r>
        <w:rPr>
          <w:bCs/>
          <w:b/>
        </w:rPr>
        <w:t xml:space="preserve">White Paper — Version 2.3</w:t>
      </w:r>
    </w:p>
    <w:p>
      <w:pPr>
        <w:pStyle w:val="BodyText"/>
      </w:pPr>
      <w:r>
        <w:t xml:space="preserve">August 2026</w:t>
      </w:r>
    </w:p>
    <w:p>
      <w:pPr>
        <w:pStyle w:val="BodyText"/>
      </w:pPr>
      <w:r>
        <w:t xml:space="preserve">Project repository: github.com/splashd1/shardic</w:t>
      </w:r>
    </w:p>
    <w:p>
      <w:r>
        <w:pict>
          <v:rect style="width:0;height:1.5pt" o:hralign="center" o:hrstd="t" o:hr="t"/>
        </w:pict>
      </w:r>
    </w:p>
    <w:bookmarkStart w:id="21" w:name="abstract"/>
    <w:p>
      <w:pPr>
        <w:pStyle w:val="Heading1"/>
      </w:pPr>
      <w:r>
        <w:t xml:space="preserve">Abstract</w:t>
      </w:r>
    </w:p>
    <w:p>
      <w:pPr>
        <w:pStyle w:val="Normal"/>
      </w:pPr>
      <w:r>
        <w:t xml:space="preserve">Conventional file encryption is monolithic: whoever holds the key, or controls the system that holds it, controls access to the plaintext — permanently and unilaterally. shardic replaces that single point of control with a threshold-recoverable model. A file or directory is encrypted once under a randomly generated data encryption key (DEK), and that DEK is then split — using Shamir’s Secret Sharing over GF(256) — into T shares distributed to T independent trustees. No fewer than a threshold of D trustees, each supplying an individually held codeword, can ever reconstruct the key. Below that threshold, the remaining shares carry zero information about the key — a guarantee that holds regardless of computing power, not merely one that is expensive to break.</w:t>
      </w:r>
    </w:p>
    <w:p>
      <w:pPr>
        <w:pStyle w:val="BodyText"/>
      </w:pPr>
      <w:r>
        <w:t xml:space="preserve">Read end to end, the design is best understood by its genealogy as much as its architecture. The mathematical basis and essential functionality — multi-entity enforced data protection — was first embodied in a working proof-of-concept utility: the base scheme of §1–§3.5, sharded protection with no dependency beyond the Shamir/AES math itself. shardic-envelope then closed the gap between that math’s information-theoretic strength and what a human-memorized codeword could actually deliver, giving shard cryptovariables parity with the data-encryption key they protect. Ceremony formation followed, supplying the functional lifecycle — registration, convening, delivery, backfill — needed to mature the design from a science-project demonstration into an operable system. SPAC is the newest layer in that lineage: it takes the same mathematics and manifests it as a practical capability, generalized from decrypting a file to gating any protected action. §1.6 states that stack explicitly before the paper works through it section by section. Sections 1–3 describe the mature, largely-implemented core: the operational need, the CLI walkthrough — clarified here as a base demonstration of the mechanical foundation rather than an end solution — and the cryptographic mechanics, including shardic-envelope and ceremony formation, which have since moved from proposed design to running code. Section 4 generalizes the protected value from</w:t>
      </w:r>
      <w:r>
        <w:t xml:space="preserve"> </w:t>
      </w:r>
      <w:r>
        <w:t xml:space="preserve">“</w:t>
      </w:r>
      <w:r>
        <w:t xml:space="preserve">a file</w:t>
      </w:r>
      <w:r>
        <w:t xml:space="preserve">”</w:t>
      </w:r>
      <w:r>
        <w:t xml:space="preserve"> </w:t>
      </w:r>
      <w:r>
        <w:t xml:space="preserve">to a shardic protected action code (SPAC) — any enabling value for a protected capability, not only a decryption target — introduces the Fielded Prime Element and shardware-token constructions that make SPAC safe to field in hardware-bound deployments, addresses non-bypassable invocation (§4.6): ensuring a SPAC ceremony is not merely uncircumventable once invoked, but actually sits on the operational path it is meant to gate, and closes with two related but independent choices for a SPAC’s own trustee shares: shardic-envelope vs. memorized-codeword</w:t>
      </w:r>
      <w:r>
        <w:t xml:space="preserve"> </w:t>
      </w:r>
      <w:r>
        <w:rPr>
          <w:iCs/>
          <w:i/>
        </w:rPr>
        <w:t xml:space="preserve">delivery</w:t>
      </w:r>
      <w:r>
        <w:t xml:space="preserve"> </w:t>
      </w:r>
      <w:r>
        <w:t xml:space="preserve">(§4.7), including a field-deployment case where the memorized codeword is the better choice, and DRBG-sourced vs. codeword-derived</w:t>
      </w:r>
      <w:r>
        <w:t xml:space="preserve"> </w:t>
      </w:r>
      <w:r>
        <w:rPr>
          <w:iCs/>
          <w:i/>
        </w:rPr>
        <w:t xml:space="preserve">key material</w:t>
      </w:r>
      <w:r>
        <w:t xml:space="preserve"> </w:t>
      </w:r>
      <w:r>
        <w:t xml:space="preserve">(§4.8) — the entropy-source question §4.7’s delivery choice composes with rather than settles.</w:t>
      </w:r>
    </w:p>
    <w:p>
      <w:pPr>
        <w:pStyle w:val="BodyText"/>
      </w:pPr>
      <w:r>
        <w:t xml:space="preserve">Section 5 walks four notional missions through the full ceremony lifecycle this generalization makes possible: a high-value treasury disbursement (§5.1), a safety-interlock release authorization (§5.2), a path-trustee network integrity model in which relay nodes along a trusted network route each act as sequential trustees enforcing a chained commitment structure that makes payload transit a cryptographic fact rather than an administrative claim (§5.3), and a hybrid human-AI trustee governance model in which AI trustees enforce formally defined objective criteria and human trustees supply irreplaceable situational judgment, with the threshold mathematics ensuring neither layer can act without the other (§5.4). Figures 5.3 and 5.4 provide decision tree diagrams for the two new vignettes. Sections 6–7 extend the security discussion and summary to all four missions and to §4.6’s bypass-resistance question, including the new attack surfaces introduced by AI trustee data-feed authentication, sequential chain integrity, and the distinction between software-enforced and hardware-anchored non-bypassability.</w:t>
      </w:r>
    </w:p>
    <w:p>
      <w:pPr>
        <w:pStyle w:val="BodyText"/>
      </w:pPr>
      <w:r>
        <w:t xml:space="preserve">Everything described from Section 4 onward is a design proposal, not shipped functionality — flagged as such throughout, in the same spirit as §3.6/§3.7 flagged shardic-envelope before it shipped. Section 8 situates shardic against existing multi-party secret-protection approaches and states what actually differentiates it; Section 9 gives the project’s own component-by-component Technology Readiness Level self-assessment; Section 10 states plainly what that means for funding: a phased roadmap from the already-implemented core to a working SPAC demonstration, scoped against what a proof-of-concept award would and would not claim. Section 11 names, without resolving, the licensing and IP-ownership decision that governs all of it, and flags one time-sensitive consequence of this whitepaper’s own distribution. Appendix A gives the complete, standalone treatment of Shamir’s Secret Sharing that §1.4 and §3.2 summarize inline.</w:t>
      </w:r>
    </w:p>
    <w:bookmarkStart w:id="20" w:name="X8cdce1bda222b99fdb2b1a54e44ff392483daa4"/>
    <w:p>
      <w:pPr>
        <w:pStyle w:val="Heading2"/>
      </w:pPr>
      <w:r>
        <w:t xml:space="preserve">Reader’s Guide: Claims, Status, and Terminology</w:t>
      </w:r>
    </w:p>
    <w:p>
      <w:pPr>
        <w:pStyle w:val="Normal"/>
      </w:pPr>
      <w:r>
        <w:t xml:space="preserve">Status legend. Implemented identifies functionality described as running code. Design proposal identifies architecture or integration work not yet shipped. Illustrative identifies a notional mission or configuration, not a deployment recommendation.</w:t>
      </w:r>
    </w:p>
    <w:p>
      <w:pPr>
        <w:pStyle w:val="BodyText"/>
      </w:pPr>
      <w:r>
        <w:t xml:space="preserve">Terminology. T is the number of shares;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p>
      <w:pPr>
        <w:pStyle w:val="BodyText"/>
      </w:pPr>
      <w:r>
        <w:t xml:space="preserve">Claim boundaries.</w:t>
      </w:r>
      <w:r>
        <w:t xml:space="preserve"> </w:t>
      </w:r>
      <w:r>
        <w:t xml:space="preserve">“</w:t>
      </w:r>
      <w:r>
        <w:t xml:space="preserve">Mathematically enforced</w:t>
      </w:r>
      <w:r>
        <w:t xml:space="preserve">”</w:t>
      </w:r>
      <w:r>
        <w:t xml:space="preserve"> </w:t>
      </w:r>
      <w:r>
        <w:t xml:space="preserve">refers to the Shamir below-threshold secrecy property.</w:t>
      </w:r>
      <w:r>
        <w:t xml:space="preserve"> </w:t>
      </w:r>
      <w:r>
        <w:t xml:space="preserve">“</w:t>
      </w:r>
      <w:r>
        <w:t xml:space="preserve">Cryptographically verifiable protocol participation</w:t>
      </w:r>
      <w:r>
        <w:t xml:space="preserve">”</w:t>
      </w:r>
      <w:r>
        <w:t xml:space="preserve"> </w:t>
      </w:r>
      <w:r>
        <w:t xml:space="preserve">refers to authenticated, transaction-bound signed contributions.</w:t>
      </w:r>
      <w:r>
        <w:t xml:space="preserve"> </w:t>
      </w:r>
      <w:r>
        <w:t xml:space="preserve">“</w:t>
      </w:r>
      <w:r>
        <w:t xml:space="preserve">Policy-enforced</w:t>
      </w:r>
      <w:r>
        <w:t xml:space="preserve">”</w:t>
      </w:r>
      <w:r>
        <w:t xml:space="preserve"> </w:t>
      </w:r>
      <w:r>
        <w:t xml:space="preserve">refers to server-side checks.</w:t>
      </w:r>
      <w:r>
        <w:t xml:space="preserve"> </w:t>
      </w:r>
      <w:r>
        <w:t xml:space="preserve">“</w:t>
      </w:r>
      <w:r>
        <w:t xml:space="preserve">Hardware-anchored</w:t>
      </w:r>
      <w:r>
        <w:t xml:space="preserve">”</w:t>
      </w:r>
      <w:r>
        <w:t xml:space="preserve"> </w:t>
      </w:r>
      <w:r>
        <w:t xml:space="preserve">applies only where the required security boundary is actually implemented in tamper-resistant hardware.</w:t>
      </w:r>
    </w:p>
    <w:bookmarkEnd w:id="20"/>
    <w:bookmarkEnd w:id="21"/>
    <w:bookmarkStart w:id="38" w:name="Xdae8b7a369e6912793277ae71a37ef6a6e73da1"/>
    <w:p>
      <w:pPr>
        <w:pStyle w:val="Heading1"/>
      </w:pPr>
      <w:r>
        <w:t xml:space="preserve">1. The Need for Threshold-Recoverable Protection</w:t>
      </w:r>
    </w:p>
    <w:bookmarkStart w:id="22" w:name="X82d44553dff32a18ec7613f4e627c0033590487"/>
    <w:p>
      <w:pPr>
        <w:pStyle w:val="Heading2"/>
      </w:pPr>
      <w:r>
        <w:t xml:space="preserve">1.1 Conventional Data Encryption: Monolithic, Single-Point Control</w:t>
      </w:r>
    </w:p>
    <w:p>
      <w:pPr>
        <w:pStyle w:val="Normal"/>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22"/>
    <w:bookmarkStart w:id="23" w:name="X0e853701b09a7df5a1870dc335efbe46b615215"/>
    <w:p>
      <w:pPr>
        <w:pStyle w:val="Heading2"/>
      </w:pPr>
      <w:r>
        <w:t xml:space="preserve">1.2 Sharded Encryption: Enforcing Multi-Person Integrity</w:t>
      </w:r>
    </w:p>
    <w:p>
      <w:pPr>
        <w:pStyle w:val="Normal"/>
      </w:pPr>
      <w:r>
        <w:t xml:space="preserve">Sharded, threshold-recoverable encryption addresses this by removing the single point of control from the cryptography itself, rather than relying on policy or process to compensate for it. Instead of one key held by one party, the key is mathematically split into T pieces (</w:t>
      </w:r>
      <w:r>
        <w:t xml:space="preserve">“</w:t>
      </w:r>
      <w:r>
        <w:t xml:space="preserve">shares</w:t>
      </w:r>
      <w:r>
        <w:t xml:space="preserve">”</w:t>
      </w:r>
      <w:r>
        <w:t xml:space="preserve">), distributed to T independent trustees, with a threshold D set below T. Recovering the plaintext requires at least D trustees to each independently choose to participate. Critically, this is not merely operationally enforced (e.g. by requiring D signatures at an application layer) — it is information-theoretically enforced: with the underlying Shamir’s Secret Sharing construction, any collection of fewer than D shares carries mathematically zero information about the key, no matter how much computing power is applied against it.</w:t>
      </w:r>
    </w:p>
    <w:p>
      <w:pPr>
        <w:pStyle w:val="BodyText"/>
      </w:pPr>
      <w:r>
        <w:t xml:space="preserve">The practical effect is that:</w:t>
      </w:r>
    </w:p>
    <w:p>
      <w:pPr>
        <w:numPr>
          <w:ilvl w:val="0"/>
          <w:numId w:val="1001"/>
        </w:numPr>
        <w:pStyle w:val="Normal"/>
      </w:pPr>
      <w:r>
        <w:t xml:space="preserve">No single trustee — including whoever originally created the vault — can ever recover the data alone.</w:t>
      </w:r>
    </w:p>
    <w:p>
      <w:pPr>
        <w:pStyle w:val="Normal"/>
      </w:pPr>
      <w:r>
        <w:t xml:space="preserve">Operational assumption: this guarantee applies only after the creator has securely deleted plaintext, retained shares, codeword copies, and other recovery material, and after trustee distribution has been verified. The cryptography cannot undo copies retained outside the scheme.</w:t>
      </w:r>
    </w:p>
    <w:p>
      <w:pPr>
        <w:numPr>
          <w:ilvl w:val="0"/>
          <w:numId w:val="1002"/>
        </w:numPr>
      </w:pPr>
      <w:r>
        <w:t xml:space="preserve">A rogue insider, a coerced employee, or a single compromised account is insufficient to cause disclosure; a collusion of at least D independent parties is required.</w:t>
      </w:r>
    </w:p>
    <w:p>
      <w:pPr>
        <w:numPr>
          <w:ilvl w:val="0"/>
          <w:numId w:val="1002"/>
        </w:numPr>
      </w:pPr>
      <w:r>
        <w:t xml:space="preserve">The trustee pool can absorb the loss or unavailability of up to T − D trustees without losing recoverability — unlike a strict N-of-N or two-person rule, which has no slack.</w:t>
      </w:r>
    </w:p>
    <w:p>
      <w:pPr>
        <w:pStyle w:val="Normal"/>
      </w:pPr>
      <w:r>
        <w:t xml:space="preserve">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pPr>
        <w:pStyle w:val="BodyText"/>
      </w:pPr>
      <w:r>
        <w:t xml:space="preserve">This shifts data protection from</w:t>
      </w:r>
      <w:r>
        <w:t xml:space="preserve"> </w:t>
      </w:r>
      <w:r>
        <w:t xml:space="preserve">“</w:t>
      </w:r>
      <w:r>
        <w:t xml:space="preserve">who holds the key</w:t>
      </w:r>
      <w:r>
        <w:t xml:space="preserve">”</w:t>
      </w:r>
      <w:r>
        <w:t xml:space="preserve"> </w:t>
      </w:r>
      <w:r>
        <w:t xml:space="preserve">— a fact about custody — to</w:t>
      </w:r>
      <w:r>
        <w:t xml:space="preserve"> </w:t>
      </w:r>
      <w:r>
        <w:t xml:space="preserve">“</w:t>
      </w:r>
      <w:r>
        <w:t xml:space="preserve">who agreed to unlock it</w:t>
      </w:r>
      <w:r>
        <w:t xml:space="preserve">”</w:t>
      </w:r>
      <w:r>
        <w:t xml:space="preserve"> </w:t>
      </w:r>
      <w:r>
        <w:t xml:space="preserve">— a fact about consent, distributed across independent parties who cannot individually override the group.</w:t>
      </w:r>
    </w:p>
    <w:bookmarkEnd w:id="23"/>
    <w:bookmarkStart w:id="28" w:name="representative-use-cases"/>
    <w:p>
      <w:pPr>
        <w:pStyle w:val="Heading2"/>
      </w:pPr>
      <w:r>
        <w:t xml:space="preserve">1.3 Representative Use Cases</w:t>
      </w:r>
    </w:p>
    <w:p>
      <w:pPr>
        <w:pStyle w:val="Normal"/>
      </w:pPr>
      <w:r>
        <w:t xml:space="preserve">Threshold-recoverable encryption is the right tool wherever policy, regulation, or risk tolerance already implies that no single party should be able to unilaterally decrypt something, and where access is rare and high-stakes rather than continuous and routine. Representative examples include:</w:t>
      </w:r>
    </w:p>
    <w:bookmarkStart w:id="24" w:name="X876fa60f68cd1b6ef1d788760270eb17d32e1da"/>
    <w:p>
      <w:pPr>
        <w:pStyle w:val="Heading3"/>
      </w:pPr>
      <w:r>
        <w:t xml:space="preserve">Break-glass access to critical infrastructure</w:t>
      </w:r>
    </w:p>
    <w:p>
      <w:pPr>
        <w:pStyle w:val="Normal"/>
      </w:pPr>
      <w:r>
        <w:t xml:space="preserve">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bookmarkEnd w:id="24"/>
    <w:bookmarkStart w:id="25" w:name="Xdaf1f4b4c85124a9f618017e64f07678efe8499"/>
    <w:p>
      <w:pPr>
        <w:pStyle w:val="Heading3"/>
      </w:pPr>
      <w:r>
        <w:t xml:space="preserve">Diceware-style estate and succession planning</w:t>
      </w:r>
    </w:p>
    <w:p>
      <w:pPr>
        <w:pStyle w:val="Normal"/>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25"/>
    <w:bookmarkStart w:id="26" w:name="Xd35a3cca371ae33fbc37fece07f105e8416a1a7"/>
    <w:p>
      <w:pPr>
        <w:pStyle w:val="Heading3"/>
      </w:pPr>
      <w:r>
        <w:t xml:space="preserve">Government and public-sector applications</w:t>
      </w:r>
    </w:p>
    <w:p>
      <w:pPr>
        <w:numPr>
          <w:ilvl w:val="0"/>
          <w:numId w:val="1003"/>
        </w:numPr>
      </w:pPr>
      <w:r>
        <w:t xml:space="preserve">Generalized two-person-rule systems (</w:t>
      </w:r>
      <w:r>
        <w:t xml:space="preserve">“</w:t>
      </w:r>
      <w:r>
        <w:t xml:space="preserve">any 3 of 7 officials</w:t>
      </w:r>
      <w:r>
        <w:t xml:space="preserve">”</w:t>
      </w:r>
      <w:r>
        <w:t xml:space="preserve">) that tolerate absence or incapacitation without weakening the no-lone-actor requirement of the classic two-key model.</w:t>
      </w:r>
    </w:p>
    <w:p>
      <w:pPr>
        <w:numPr>
          <w:ilvl w:val="0"/>
          <w:numId w:val="1003"/>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3"/>
        </w:numPr>
      </w:pPr>
      <w:r>
        <w:t xml:space="preserve">Continuity-of-government credentials that must survive the loss of some custodians while still requiring majority agreement to invoke.</w:t>
      </w:r>
    </w:p>
    <w:p>
      <w:pPr>
        <w:numPr>
          <w:ilvl w:val="0"/>
          <w:numId w:val="1003"/>
        </w:numPr>
      </w:pPr>
      <w:r>
        <w:t xml:space="preserve">Election-system tabulation keys split among representatives of multiple parties or observers.</w:t>
      </w:r>
    </w:p>
    <w:bookmarkEnd w:id="26"/>
    <w:bookmarkStart w:id="27" w:name="X224b795fe8c17336aa49dfb54174a0bf2ad2df2"/>
    <w:p>
      <w:pPr>
        <w:pStyle w:val="Heading3"/>
      </w:pPr>
      <w:r>
        <w:t xml:space="preserve">Business and regulated-industry applications</w:t>
      </w:r>
    </w:p>
    <w:p>
      <w:pPr>
        <w:numPr>
          <w:ilvl w:val="0"/>
          <w:numId w:val="1004"/>
        </w:numPr>
      </w:pPr>
      <w:r>
        <w:t xml:space="preserve">M&amp;A escrow and dispute-resolution vaults — deal terms or sensitive documents released only by quorum of board members, outside counsel, and an escrow agent.</w:t>
      </w:r>
    </w:p>
    <w:p>
      <w:pPr>
        <w:numPr>
          <w:ilvl w:val="0"/>
          <w:numId w:val="1004"/>
        </w:numPr>
      </w:pPr>
      <w:r>
        <w:t xml:space="preserve">Cryptocurrency or treasury cold storage — splitting root key material behind a multisig wallet among founders or board members so no single executive can move funds alone.</w:t>
      </w:r>
    </w:p>
    <w:p>
      <w:pPr>
        <w:numPr>
          <w:ilvl w:val="0"/>
          <w:numId w:val="1004"/>
        </w:numPr>
      </w:pPr>
      <w:r>
        <w:t xml:space="preserve">Whistleblower or source-protection archives, releasable only if a threshold of editors or lawyers agree.</w:t>
      </w:r>
    </w:p>
    <w:p>
      <w:pPr>
        <w:numPr>
          <w:ilvl w:val="0"/>
          <w:numId w:val="1004"/>
        </w:numPr>
      </w:pPr>
      <w:r>
        <w:t xml:space="preserve">Regulated data with explicit separation-of-duties requirements (e.g. SOX, HIPAA</w:t>
      </w:r>
      <w:r>
        <w:t xml:space="preserve"> </w:t>
      </w:r>
      <w:r>
        <w:t xml:space="preserve">“</w:t>
      </w:r>
      <w:r>
        <w:t xml:space="preserve">minimum necessary</w:t>
      </w:r>
      <w:r>
        <w:t xml:space="preserve">”</w:t>
      </w:r>
      <w:r>
        <w:t xml:space="preserve"> </w:t>
      </w:r>
      <w:r>
        <w:t xml:space="preserve">contexts) — a technical enforcement of an existing compliance control rather than a policy statement alone.</w:t>
      </w:r>
    </w:p>
    <w:p>
      <w:pPr>
        <w:pStyle w:val="Normal"/>
      </w:pPr>
      <w:r>
        <w:t xml:space="preserve">Where this approach fits best: rare, high-stakes, offline</w:t>
      </w:r>
      <w:r>
        <w:t xml:space="preserve"> </w:t>
      </w:r>
      <w:r>
        <w:t xml:space="preserve">“</w:t>
      </w:r>
      <w:r>
        <w:t xml:space="preserve">break-glass</w:t>
      </w:r>
      <w:r>
        <w:t xml:space="preserve">”</w:t>
      </w:r>
      <w:r>
        <w:t xml:space="preserve"> </w:t>
      </w:r>
      <w:r>
        <w:t xml:space="preserve">access with a small, semi-static trustee set, where the vault file itself must be safely storable and shareable without leaking metadata about who holds what. It is a poor fit for frequent or live authorization, for revoking a single trustee without a full re-split, or for online multi-party protocols — those are better served by threshold-signature schemes (e.g. FROST) or HSM-backed multisig, which support key rotation and live quorum that this static, split-once design does not attempt to provide. §8 gives the fuller comparison against these and other existing approaches, and states what specifically differentiates shardic from each.</w:t>
      </w:r>
    </w:p>
    <w:bookmarkEnd w:id="27"/>
    <w:bookmarkEnd w:id="28"/>
    <w:bookmarkStart w:id="32" w:name="Xd81223542fa42fbf4ca661c9c9893bb84895cd5"/>
    <w:p>
      <w:pPr>
        <w:pStyle w:val="Heading2"/>
      </w:pPr>
      <w:r>
        <w:t xml:space="preserve">1.4 How Threshold Secret Sharing Works, Conceptually</w:t>
      </w:r>
    </w:p>
    <w:p>
      <w:pPr>
        <w:pStyle w:val="Normal"/>
      </w:pPr>
      <w:r>
        <w:t xml:space="preserve">Section 3.2 gives the precise, byte-by-byte construction. Before that, it’s worth building the intuition for why a threshold scheme works at all — because the obvious first guess at how to</w:t>
      </w:r>
      <w:r>
        <w:t xml:space="preserve"> </w:t>
      </w:r>
      <w:r>
        <w:t xml:space="preserve">“</w:t>
      </w:r>
      <w:r>
        <w:t xml:space="preserve">split a key into pieces</w:t>
      </w:r>
      <w:r>
        <w:t xml:space="preserve">”</w:t>
      </w:r>
      <w:r>
        <w:t xml:space="preserve"> </w:t>
      </w:r>
      <w:r>
        <w:t xml:space="preserve">is not what shardic does, and doesn’t have the properties §1.2 just promised.</w:t>
      </w:r>
    </w:p>
    <w:p>
      <w:pPr>
        <w:pStyle w:val="BodyText"/>
      </w:pPr>
      <w:r>
        <w:t xml:space="preserve">The obvious guess, and why it falls short. Imagine cutting the 32-byte DEK into four 8-byte chunks and handing one chunk to each of four trustees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 all-or-nothing 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key is gone forever — exactly the fragility §1.2 said threshold recovery exists to avoid.</w:t>
      </w:r>
    </w:p>
    <w:p>
      <w:pPr>
        <w:pStyle w:val="BodyText"/>
      </w:pPr>
      <w:r>
        <w:t xml:space="preserve">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30" name="Picture"/>
            <a:graphic>
              <a:graphicData uri="http://schemas.openxmlformats.org/drawingml/2006/picture">
                <pic:pic>
                  <pic:nvPicPr>
                    <pic:cNvPr descr="./media/sss-geometric-intuition.png" id="31"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§1.2 described.</w:t>
      </w:r>
    </w:p>
    <w:p>
      <w:pPr>
        <w:pStyle w:val="BodyText"/>
      </w:pPr>
      <w:r>
        <w:t xml:space="preserve">Why partial progress isn’t a thing here. A combination lock rewards partial knowledge — get two of three digits right and you are, in a real sense, close. A threshold secret share does not work that way. One trustee’s point, or even D − 1 of them together, doesn’t narrow the secret down to a short list of likely candidates; it leaves every possible value exactly as plausible as before. There is no partial credit, no</w:t>
      </w:r>
      <w:r>
        <w:t xml:space="preserve"> </w:t>
      </w:r>
      <w:r>
        <w:t xml:space="preserve">“</w:t>
      </w:r>
      <w:r>
        <w:t xml:space="preserve">getting warmer,</w:t>
      </w:r>
      <w:r>
        <w:t xml:space="preserve">”</w:t>
      </w:r>
      <w:r>
        <w:t xml:space="preserve"> </w:t>
      </w:r>
      <w:r>
        <w:t xml:space="preserve">and no way to make attempts and rule out candidates one collusion at a time — the Dth point doesn’t refine the answer, it is the precise moment the answer springs into existence.</w:t>
      </w:r>
    </w:p>
    <w:p>
      <w:pPr>
        <w:pStyle w:val="BodyText"/>
      </w:pPr>
      <w:r>
        <w:t xml:space="preserve">shardic’s actual implementation replaces</w:t>
      </w:r>
      <w:r>
        <w:t xml:space="preserve"> </w:t>
      </w:r>
      <w:r>
        <w:t xml:space="preserve">“</w:t>
      </w:r>
      <w:r>
        <w:t xml:space="preserve">a line</w:t>
      </w:r>
      <w:r>
        <w:t xml:space="preserve">”</w:t>
      </w:r>
      <w:r>
        <w:t xml:space="preserve"> </w:t>
      </w:r>
      <w:r>
        <w:t xml:space="preserve">or</w:t>
      </w:r>
      <w:r>
        <w:t xml:space="preserve"> </w:t>
      </w:r>
      <w:r>
        <w:t xml:space="preserve">“</w:t>
      </w:r>
      <w:r>
        <w:t xml:space="preserve">a curve on a graph</w:t>
      </w:r>
      <w:r>
        <w:t xml:space="preserve">”</w:t>
      </w:r>
      <w:r>
        <w:t xml:space="preserve"> </w:t>
      </w:r>
      <w:r>
        <w:t xml:space="preserve">with a polynomial of degree D − 1 evaluated over a finite field, applied independently to each byte of the DEK — the same idea above, made precise and computable. §3.2 picks up exactly there.</w:t>
      </w:r>
    </w:p>
    <w:bookmarkEnd w:id="32"/>
    <w:bookmarkStart w:id="33" w:name="from-data-to-capability-a-preview"/>
    <w:p>
      <w:pPr>
        <w:pStyle w:val="Heading2"/>
      </w:pPr>
      <w:r>
        <w:t xml:space="preserve">1.5 From Data to Capability: A Preview</w:t>
      </w:r>
    </w:p>
    <w:p>
      <w:pPr>
        <w:pStyle w:val="Normal"/>
      </w:pPr>
      <w:r>
        <w:t xml:space="preserve">Everything above frames the protected value as a file — an archive recovered, once, into plaintext on disk. That framing was never load-bearing for the underlying guarantee: what threshold recovery actually enforces is that a secret value comes into existence only when D independent parties each choose to contribute toward it. A file’s plaintext is one instance of</w:t>
      </w:r>
      <w:r>
        <w:t xml:space="preserve"> </w:t>
      </w:r>
      <w:r>
        <w:t xml:space="preserve">“</w:t>
      </w:r>
      <w:r>
        <w:t xml:space="preserve">a secret value</w:t>
      </w:r>
      <w:r>
        <w:t xml:space="preserve">”</w:t>
      </w:r>
      <w:r>
        <w:t xml:space="preserve"> </w:t>
      </w:r>
      <w:r>
        <w:t xml:space="preserve">— not the only one. Section 4 makes that generalization explicit and names it: a shardic protected action code (SPAC) is any enabling value for a protected capability — financial access, a physical safety interlock, a sensitive document, an account credential, a network-path authorization — of which</w:t>
      </w:r>
      <w:r>
        <w:t xml:space="preserve"> </w:t>
      </w:r>
      <w:r>
        <w:t xml:space="preserve">“</w:t>
      </w:r>
      <w:r>
        <w:t xml:space="preserve">decrypt this archive</w:t>
      </w:r>
      <w:r>
        <w:t xml:space="preserve">”</w:t>
      </w:r>
      <w:r>
        <w:t xml:space="preserve"> </w:t>
      </w:r>
      <w:r>
        <w:t xml:space="preserve">is the narrowest possible case. Sections 2–3 describe the mature core exactly as it exists today; readers only interested in the file-vault tool can stop at the end of §3.</w:t>
      </w:r>
    </w:p>
    <w:bookmarkEnd w:id="33"/>
    <w:bookmarkStart w:id="37" w:name="X4460248ab639b575c5f48ed4bd5c7ccd4996a7e"/>
    <w:p>
      <w:pPr>
        <w:pStyle w:val="Heading2"/>
      </w:pPr>
      <w:r>
        <w:t xml:space="preserve">1.6 The Capability Stack: How the Layers Build on Each Other</w:t>
      </w:r>
    </w:p>
    <w:p>
      <w:pPr>
        <w:pStyle w:val="Normal"/>
      </w:pPr>
      <w:r>
        <w:t xml:space="preserve">It’s worth naming the stack explicitly before working through it</w:t>
      </w:r>
      <w:r>
        <w:t xml:space="preserve"> </w:t>
      </w:r>
      <w:r>
        <w:t xml:space="preserve">section by section, since each layer changes what’s actually possible</w:t>
      </w:r>
      <w:r>
        <w:t xml:space="preserve"> </w:t>
      </w:r>
      <w:r>
        <w:t xml:space="preserve">without invalidating anything the layer beneath it guarantees:</w:t>
      </w:r>
    </w:p>
    <w:p>
      <w:pPr>
        <w:numPr>
          <w:ilvl w:val="0"/>
          <w:numId w:val="1005"/>
        </w:numPr>
        <w:pStyle w:val="Normal"/>
      </w:pPr>
      <w:r>
        <w:rPr>
          <w:bCs/>
          <w:b/>
        </w:rPr>
        <w:t xml:space="preserve">Sharded protection</w:t>
      </w:r>
      <w:r>
        <w:t xml:space="preserve"> </w:t>
      </w:r>
      <w:r>
        <w:t xml:space="preserve">(§1–§3.5, implemented). The core guarantee: a</w:t>
      </w:r>
      <w:r>
        <w:t xml:space="preserve"> </w:t>
      </w:r>
      <w:r>
        <w:t xml:space="preserve">secret is split so that no fewer than D of T independently held</w:t>
      </w:r>
      <w:r>
        <w:t xml:space="preserve"> </w:t>
      </w:r>
      <w:r>
        <w:t xml:space="preserve">shares can ever reconstruct it, and below that threshold, zero</w:t>
      </w:r>
      <w:r>
        <w:t xml:space="preserve"> </w:t>
      </w:r>
      <w:r>
        <w:t xml:space="preserve">information about the secret exists to extract. This alone is</w:t>
      </w:r>
      <w:r>
        <w:t xml:space="preserve"> </w:t>
      </w:r>
      <w:r>
        <w:t xml:space="preserve">sufficient for the personal, estate, and business scenarios in</w:t>
      </w:r>
      <w:r>
        <w:t xml:space="preserve"> </w:t>
      </w:r>
      <w:r>
        <w:t xml:space="preserve">§1.3 — a family splitting a password manager’s master key, a</w:t>
      </w:r>
      <w:r>
        <w:t xml:space="preserve"> </w:t>
      </w:r>
      <w:r>
        <w:t xml:space="preserve">company escrowing a root credential — using the three codeword</w:t>
      </w:r>
      <w:r>
        <w:t xml:space="preserve"> </w:t>
      </w:r>
      <w:r>
        <w:t xml:space="preserve">modes described in §6.2.</w:t>
      </w:r>
    </w:p>
    <w:p>
      <w:pPr>
        <w:numPr>
          <w:ilvl w:val="0"/>
          <w:numId w:val="1005"/>
        </w:numPr>
        <w:pStyle w:val="Normal"/>
      </w:pPr>
      <w:r>
        <w:rPr>
          <w:bCs/>
          <w:b/>
        </w:rPr>
        <w:t xml:space="preserve">shardic-envelope</w:t>
      </w:r>
      <w:r>
        <w:t xml:space="preserve"> </w:t>
      </w:r>
      <w:r>
        <w:t xml:space="preserve">(§3.6, implemented). Wraps each trustee’s</w:t>
      </w:r>
      <w:r>
        <w:t xml:space="preserve"> </w:t>
      </w:r>
      <w:r>
        <w:t xml:space="preserve">codeword in public-key encryption under a keypair the trustee</w:t>
      </w:r>
      <w:r>
        <w:t xml:space="preserve"> </w:t>
      </w:r>
      <w:r>
        <w:t xml:space="preserve">already controls, removing the human-memorability ceiling that</w:t>
      </w:r>
      <w:r>
        <w:t xml:space="preserve"> </w:t>
      </w:r>
      <w:r>
        <w:t xml:space="preserve">otherwise caps how strong an individual codeword can practically be</w:t>
      </w:r>
      <w:r>
        <w:t xml:space="preserve"> </w:t>
      </w:r>
      <w:r>
        <w:t xml:space="preserve">(§6.2 revisits what this changes about codeword mode selection in</w:t>
      </w:r>
      <w:r>
        <w:t xml:space="preserve"> </w:t>
      </w:r>
      <w:r>
        <w:t xml:space="preserve">§6.4).</w:t>
      </w:r>
    </w:p>
    <w:p>
      <w:pPr>
        <w:numPr>
          <w:ilvl w:val="0"/>
          <w:numId w:val="1005"/>
        </w:numPr>
        <w:pStyle w:val="Normal"/>
      </w:pPr>
      <w:r>
        <w:rPr>
          <w:bCs/>
          <w:b/>
        </w:rPr>
        <w:t xml:space="preserve">Ceremony formation</w:t>
      </w:r>
      <w:r>
        <w:t xml:space="preserve"> </w:t>
      </w:r>
      <w:r>
        <w:t xml:space="preserve">(§3.7, implemented). Turns</w:t>
      </w:r>
      <w:r>
        <w:t xml:space="preserve"> </w:t>
      </w:r>
      <w:r>
        <w:t xml:space="preserve">“</w:t>
      </w:r>
      <w:r>
        <w:t xml:space="preserve">who holds a</w:t>
      </w:r>
      <w:r>
        <w:t xml:space="preserve"> </w:t>
      </w:r>
      <w:r>
        <w:t xml:space="preserve">codeword</w:t>
      </w:r>
      <w:r>
        <w:t xml:space="preserve">”</w:t>
      </w:r>
      <w:r>
        <w:t xml:space="preserve"> </w:t>
      </w:r>
      <w:r>
        <w:t xml:space="preserve">from an ad hoc, once-per-vault trust decision into a</w:t>
      </w:r>
      <w:r>
        <w:t xml:space="preserve"> </w:t>
      </w:r>
      <w:r>
        <w:t xml:space="preserve">tracked, repeatable process: candidate trustees are registered</w:t>
      </w:r>
      <w:r>
        <w:t xml:space="preserve"> </w:t>
      </w:r>
      <w:r>
        <w:t xml:space="preserve">against an identity provider, a specific quorum is selected and</w:t>
      </w:r>
      <w:r>
        <w:t xml:space="preserve"> </w:t>
      </w:r>
      <w:r>
        <w:t xml:space="preserve">invited for a given vault, declined or timed-out slots backfill</w:t>
      </w:r>
      <w:r>
        <w:t xml:space="preserve"> </w:t>
      </w:r>
      <w:r>
        <w:t xml:space="preserve">automatically, and delivery of each wrapped codeword is a</w:t>
      </w:r>
      <w:r>
        <w:t xml:space="preserve"> </w:t>
      </w:r>
      <w:r>
        <w:t xml:space="preserve">single-read, addressed event rather than an out-of-band handoff.</w:t>
      </w:r>
    </w:p>
    <w:p>
      <w:pPr>
        <w:numPr>
          <w:ilvl w:val="0"/>
          <w:numId w:val="1005"/>
        </w:numPr>
        <w:pStyle w:val="Normal"/>
      </w:pPr>
      <w:r>
        <w:rPr>
          <w:bCs/>
          <w:b/>
        </w:rPr>
        <w:t xml:space="preserve">SPAC</w:t>
      </w:r>
      <w:r>
        <w:t xml:space="preserve"> </w:t>
      </w:r>
      <w:r>
        <w:t xml:space="preserve">(§4–§5, design proposal). Generalizes the protected value</w:t>
      </w:r>
      <w:r>
        <w:t xml:space="preserve"> </w:t>
      </w:r>
      <w:r>
        <w:t xml:space="preserve">itself from</w:t>
      </w:r>
      <w:r>
        <w:t xml:space="preserve"> </w:t>
      </w:r>
      <w:r>
        <w:t xml:space="preserve">“</w:t>
      </w:r>
      <w:r>
        <w:t xml:space="preserve">a file’s plaintext</w:t>
      </w:r>
      <w:r>
        <w:t xml:space="preserve">”</w:t>
      </w:r>
      <w:r>
        <w:t xml:space="preserve"> </w:t>
      </w:r>
      <w:r>
        <w:t xml:space="preserve">to any enabling code for a</w:t>
      </w:r>
      <w:r>
        <w:t xml:space="preserve"> </w:t>
      </w:r>
      <w:r>
        <w:t xml:space="preserve">protected capability, and generalizes the ceremony from one fixed</w:t>
      </w:r>
      <w:r>
        <w:t xml:space="preserve"> </w:t>
      </w:r>
      <w:r>
        <w:t xml:space="preserve">shape into something tailorable per deployment — which trustees,</w:t>
      </w:r>
      <w:r>
        <w:t xml:space="preserve"> </w:t>
      </w:r>
      <w:r>
        <w:t xml:space="preserve">which local-unlock factors, which RTO — to fit the CONOPS and</w:t>
      </w:r>
      <w:r>
        <w:t xml:space="preserve"> </w:t>
      </w:r>
      <w:r>
        <w:t xml:space="preserve">embedment environment of a specific client system.</w:t>
      </w:r>
    </w:p>
    <w:p>
      <w:pPr>
        <w:pStyle w:val="Normal"/>
      </w:pPr>
      <w:r>
        <w:t xml:space="preserve">Each layer is a strict superset of the guarantees below it: nothing at</w:t>
      </w:r>
      <w:r>
        <w:t xml:space="preserve"> </w:t>
      </w:r>
      <w:r>
        <w:t xml:space="preserve">layer 2 weakens layer 1’s information-theoretic threshold, and nothing</w:t>
      </w:r>
      <w:r>
        <w:t xml:space="preserve"> </w:t>
      </w:r>
      <w:r>
        <w:t xml:space="preserve">at layer 4 weakens layer 2 or 3’s already-implemented mechanics. A</w:t>
      </w:r>
      <w:r>
        <w:t xml:space="preserve"> </w:t>
      </w:r>
      <w:r>
        <w:t xml:space="preserve">deployment can stop at any layer and still have a complete, sound</w:t>
      </w:r>
      <w:r>
        <w:t xml:space="preserve"> </w:t>
      </w:r>
      <w:r>
        <w:t xml:space="preserve">system — layer 4 is simply where this paper’s remaining open work</w:t>
      </w:r>
      <w:r>
        <w:t xml:space="preserve"> </w:t>
      </w:r>
      <w:r>
        <w:t xml:space="preserve">lives.</w:t>
      </w:r>
    </w:p>
    <w:p>
      <w:pPr>
        <w:pStyle w:val="BodyText"/>
      </w:pPr>
      <w:r>
        <w:drawing>
          <wp:inline>
            <wp:extent cx="4754880" cy="4718304"/>
            <wp:effectExtent b="0" l="0" r="0" t="0"/>
            <wp:docPr descr="" title="" id="35" name="Picture"/>
            <a:graphic>
              <a:graphicData uri="http://schemas.openxmlformats.org/drawingml/2006/picture">
                <pic:pic>
                  <pic:nvPicPr>
                    <pic:cNvPr descr="./media/capability-stack.png" id="36" name="Picture"/>
                    <pic:cNvPicPr>
                      <a:picLocks noChangeArrowheads="1" noChangeAspect="1"/>
                    </pic:cNvPicPr>
                  </pic:nvPicPr>
                  <pic:blipFill>
                    <a:blip r:embed="rId34"/>
                    <a:stretch>
                      <a:fillRect/>
                    </a:stretch>
                  </pic:blipFill>
                  <pic:spPr bwMode="auto">
                    <a:xfrm>
                      <a:off x="0" y="0"/>
                      <a:ext cx="4754880" cy="4718304"/>
                    </a:xfrm>
                    <a:prstGeom prst="rect">
                      <a:avLst/>
                    </a:prstGeom>
                    <a:noFill/>
                    <a:ln w="9525">
                      <a:noFill/>
                      <a:headEnd/>
                      <a:tailEnd/>
                    </a:ln>
                  </pic:spPr>
                </pic:pic>
              </a:graphicData>
            </a:graphic>
          </wp:inline>
        </w:drawing>
      </w:r>
    </w:p>
    <w:bookmarkEnd w:id="37"/>
    <w:bookmarkEnd w:id="38"/>
    <w:bookmarkStart w:id="43" w:name="concept-of-operations"/>
    <w:p>
      <w:pPr>
        <w:pStyle w:val="Heading1"/>
      </w:pPr>
      <w:r>
        <w:t xml:space="preserve">2. Concept of Operations</w:t>
      </w:r>
    </w:p>
    <w:bookmarkStart w:id="39" w:name="X44afdfc3e12a64da5573ba8be1535f7c6ad1ffb"/>
    <w:p>
      <w:pPr>
        <w:pStyle w:val="Heading2"/>
      </w:pPr>
      <w:r>
        <w:t xml:space="preserve">2.0 Scope of This Section: Mechanical Foundation, Not End Solution</w:t>
      </w:r>
    </w:p>
    <w:p>
      <w:pPr>
        <w:pStyle w:val="Normal"/>
      </w:pPr>
      <w:r>
        <w:t xml:space="preserve">The command-line workflows in this section are base demonstration tools illustrating shardic’s mechanical foundation: creation, distribution, and threshold reconstruction of a protected value. They are an essential component of a protection system,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bookmarkEnd w:id="39"/>
    <w:bookmarkStart w:id="40" w:name="operator-walkthrough-creating-a-vault"/>
    <w:p>
      <w:pPr>
        <w:pStyle w:val="Heading2"/>
      </w:pPr>
      <w:r>
        <w:t xml:space="preserve">2.1 Operator Walkthrough: Creating a Vault</w:t>
      </w:r>
    </w:p>
    <w:p>
      <w:pPr>
        <w:pStyle w:val="Normal"/>
      </w:pPr>
      <w:r>
        <w:t xml:space="preserve">An operator with a directory of sensitive files decides on two numbers before doing anything else: how many trustees (T) will hold a codeword, and how many of them (D) must agree to recover the data. In this walkthrough, five trustees are established with a threshold of three:</w:t>
      </w:r>
    </w:p>
    <w:p>
      <w:pPr>
        <w:pStyle w:val="SourceCode"/>
      </w:pPr>
      <w:r>
        <w:rPr>
          <w:rStyle w:val="DefaultParagraphFont"/>
        </w:rPr>
        <w:t xml:space="preserve">$ python3 vault_create.py \</w:t>
      </w:r>
      <w:r>
        <w:br/>
      </w:r>
      <w:r>
        <w:rPr>
          <w:rStyle w:val="DefaultParagraphFont"/>
        </w:rPr>
        <w:t xml:space="preserve">    --input ./secret_docs \</w:t>
      </w:r>
      <w:r>
        <w:br/>
      </w:r>
      <w:r>
        <w:rPr>
          <w:rStyle w:val="DefaultParagraphFont"/>
        </w:rPr>
        <w:t xml:space="preserve">    --trustees 5 --threshold 3 \</w:t>
      </w:r>
      <w:r>
        <w:br/>
      </w:r>
      <w:r>
        <w:rPr>
          <w:rStyle w:val="DefaultParagraphFont"/>
        </w:rPr>
        <w:t xml:space="preserve">    --word-count 3</w:t>
      </w:r>
    </w:p>
    <w:p>
      <w:pPr>
        <w:pStyle w:val="Normal"/>
      </w:pPr>
      <w:r>
        <w:t xml:space="preserve">Left at its defaults, the tool:</w:t>
      </w:r>
    </w:p>
    <w:p>
      <w:pPr>
        <w:numPr>
          <w:ilvl w:val="0"/>
          <w:numId w:val="1006"/>
        </w:numPr>
      </w:pPr>
      <w:r>
        <w:t xml:space="preserve">Reports which key-derivation function will protect each share (Argon2id if available, otherwise PBKDF2), since this affects recovery speed and offline-guessing resistance.</w:t>
      </w:r>
    </w:p>
    <w:p>
      <w:pPr>
        <w:numPr>
          <w:ilvl w:val="0"/>
          <w:numId w:val="1006"/>
        </w:numPr>
      </w:pPr>
      <w:r>
        <w:t xml:space="preserve">Defaults to –memorable mode when no fixed word length is given, drawing codewords from the bundled EFF long wordlist rather than synthetic strings.</w:t>
      </w:r>
    </w:p>
    <w:p>
      <w:pPr>
        <w:numPr>
          <w:ilvl w:val="0"/>
          <w:numId w:val="1006"/>
        </w:numPr>
      </w:pPr>
      <w:r>
        <w:t xml:space="preserve">Reports its own combinatorial strength estimate for a single trustee’s codeword phrase, so the operator can judge — before distributing anything — whether the chosen word count is adequate for the stakes involved.</w:t>
      </w:r>
    </w:p>
    <w:p>
      <w:pPr>
        <w:numPr>
          <w:ilvl w:val="0"/>
          <w:numId w:val="1006"/>
        </w:numPr>
      </w:pPr>
      <w:r>
        <w:t xml:space="preserve">Archives the input into a single blob, generates a random 256-bit data encryption key, and encrypts the archive under it.</w:t>
      </w:r>
    </w:p>
    <w:p>
      <w:pPr>
        <w:numPr>
          <w:ilvl w:val="0"/>
          <w:numId w:val="1006"/>
        </w:numPr>
      </w:pPr>
      <w:r>
        <w:t xml:space="preserve">Splits that key into the requested number of Shamir shares and protects each one under its own randomly generated codeword.</w:t>
      </w:r>
    </w:p>
    <w:p>
      <w:pPr>
        <w:numPr>
          <w:ilvl w:val="0"/>
          <w:numId w:val="1006"/>
        </w:numPr>
      </w:pPr>
      <w:r>
        <w:t xml:space="preserve">Writes one self-contained .krypt file, plus one text file per trustee containing only that trustee’s codeword.</w:t>
      </w:r>
    </w:p>
    <w:p>
      <w:pPr>
        <w:pStyle w:val="Normal"/>
      </w:pPr>
      <w:r>
        <w:t xml:space="preserve">The actual output of the run above:</w:t>
      </w:r>
    </w:p>
    <w:p>
      <w:pPr>
        <w:pStyle w:val="SourceCode"/>
      </w:pPr>
      <w:r>
        <w:rPr>
          <w:rStyle w:val="DefaultParagraphFont"/>
        </w:rPr>
        <w:t xml:space="preserve">[i] Share protection KDF: pbkdf2 {'iterations': 400000}</w:t>
      </w:r>
      <w:r>
        <w:br/>
      </w:r>
      <w:r>
        <w:rPr>
          <w:rStyle w:val="DefaultParagraphFont"/>
        </w:rPr>
        <w:t xml:space="preserve">[i] No --word-length given: defaulting to --memorable mode (whole real words).</w:t>
      </w:r>
      <w:r>
        <w:br/>
      </w:r>
      <w:r>
        <w:rPr>
          <w:rStyle w:val="DefaultParagraphFont"/>
        </w:rPr>
        <w:t xml:space="preserve">[*] Memorable mode: loaded 7772 whole, real candidate words from the bundled EFF wordlist</w:t>
      </w:r>
      <w:r>
        <w:br/>
      </w:r>
      <w:r>
        <w:rPr>
          <w:rStyle w:val="DefaultParagraphFont"/>
        </w:rPr>
        <w:t xml:space="preserve">[*] Estimated codeword strength: ~39 bits combinatorial per trustee (before any KDF</w:t>
      </w:r>
      <w:r>
        <w:br/>
      </w:r>
      <w:r>
        <w:rPr>
          <w:rStyle w:val="DefaultParagraphFont"/>
        </w:rPr>
        <w:t xml:space="preserve">    stretching). Recovery cracks each codeword independently, so this per-codeword</w:t>
      </w:r>
      <w:r>
        <w:br/>
      </w:r>
      <w:r>
        <w:rPr>
          <w:rStyle w:val="DefaultParagraphFont"/>
        </w:rPr>
        <w:t xml:space="preserve">    number -- not a 5-trustee total -- is the real security margin; raising</w:t>
      </w:r>
      <w:r>
        <w:br/>
      </w:r>
      <w:r>
        <w:rPr>
          <w:rStyle w:val="DefaultParagraphFont"/>
        </w:rPr>
        <w:t xml:space="preserve">    threshold/trustee counts does not substitute for it.</w:t>
      </w:r>
      <w:r>
        <w:br/>
      </w:r>
      <w:r>
        <w:rPr>
          <w:rStyle w:val="DefaultParagraphFont"/>
        </w:rPr>
        <w:t xml:space="preserve">[*] Archiving 'secret_docs' ...</w:t>
      </w:r>
      <w:r>
        <w:br/>
      </w:r>
      <w:r>
        <w:rPr>
          <w:rStyle w:val="DefaultParagraphFont"/>
        </w:rPr>
        <w:t xml:space="preserve">[*] Split DEK into 5 shares, threshold 3</w:t>
      </w:r>
      <w:r>
        <w:br/>
      </w:r>
      <w:r>
        <w:rPr>
          <w:rStyle w:val="DefaultParagraphFont"/>
        </w:rPr>
        <w:t xml:space="preserve">[*] Wrote vault container: vault_out/ce28by1pn9z8wib2.krypt (11388 bytes)</w:t>
      </w:r>
      <w:r>
        <w:br/>
      </w:r>
      <w:r>
        <w:rPr>
          <w:rStyle w:val="DefaultParagraphFont"/>
        </w:rPr>
        <w:t xml:space="preserve">[+] Wrote 5 trustee codeword files to: vault_out/trustee_words/</w:t>
      </w:r>
      <w:r>
        <w:br/>
      </w:r>
      <w:r>
        <w:rPr>
          <w:rStyle w:val="DefaultParagraphFont"/>
        </w:rPr>
        <w:t xml:space="preserve">    Distribute each trustee_N.txt to exactly one trustee (out of band, e.g. in person</w:t>
      </w:r>
      <w:r>
        <w:br/>
      </w:r>
      <w:r>
        <w:rPr>
          <w:rStyle w:val="DefaultParagraphFont"/>
        </w:rPr>
        <w:t xml:space="preserve">    or over a channel they individually control), then DELETE these files from this</w:t>
      </w:r>
      <w:r>
        <w:br/>
      </w:r>
      <w:r>
        <w:rPr>
          <w:rStyle w:val="DefaultParagraphFont"/>
        </w:rPr>
        <w:t xml:space="preserve">    machine. Recovery needs only the single .krypt file + any 3 of the 5 codewords.</w:t>
      </w:r>
    </w:p>
    <w:p>
      <w:pPr>
        <w:pStyle w:val="Normal"/>
      </w:pPr>
      <w:r>
        <w:t xml:space="preserve">The operator’s remaining job at this point is entirely procedural, not cryptographic: distribute each trustee_N.txt to exactly one trustee, out of band, over a channel that trustee individually controls — and then delete the local copies. The tool deliberately does not automate distribution; who receives which codeword, and how, is a trust decision that belongs to the operator, not the software.</w:t>
      </w:r>
    </w:p>
    <w:bookmarkEnd w:id="40"/>
    <w:bookmarkStart w:id="41" w:name="operator-walkthrough-recovering-a-vault"/>
    <w:p>
      <w:pPr>
        <w:pStyle w:val="Heading2"/>
      </w:pPr>
      <w:r>
        <w:t xml:space="preserve">2.2 Operator Walkthrough: Recovering a Vault</w:t>
      </w:r>
    </w:p>
    <w:p>
      <w:pPr>
        <w:pStyle w:val="Normal"/>
      </w:pPr>
      <w:r>
        <w:t xml:space="preserve">At recovery time, any three of the five trustees supply their codewords — the operator does not need to know or specify which three:</w:t>
      </w:r>
    </w:p>
    <w:p>
      <w:pPr>
        <w:pStyle w:val="SourceCode"/>
      </w:pPr>
      <w:r>
        <w:rPr>
          <w:rStyle w:val="DefaultParagraphFont"/>
        </w:rPr>
        <w:t xml:space="preserve">$ python3 vault_recover.py vault_out/ce28by1pn9z8wib2.krypt \</w:t>
      </w:r>
      <w:r>
        <w:br/>
      </w:r>
      <w:r>
        <w:rPr>
          <w:rStyle w:val="DefaultParagraphFont"/>
        </w:rPr>
        <w:t xml:space="preserve">    --word "broadside-repulsion-subway" \</w:t>
      </w:r>
      <w:r>
        <w:br/>
      </w:r>
      <w:r>
        <w:rPr>
          <w:rStyle w:val="DefaultParagraphFont"/>
        </w:rPr>
        <w:t xml:space="preserve">    --word "valuables-repeater-oversleep" \</w:t>
      </w:r>
      <w:r>
        <w:br/>
      </w:r>
      <w:r>
        <w:rPr>
          <w:rStyle w:val="DefaultParagraphFont"/>
        </w:rPr>
        <w:t xml:space="preserve">    --word "winking-portly-diffusion"</w:t>
      </w:r>
    </w:p>
    <w:p>
      <w:pPr>
        <w:pStyle w:val="Normal"/>
      </w:pPr>
      <w:r>
        <w:t xml:space="preserve">Actual output:</w:t>
      </w:r>
    </w:p>
    <w:p>
      <w:pPr>
        <w:pStyle w:val="SourceCode"/>
      </w:pPr>
      <w:r>
        <w:rPr>
          <w:rStyle w:val="DefaultParagraphFont"/>
        </w:rPr>
        <w:t xml:space="preserve">[i] This vault requires 3 of 5 codewords to recover.</w:t>
      </w:r>
      <w:r>
        <w:br/>
      </w:r>
      <w:r>
        <w:rPr>
          <w:rStyle w:val="DefaultParagraphFont"/>
        </w:rPr>
        <w:t xml:space="preserve">[i] Share protection KDF: pbkdf2</w:t>
      </w:r>
      <w:r>
        <w:br/>
      </w:r>
      <w:r>
        <w:rPr>
          <w:rStyle w:val="DefaultParagraphFont"/>
        </w:rPr>
        <w:t xml:space="preserve">[+] Codeword accepted (1/3).</w:t>
      </w:r>
      <w:r>
        <w:br/>
      </w:r>
      <w:r>
        <w:rPr>
          <w:rStyle w:val="DefaultParagraphFont"/>
        </w:rPr>
        <w:t xml:space="preserve">[+] Codeword accepted (2/3).</w:t>
      </w:r>
      <w:r>
        <w:br/>
      </w:r>
      <w:r>
        <w:rPr>
          <w:rStyle w:val="DefaultParagraphFont"/>
        </w:rPr>
        <w:t xml:space="preserve">[+] Codeword accepted (3/3).</w:t>
      </w:r>
      <w:r>
        <w:br/>
      </w:r>
      <w:r>
        <w:rPr>
          <w:rStyle w:val="DefaultParagraphFont"/>
        </w:rPr>
        <w:t xml:space="preserve">[*] Reconstructing DEK from recovered shares ...</w:t>
      </w:r>
      <w:r>
        <w:br/>
      </w:r>
      <w:r>
        <w:rPr>
          <w:rStyle w:val="DefaultParagraphFont"/>
        </w:rPr>
        <w:t xml:space="preserve">[*] Decrypting archive ...</w:t>
      </w:r>
      <w:r>
        <w:br/>
      </w:r>
      <w:r>
        <w:rPr>
          <w:rStyle w:val="DefaultParagraphFont"/>
        </w:rPr>
        <w:t xml:space="preserve">[*] Success. Recovered contents extracted to: /tmp/wp_demo/recovered_out</w:t>
      </w:r>
    </w:p>
    <w:p>
      <w:pPr>
        <w:pStyle w:val="Normal"/>
      </w:pPr>
      <w:r>
        <w:t xml:space="preserve">Two operational details are worth calling out. First, codewords can be entered in any order — recovery does not ask</w:t>
      </w:r>
      <w:r>
        <w:t xml:space="preserve"> </w:t>
      </w:r>
      <w:r>
        <w:t xml:space="preserve">“</w:t>
      </w:r>
      <w:r>
        <w:t xml:space="preserve">which trustee are you,</w:t>
      </w:r>
      <w:r>
        <w:t xml:space="preserve">”</w:t>
      </w:r>
      <w:r>
        <w:t xml:space="preserve"> </w:t>
      </w:r>
      <w:r>
        <w:t xml:space="preserve">it simply tries each supplied codeword against every not-yet-matched share until one authenticates (see §3.4). Second, if fewer than D codewords match, or any of them are wrong, the tool reports how many were accepted and stops — it never writes partial or best-guess output.</w:t>
      </w:r>
    </w:p>
    <w:bookmarkEnd w:id="41"/>
    <w:bookmarkStart w:id="42" w:name="Xa7e2a2858af24b1d654f16fa355e8878c84b456"/>
    <w:p>
      <w:pPr>
        <w:pStyle w:val="Heading2"/>
      </w:pPr>
      <w:r>
        <w:t xml:space="preserve">2.3 shardic-prime: A Mandatory-Trustee Variant</w:t>
      </w:r>
    </w:p>
    <w:p>
      <w:pPr>
        <w:pStyle w:val="Normal"/>
      </w:pPr>
      <w:r>
        <w:t xml:space="preserve">The base scheme treats every trustee identically — any D of T codewords recover the vault, full stop. shardic-prime is a separate variant, with its own CLI tools and its own container format, that adds one essential trustee on top of the base scheme: the prime trustee’s codeword must always be among those supplied, no matter how many other codewords are gathered. The remaining trustees form an ordinary interchangeable pool for the rest of the threshold.</w:t>
      </w:r>
    </w:p>
    <w:p>
      <w:pPr>
        <w:pStyle w:val="BodyText"/>
      </w:pPr>
      <w:r>
        <w:t xml:space="preserve">This fits situations where one specific role — an estate’s executor, an organization’s security lead — must always sign off, while the people backing them up can be any qualifying subset. In T=4, D=3 prime-trustee terms, that means 1 prime trustee plus 3 pool trustees, and recovery needs the prime’s codeword plus any 2 of the 3 pool codewords.</w:t>
      </w:r>
    </w:p>
    <w:p>
      <w:pPr>
        <w:pStyle w:val="SourceCode"/>
      </w:pPr>
      <w:r>
        <w:rPr>
          <w:rStyle w:val="DefaultParagraphFont"/>
        </w:rPr>
        <w:t xml:space="preserve">$ python3 vault_create_prime.py --input ./my_directory \</w:t>
      </w:r>
      <w:r>
        <w:br/>
      </w:r>
      <w:r>
        <w:rPr>
          <w:rStyle w:val="DefaultParagraphFont"/>
        </w:rPr>
        <w:t xml:space="preserve">    --trustees 4 --threshold 3 \</w:t>
      </w:r>
      <w:r>
        <w:br/>
      </w:r>
      <w:r>
        <w:rPr>
          <w:rStyle w:val="DefaultParagraphFont"/>
        </w:rPr>
        <w:t xml:space="preserve">    --word-length 6 --word-count 2</w:t>
      </w:r>
      <w:r>
        <w:br/>
      </w:r>
      <w:r>
        <w:rPr>
          <w:rStyle w:val="DefaultParagraphFont"/>
        </w:rPr>
        <w:t xml:space="preserve">$ python3 vault_recover_prime.py VAULT.krypt</w:t>
      </w:r>
    </w:p>
    <w:p>
      <w:pPr>
        <w:pStyle w:val="Normal"/>
      </w:pPr>
      <w:r>
        <w:t xml:space="preserve">All three pool codewords, gathered without the prime trustee’s, recover nothing — a property guaranteed by the construction itself (§3.5), not merely enforced by the CLI. As with the base scheme, recovery does not require the operator to say in advance which supplied codeword belongs to the prime trustee; it is identified automatically once decryption succeeds. §4 revisits the prime trustee’s role directly — it turns out to generalize to a hardware-embodied instance without requiring any new mathematics at all.</w:t>
      </w:r>
    </w:p>
    <w:bookmarkEnd w:id="42"/>
    <w:bookmarkEnd w:id="43"/>
    <w:bookmarkStart w:id="69" w:name="technical-mechanics"/>
    <w:p>
      <w:pPr>
        <w:pStyle w:val="Heading1"/>
      </w:pPr>
      <w:r>
        <w:t xml:space="preserve">3. Technical Mechanics</w:t>
      </w:r>
    </w:p>
    <w:p>
      <w:pPr>
        <w:pStyle w:val="Normal"/>
      </w:pPr>
      <w:r>
        <w:t xml:space="preserve">This section describes how the .krypt container actually protects data: how the data encryption key is generated, how Shamir’s Secret Sharing protects its recovery, how each individual share is, in turn, protected by a codeword-derived key, and how the scheme has since extended into public-key-wrapped delivery and multi-party ceremony formation.</w:t>
      </w:r>
    </w:p>
    <w:bookmarkStart w:id="47" w:name="archive-and-data-encryption-key"/>
    <w:p>
      <w:pPr>
        <w:pStyle w:val="Heading2"/>
      </w:pPr>
      <w:r>
        <w:t xml:space="preserve">3.1 Archive and Data Encryption Key</w:t>
      </w:r>
    </w:p>
    <w:p>
      <w:pPr>
        <w:pStyle w:val="Normal"/>
      </w:pPr>
      <w:r>
        <w:t xml:space="preserve">Vault creation proceeds in a fixed sequence:</w:t>
      </w:r>
    </w:p>
    <w:p>
      <w:pPr>
        <w:numPr>
          <w:ilvl w:val="0"/>
          <w:numId w:val="1007"/>
        </w:numPr>
      </w:pPr>
      <w:r>
        <w:t xml:space="preserve">The input file or directory is bundled with tar into a single blob, so any input shape — one file or an entire directory tree — is handled uniformly. The archive is deliberately left uncompressed (mode</w:t>
      </w:r>
      <w:r>
        <w:t xml:space="preserve"> </w:t>
      </w:r>
      <w:r>
        <w:t xml:space="preserve">“</w:t>
      </w:r>
      <w:r>
        <w:t xml:space="preserve">w</w:t>
      </w:r>
      <w:r>
        <w:t xml:space="preserve">”</w:t>
      </w:r>
      <w:r>
        <w:t xml:space="preserve">, not</w:t>
      </w:r>
      <w:r>
        <w:t xml:space="preserve"> </w:t>
      </w:r>
      <w:r>
        <w:t xml:space="preserve">“</w:t>
      </w:r>
      <w:r>
        <w:t xml:space="preserve">w:gz</w:t>
      </w:r>
      <w:r>
        <w:t xml:space="preserve">”</w:t>
      </w:r>
      <w:r>
        <w:t xml:space="preserve">) so ciphertext size does not vary with plaintext compressibility any more than strictly necessary — compression can otherwise leak information about content through size alone.</w:t>
      </w:r>
    </w:p>
    <w:p>
      <w:pPr>
        <w:numPr>
          <w:ilvl w:val="0"/>
          <w:numId w:val="1007"/>
        </w:numPr>
      </w:pPr>
      <w:r>
        <w:t xml:space="preserve">A random 256-bit data encryption key (DEK) is generated using a cryptographically secure random source (secrets.token_bytes).</w:t>
      </w:r>
    </w:p>
    <w:p>
      <w:pPr>
        <w:numPr>
          <w:ilvl w:val="0"/>
          <w:numId w:val="1007"/>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4754880" cy="3008376"/>
            <wp:effectExtent b="0" l="0" r="0" t="0"/>
            <wp:docPr descr="" title="" id="45" name="Picture"/>
            <a:graphic>
              <a:graphicData uri="http://schemas.openxmlformats.org/drawingml/2006/picture">
                <pic:pic>
                  <pic:nvPicPr>
                    <pic:cNvPr descr="./media/image1.png" id="46" name="Picture"/>
                    <pic:cNvPicPr>
                      <a:picLocks noChangeArrowheads="1" noChangeAspect="1"/>
                    </pic:cNvPicPr>
                  </pic:nvPicPr>
                  <pic:blipFill>
                    <a:blip r:embed="rId44"/>
                    <a:stretch>
                      <a:fillRect/>
                    </a:stretch>
                  </pic:blipFill>
                  <pic:spPr bwMode="auto">
                    <a:xfrm>
                      <a:off x="0" y="0"/>
                      <a:ext cx="4754880" cy="3008376"/>
                    </a:xfrm>
                    <a:prstGeom prst="rect">
                      <a:avLst/>
                    </a:prstGeom>
                    <a:noFill/>
                    <a:ln w="9525">
                      <a:noFill/>
                      <a:headEnd/>
                      <a:tailEnd/>
                    </a:ln>
                  </pic:spPr>
                </pic:pic>
              </a:graphicData>
            </a:graphic>
          </wp:inline>
        </w:drawing>
      </w:r>
    </w:p>
    <w:bookmarkEnd w:id="47"/>
    <w:bookmarkStart w:id="51" w:name="shamirs-secret-sharing-over-gf256"/>
    <w:p>
      <w:pPr>
        <w:pStyle w:val="Heading2"/>
      </w:pPr>
      <w:r>
        <w:t xml:space="preserve">3.2 Shamir’s Secret Sharing over GF(256)</w:t>
      </w:r>
    </w:p>
    <w:p>
      <w:pPr>
        <w:pStyle w:val="Normal"/>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8"/>
        </w:numPr>
      </w:pPr>
      <w:r>
        <w:t xml:space="preserve">Each byte of the secret becomes the constant term of a random polynomial of degree D − 1, with the remaining coefficients drawn uniformly at random.</w:t>
      </w:r>
    </w:p>
    <w:p>
      <w:pPr>
        <w:numPr>
          <w:ilvl w:val="0"/>
          <w:numId w:val="1008"/>
        </w:numPr>
      </w:pPr>
      <w:r>
        <w:t xml:space="preserve">Each of the T shares is that polynomial evaluated at a distinct x-coordinate (1 through T), across all 32 byte positions simultaneously.</w:t>
      </w:r>
    </w:p>
    <w:p>
      <w:pPr>
        <w:numPr>
          <w:ilvl w:val="0"/>
          <w:numId w:val="1008"/>
        </w:numPr>
      </w:pPr>
      <w:r>
        <w:t xml:space="preserve">Reconstruction takes any D shares and applies Lagrange interpolation at x = 0, independently per byte position, to recover the original secret byte.</w:t>
      </w:r>
    </w:p>
    <w:p>
      <w:pPr>
        <w:pStyle w:val="Normal"/>
      </w:pPr>
      <w:r>
        <w:t xml:space="preserve">Why this is information-theoretic, not merely computational. A polynomial of degree D − 1 is uniquely determined by any D points on it — but with only D − 1 points, every possible value of the constant term (the secret byte) remains equally consistent with those points. An attacker holding D − 1 shares therefore learns exactly zero bits about the DEK, regardless of computing power, time, or future cryptanalytic advances against AES itself.</w:t>
      </w:r>
      <w:r>
        <w:t xml:space="preserve"> </w:t>
      </w:r>
      <w:r>
        <w:t xml:space="preserve">“</w:t>
      </w:r>
      <w:r>
        <w:t xml:space="preserve">Information-theoretic</w:t>
      </w:r>
      <w:r>
        <w:t xml:space="preserve">”</w:t>
      </w:r>
      <w:r>
        <w:t xml:space="preserve"> </w:t>
      </w:r>
      <w:r>
        <w:t xml:space="preserve">security means a guarantee that holds regardless of computing power — not because breaking it is hard, but because the information needed to break it simply isn’t there.</w:t>
      </w:r>
    </w:p>
    <w:p>
      <w:pPr>
        <w:pStyle w:val="BodyText"/>
      </w:pPr>
      <w:r>
        <w:drawing>
          <wp:inline>
            <wp:extent cx="4754880" cy="2212848"/>
            <wp:effectExtent b="0" l="0" r="0" t="0"/>
            <wp:docPr descr="" title="" id="49" name="Picture"/>
            <a:graphic>
              <a:graphicData uri="http://schemas.openxmlformats.org/drawingml/2006/picture">
                <pic:pic>
                  <pic:nvPicPr>
                    <pic:cNvPr descr="./media/image2.png" id="50" name="Picture"/>
                    <pic:cNvPicPr>
                      <a:picLocks noChangeArrowheads="1" noChangeAspect="1"/>
                    </pic:cNvPicPr>
                  </pic:nvPicPr>
                  <pic:blipFill>
                    <a:blip r:embed="rId48"/>
                    <a:stretch>
                      <a:fillRect/>
                    </a:stretch>
                  </pic:blipFill>
                  <pic:spPr bwMode="auto">
                    <a:xfrm>
                      <a:off x="0" y="0"/>
                      <a:ext cx="4754880" cy="2212848"/>
                    </a:xfrm>
                    <a:prstGeom prst="rect">
                      <a:avLst/>
                    </a:prstGeom>
                    <a:noFill/>
                    <a:ln w="9525">
                      <a:noFill/>
                      <a:headEnd/>
                      <a:tailEnd/>
                    </a:ln>
                  </pic:spPr>
                </pic:pic>
              </a:graphicData>
            </a:graphic>
          </wp:inline>
        </w:drawing>
      </w:r>
    </w:p>
    <w:bookmarkEnd w:id="51"/>
    <w:bookmarkStart w:id="55" w:name="Xe7d6ff47969d0cff6318c91d3fc58eef6ef43eb"/>
    <w:p>
      <w:pPr>
        <w:pStyle w:val="Heading2"/>
      </w:pPr>
      <w:r>
        <w:t xml:space="preserve">3.3 Codeword-Derived Key Protection of Shares</w:t>
      </w:r>
    </w:p>
    <w:p>
      <w:pPr>
        <w:pStyle w:val="Normal"/>
      </w:pPr>
      <w:r>
        <w:t xml:space="preserve">A raw Shamir share is still just data — if written to disk unprotected, whoever possesses D of them could reconstruct the DEK without any trustee’s cooperation at all. Each share is therefore itself individually encrypted before being placed in the vault:</w:t>
      </w:r>
    </w:p>
    <w:p>
      <w:pPr>
        <w:numPr>
          <w:ilvl w:val="0"/>
          <w:numId w:val="1009"/>
        </w:numPr>
      </w:pPr>
      <w:r>
        <w:t xml:space="preserve">A random, human-typeable codeword is generated for the share.</w:t>
      </w:r>
    </w:p>
    <w:p>
      <w:pPr>
        <w:numPr>
          <w:ilvl w:val="0"/>
          <w:numId w:val="1009"/>
        </w:numPr>
      </w:pPr>
      <w:r>
        <w:t xml:space="preserve">A random salt is generated, and a 256-bit key is derived from the codeword and salt using one of two supported key-derivation functions: PBKDF2-HMAC-SHA256 (400,000 iterations by default) or Argon2id (time_cost=4, memory_cost=256 MiB, parallelism=4 by default — memory-hard, and preferred when the optional argon2-cffi package is available).</w:t>
      </w:r>
    </w:p>
    <w:p>
      <w:pPr>
        <w:numPr>
          <w:ilvl w:val="0"/>
          <w:numId w:val="1009"/>
        </w:numPr>
      </w:pPr>
      <w:r>
        <w:t xml:space="preserve">The share (its x-coordinate plus its 32 y-bytes) is encrypted with AES-256-GCM under that derived key, using its own random nonce.</w:t>
      </w:r>
    </w:p>
    <w:p>
      <w:pPr>
        <w:pStyle w:val="Normal"/>
      </w:pPr>
      <w:r>
        <w:t xml:space="preserve">The vault records, per share, only an opaque triple: {salt, nonce, ciphertext}. Which KDF method and parameters were used are recorded once in the container’s metadata — self-describing, so recovery never needs to be told out-of-band which settings a given vault used.</w:t>
      </w:r>
    </w:p>
    <w:p>
      <w:pPr>
        <w:pStyle w:val="BodyText"/>
      </w:pPr>
      <w:r>
        <w:drawing>
          <wp:inline>
            <wp:extent cx="4754880" cy="3758184"/>
            <wp:effectExtent b="0" l="0" r="0" t="0"/>
            <wp:docPr descr="" title="" id="53" name="Picture"/>
            <a:graphic>
              <a:graphicData uri="http://schemas.openxmlformats.org/drawingml/2006/picture">
                <pic:pic>
                  <pic:nvPicPr>
                    <pic:cNvPr descr="./media/image3.png" id="54" name="Picture"/>
                    <pic:cNvPicPr>
                      <a:picLocks noChangeArrowheads="1" noChangeAspect="1"/>
                    </pic:cNvPicPr>
                  </pic:nvPicPr>
                  <pic:blipFill>
                    <a:blip r:embed="rId52"/>
                    <a:stretch>
                      <a:fillRect/>
                    </a:stretch>
                  </pic:blipFill>
                  <pic:spPr bwMode="auto">
                    <a:xfrm>
                      <a:off x="0" y="0"/>
                      <a:ext cx="4754880" cy="3758184"/>
                    </a:xfrm>
                    <a:prstGeom prst="rect">
                      <a:avLst/>
                    </a:prstGeom>
                    <a:noFill/>
                    <a:ln w="9525">
                      <a:noFill/>
                      <a:headEnd/>
                      <a:tailEnd/>
                    </a:ln>
                  </pic:spPr>
                </pic:pic>
              </a:graphicData>
            </a:graphic>
          </wp:inline>
        </w:drawing>
      </w:r>
    </w:p>
    <w:bookmarkEnd w:id="55"/>
    <w:bookmarkStart w:id="59" w:name="Xe13bb24bdbe3616d422b31c08eeab14b416f6ae"/>
    <w:p>
      <w:pPr>
        <w:pStyle w:val="Heading2"/>
      </w:pPr>
      <w:r>
        <w:t xml:space="preserve">3.4 The .krypt Container and Zero-Leakage Indexing</w:t>
      </w:r>
    </w:p>
    <w:p>
      <w:pPr>
        <w:pStyle w:val="Normal"/>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shares carries no mapping from record to trustee, and no mapping from record to codeword — each entry is simply an opaque {salt, nonce, ciphertext} triple, and the order of entries in the file is randomly shuffled at creation time. Recovery works by trial matching: each codeword the operator supplies is tried, via its derived AES-GCM key, against every not-yet-matched share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With T in the tens, this exhaustive trial is effectively instantaneous, and it has a meaningful security consequence: the .krypt file, examined on its own, reveals nothing about which share belongs to which trustee, or how many codewords would need to be compromised together to threaten a specific subset of the data.</w:t>
      </w:r>
    </w:p>
    <w:p>
      <w:pPr>
        <w:pStyle w:val="BodyText"/>
      </w:pPr>
      <w:r>
        <w:drawing>
          <wp:inline>
            <wp:extent cx="4754880" cy="3657600"/>
            <wp:effectExtent b="0" l="0" r="0" t="0"/>
            <wp:docPr descr="" title="" id="57" name="Picture"/>
            <a:graphic>
              <a:graphicData uri="http://schemas.openxmlformats.org/drawingml/2006/picture">
                <pic:pic>
                  <pic:nvPicPr>
                    <pic:cNvPr descr="./media/image4.png" id="58" name="Picture"/>
                    <pic:cNvPicPr>
                      <a:picLocks noChangeArrowheads="1" noChangeAspect="1"/>
                    </pic:cNvPicPr>
                  </pic:nvPicPr>
                  <pic:blipFill>
                    <a:blip r:embed="rId56"/>
                    <a:stretch>
                      <a:fillRect/>
                    </a:stretch>
                  </pic:blipFill>
                  <pic:spPr bwMode="auto">
                    <a:xfrm>
                      <a:off x="0" y="0"/>
                      <a:ext cx="4754880" cy="3657600"/>
                    </a:xfrm>
                    <a:prstGeom prst="rect">
                      <a:avLst/>
                    </a:prstGeom>
                    <a:noFill/>
                    <a:ln w="9525">
                      <a:noFill/>
                      <a:headEnd/>
                      <a:tailEnd/>
                    </a:ln>
                  </pic:spPr>
                </pic:pic>
              </a:graphicData>
            </a:graphic>
          </wp:inline>
        </w:drawing>
      </w:r>
    </w:p>
    <w:bookmarkEnd w:id="59"/>
    <w:bookmarkStart w:id="63" w:name="how-shardic-prime-varies"/>
    <w:p>
      <w:pPr>
        <w:pStyle w:val="Heading2"/>
      </w:pPr>
      <w:r>
        <w:t xml:space="preserve">3.5 How shardic-prime Varies</w:t>
      </w:r>
    </w:p>
    <w:p>
      <w:pPr>
        <w:pStyle w:val="Normal"/>
      </w:pPr>
      <w:r>
        <w:t xml:space="preserve">shardic-prime layers a one-time-pad mask over the ordinary Shamir construction described above, rather than introducing new field arithmetic. Given the DEK as the secret:</w:t>
      </w:r>
    </w:p>
    <w:p>
      <w:pPr>
        <w:pStyle w:val="SourceCode"/>
      </w:pPr>
      <w:r>
        <w:rPr>
          <w:rStyle w:val="DefaultParagraphFont"/>
        </w:rPr>
        <w:t xml:space="preserve">mask          = random bytes, same length as the DEK</w:t>
      </w:r>
      <w:r>
        <w:br/>
      </w:r>
      <w:r>
        <w:rPr>
          <w:rStyle w:val="DefaultParagraphFont"/>
        </w:rPr>
        <w:t xml:space="preserve">masked_secret = DEK XOR mask</w:t>
      </w:r>
      <w:r>
        <w:br/>
      </w:r>
      <w:r>
        <w:rPr>
          <w:rStyle w:val="DefaultParagraphFont"/>
        </w:rPr>
        <w:t xml:space="preserve">pool_shares   = split_secret(masked_secret, pool_threshold, pool_size)</w:t>
      </w:r>
    </w:p>
    <w:p>
      <w:pPr>
        <w:pStyle w:val="Normal"/>
      </w:pPr>
      <w:r>
        <w:t xml:space="preserve">The prime trustee’s codeword protects mask directly — an all-or-nothing pad, not a point on a Shamir polynomial. Recovery requires both mask and at least pool_threshold pool shares:</w:t>
      </w:r>
    </w:p>
    <w:p>
      <w:pPr>
        <w:pStyle w:val="SourceCode"/>
      </w:pPr>
      <w:r>
        <w:rPr>
          <w:rStyle w:val="DefaultParagraphFont"/>
        </w:rPr>
        <w:t xml:space="preserve">masked_secret = reconstruct_secret(pool_shares)</w:t>
      </w:r>
      <w:r>
        <w:br/>
      </w:r>
      <w:r>
        <w:rPr>
          <w:rStyle w:val="DefaultParagraphFont"/>
        </w:rPr>
        <w:t xml:space="preserve">DEK           = masked_secret XOR mask</w:t>
      </w:r>
    </w:p>
    <w:p>
      <w:pPr>
        <w:pStyle w:val="Normal"/>
      </w:pPr>
      <w:r>
        <w:t xml:space="preserve">Without mask, the pool shares — even all of them — reconstruct only masked_secret, which is uniformly random and indistinguishable from noise without the mask to remove. Without at least pool_threshold pool shares,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drawing>
          <wp:inline>
            <wp:extent cx="4754880" cy="3044952"/>
            <wp:effectExtent b="0" l="0" r="0" t="0"/>
            <wp:docPr descr="" title="" id="61" name="Picture"/>
            <a:graphic>
              <a:graphicData uri="http://schemas.openxmlformats.org/drawingml/2006/picture">
                <pic:pic>
                  <pic:nvPicPr>
                    <pic:cNvPr descr="./media/image5.png" id="62" name="Picture"/>
                    <pic:cNvPicPr>
                      <a:picLocks noChangeArrowheads="1" noChangeAspect="1"/>
                    </pic:cNvPicPr>
                  </pic:nvPicPr>
                  <pic:blipFill>
                    <a:blip r:embed="rId60"/>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load-bearing piece of everything in §4: because mask is just a value, nothing about reconstruct_secret_with_prime() requires that value to be held by a human. §4.2 reuses this exact code, unmodified, to bind the same mathematics to a piece of hardware instead.</w:t>
      </w:r>
    </w:p>
    <w:bookmarkEnd w:id="63"/>
    <w:bookmarkStart w:id="64" w:name="X73a42474cd217ab497ce3f50fe07202ee662ab9"/>
    <w:p>
      <w:pPr>
        <w:pStyle w:val="Heading2"/>
      </w:pPr>
      <w:r>
        <w:t xml:space="preserve">3.6 shardic-envelope: Public-Key-Wrapped Codewords (Implemented)</w:t>
      </w:r>
    </w:p>
    <w:p>
      <w:pPr>
        <w:pStyle w:val="Normal"/>
      </w:pPr>
      <w:r>
        <w:t xml:space="preserve">Every codeword mode described in §6.2 ultimately protects a share with something a human being can recall or transcribe, and §6.1 establishes that this individual codeword strength, not the Shamir/AES layer, is the design’s real computational bottleneck. shardic-envelope removes that ceiling entirely for trustees willing to hold a cryptographic keypair, by wrapping each trustee’s codeword in public-key encryption under a key they already control — rather than under a memory limit. As of this writing, shardic-envelope is implemented and demonstrated end-to-end (shardic_envelope_crypto.py, demo/combiner/app.py), not merely proposed.</w:t>
      </w:r>
    </w:p>
    <w:p>
      <w:pPr>
        <w:numPr>
          <w:ilvl w:val="0"/>
          <w:numId w:val="1010"/>
        </w:numPr>
      </w:pPr>
      <w:r>
        <w:t xml:space="preserve">Operates strictly on the output of vault creation — the plaintext files a trustee would otherwise have received — rather than modifying vault_core.py itself, so the existing encrypt/split/KDF path is untouched and the base scheme’s guarantees are unaffected.</w:t>
      </w:r>
    </w:p>
    <w:p>
      <w:pPr>
        <w:numPr>
          <w:ilvl w:val="0"/>
          <w:numId w:val="1010"/>
        </w:numPr>
      </w:pPr>
      <w:r>
        <w:t xml:space="preserve">Wraps each codeword in a hybrid, ECIES-style envelope (X25519 ECDH + HKDF-SHA256 + AES-256-GCM), deliberately shaped to mirror the vault’s existing {salt, nonce, ciphertext} share-record convention rather than inventing a new format.</w:t>
      </w:r>
    </w:p>
    <w:p>
      <w:pPr>
        <w:numPr>
          <w:ilvl w:val="0"/>
          <w:numId w:val="1010"/>
        </w:numPr>
      </w:pPr>
      <w:r>
        <w:t xml:space="preserve">The combiner — the service that holds .krypt ciphertext and every wrapped envelope, and orchestrates registration and recovery — never receives a plaintext codeword at any point, only shards derived locally by each trustee and re-wrapped for the combiner’s own public key on the way back.</w:t>
      </w:r>
    </w:p>
    <w:p>
      <w:pPr>
        <w:pStyle w:val="Normal"/>
      </w:pPr>
      <w:r>
        <w:t xml:space="preserve">Recovery is unchanged from a trustee’s point of view in the base scheme: they still supply a plaintext codeword or its derived shard. What changes is provisioning — the trustee’s own device decrypts an envelope locally, once, to obtain the value they would otherwise have had to memorize or write down themselves.</w:t>
      </w:r>
    </w:p>
    <w:bookmarkEnd w:id="64"/>
    <w:bookmarkStart w:id="68" w:name="Xa1cc7a3e06304cc4fe1bf4f5f705423b9c4a698"/>
    <w:p>
      <w:pPr>
        <w:pStyle w:val="Heading2"/>
      </w:pPr>
      <w:r>
        <w:t xml:space="preserve">3.7 Ceremony Formation, Credentials, and Delivery (Implemented)</w:t>
      </w:r>
    </w:p>
    <w:p>
      <w:pPr>
        <w:pStyle w:val="Normal"/>
      </w:pPr>
      <w:r>
        <w:t xml:space="preserve">§3.6 raises two questions that a follow-on design phase answers with running code, not just a sketch: how does a trustee’s public key get established and trusted in the first place, and how does an operator convene a specific quorum of trustees for a given vault rather than improvising trust decisions ad hoc each time?</w:t>
      </w:r>
    </w:p>
    <w:p>
      <w:pPr>
        <w:numPr>
          <w:ilvl w:val="0"/>
          <w:numId w:val="1011"/>
        </w:numPr>
      </w:pPr>
      <w:r>
        <w:t xml:space="preserve">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numPr>
          <w:ilvl w:val="0"/>
          <w:numId w:val="1011"/>
        </w:numPr>
      </w:pPr>
      <w:r>
        <w:t xml:space="preserve">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numPr>
          <w:ilvl w:val="0"/>
          <w:numId w:val="1011"/>
        </w:numPr>
      </w:pPr>
      <w:r>
        <w:t xml:space="preserve">Delivery. Wrapped envelopes are deposited at an authenticated, single-read drop point, addressed by trustee identity rather than a contact channel. The trustee fetches their own envelope themselves, once.</w:t>
      </w:r>
      <w:r>
        <w:t xml:space="preserve"> </w:t>
      </w:r>
      <w:r>
        <w:t xml:space="preserve">“</w:t>
      </w:r>
      <w:r>
        <w:t xml:space="preserve">Exactly once</w:t>
      </w:r>
      <w:r>
        <w:t xml:space="preserve">”</w:t>
      </w:r>
      <w:r>
        <w:t xml:space="preserve"> </w:t>
      </w:r>
      <w:r>
        <w:t xml:space="preserve">redemption functions as a detection mechanism — a second read attempt on an already-claimed envelope is a signal something is wrong.</w:t>
      </w:r>
    </w:p>
    <w:p>
      <w:pPr>
        <w:numPr>
          <w:ilvl w:val="0"/>
          <w:numId w:val="1011"/>
        </w:numPr>
      </w:pPr>
      <w:r>
        <w:t xml:space="preserve">Recover. Unaffected. §2.2’s walkthrough describes the same underlying act either way.</w:t>
      </w:r>
    </w:p>
    <w:p>
      <w:pPr>
        <w:pStyle w:val="Normal"/>
      </w:pPr>
      <w:r>
        <w:drawing>
          <wp:inline>
            <wp:extent cx="4754880" cy="4133087"/>
            <wp:effectExtent b="0" l="0" r="0" t="0"/>
            <wp:docPr descr="" title="" id="66" name="Picture"/>
            <a:graphic>
              <a:graphicData uri="http://schemas.openxmlformats.org/drawingml/2006/picture">
                <pic:pic>
                  <pic:nvPicPr>
                    <pic:cNvPr descr="./media/ceremony-envelope-flow.png" id="67" name="Picture"/>
                    <pic:cNvPicPr>
                      <a:picLocks noChangeArrowheads="1" noChangeAspect="1"/>
                    </pic:cNvPicPr>
                  </pic:nvPicPr>
                  <pic:blipFill>
                    <a:blip r:embed="rId65"/>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bookmarkEnd w:id="68"/>
    <w:bookmarkEnd w:id="69"/>
    <w:bookmarkStart w:id="82" w:name="Xc8661ea317b8b7c7ed19a880488399d4866417d"/>
    <w:p>
      <w:pPr>
        <w:pStyle w:val="Heading1"/>
      </w:pPr>
      <w:r>
        <w:t xml:space="preserve">4. The SPAC Ecosystem: Extending shardic Beyond File Decryption</w:t>
      </w:r>
    </w:p>
    <w:p>
      <w:pPr>
        <w:pStyle w:val="Normal"/>
      </w:pPr>
      <w:r>
        <w:t xml:space="preserve">Status: design proposal.</w:t>
      </w:r>
    </w:p>
    <w:p>
      <w:pPr>
        <w:pStyle w:val="BodyText"/>
      </w:pPr>
      <w:r>
        <w:t xml:space="preserve">We’ve established a functional baseline for multi-entity enforced access. What follows is a technologically sound manifestation of that capability into a practical working system. Though not yet fielded, there are no practical barriers to its implementation.</w:t>
      </w:r>
    </w:p>
    <w:bookmarkStart w:id="70" w:name="Xb3ee4f9b564423cf6bfa80919f27c1fe299eb18"/>
    <w:p>
      <w:pPr>
        <w:pStyle w:val="Heading2"/>
      </w:pPr>
      <w:r>
        <w:t xml:space="preserve">4.1 From Data to Capability: PT SPAC and CT SPAC</w:t>
      </w:r>
    </w:p>
    <w:p>
      <w:pPr>
        <w:pStyle w:val="Normal"/>
      </w:pPr>
      <w:r>
        <w:t xml:space="preserve">§1.5 previewed the reframe; here is the full statement of it. The plaintext shardic protects has never had to be a file — it is, more generally, the enabling value for some protected action: gaining financial access, arming a safety-critical system, unlocking a sensitive document, or granting account access, wherever</w:t>
      </w:r>
      <w:r>
        <w:t xml:space="preserve"> </w:t>
      </w:r>
      <w:r>
        <w:t xml:space="preserve">“</w:t>
      </w:r>
      <w:r>
        <w:t xml:space="preserve">the right D-of-T parties agreed</w:t>
      </w:r>
      <w:r>
        <w:t xml:space="preserve">”</w:t>
      </w:r>
      <w:r>
        <w:t xml:space="preserve"> </w:t>
      </w:r>
      <w:r>
        <w:t xml:space="preserve">should be the actual gate on the action, not merely a procedural approval layered on top of it. A shardic protected action code (SPAC) names that enabling value; PT SPAC and CT SPAC name its plaintext and ciphertext forms, in exactly the same relationship as any other plaintext/ciphertext pair in this project.</w:t>
      </w:r>
      <w:r>
        <w:t xml:space="preserve"> </w:t>
      </w:r>
      <w:r>
        <w:t xml:space="preserve">“</w:t>
      </w:r>
      <w:r>
        <w:t xml:space="preserve">Decrypt this file</w:t>
      </w:r>
      <w:r>
        <w:t xml:space="preserve">”</w:t>
      </w:r>
      <w:r>
        <w:t xml:space="preserve"> </w:t>
      </w:r>
      <w:r>
        <w:t xml:space="preserve">is simply the special case where the protected action is</w:t>
      </w:r>
      <w:r>
        <w:t xml:space="preserve"> </w:t>
      </w:r>
      <w:r>
        <w:t xml:space="preserve">“</w:t>
      </w:r>
      <w:r>
        <w:t xml:space="preserve">the codeword holder gets to read the plaintext</w:t>
      </w:r>
      <w:r>
        <w:t xml:space="preserve">”</w:t>
      </w:r>
      <w:r>
        <w:t xml:space="preserve"> </w:t>
      </w:r>
      <w:r>
        <w:t xml:space="preserve">— the same mechanism, applied to the narrowest possible action.</w:t>
      </w:r>
    </w:p>
    <w:p>
      <w:pPr>
        <w:pStyle w:val="BodyText"/>
      </w:pPr>
      <w:r>
        <w:t xml:space="preserve">This reframe has real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bookmarkEnd w:id="70"/>
    <w:bookmarkStart w:id="71" w:name="Xa0de5f5ee8df5518f03d2690e2650fa149df6bd"/>
    <w:p>
      <w:pPr>
        <w:pStyle w:val="Heading2"/>
      </w:pPr>
      <w:r>
        <w:t xml:space="preserve">4.2 The Shardic Client Module and the Fielded Prime Element</w:t>
      </w:r>
    </w:p>
    <w:p>
      <w:pPr>
        <w:pStyle w:val="Normal"/>
      </w:pPr>
      <w:r>
        <w:t xml:space="preserve">A consuming system — the thing that actually executes the protected action — is built with a</w:t>
      </w:r>
      <w:r>
        <w:t xml:space="preserve"> </w:t>
      </w:r>
      <w:r>
        <w:t xml:space="preserve">“</w:t>
      </w:r>
      <w:r>
        <w:t xml:space="preserve">plugin</w:t>
      </w:r>
      <w:r>
        <w:t xml:space="preserve">”</w:t>
      </w:r>
      <w:r>
        <w:t xml:space="preserve"> </w:t>
      </w:r>
      <w:r>
        <w:t xml:space="preserve">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pPr>
      <w:r>
        <w:t xml:space="preserve">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pPr>
        <w:pStyle w:val="SourceCode"/>
      </w:pPr>
      <w:r>
        <w:rPr>
          <w:rStyle w:val="DefaultParagraphFont"/>
        </w:rPr>
        <w:t xml:space="preserve">mask        = the fielded system's own hardware-sealed secret</w:t>
      </w:r>
      <w:r>
        <w:br/>
      </w:r>
      <w:r>
        <w:rPr>
          <w:rStyle w:val="DefaultParagraphFont"/>
        </w:rPr>
        <w:t xml:space="preserve">              (PUF/secure-element, non-extractable, generated once at</w:t>
      </w:r>
      <w:r>
        <w:br/>
      </w:r>
      <w:r>
        <w:rPr>
          <w:rStyle w:val="DefaultParagraphFont"/>
        </w:rPr>
        <w:t xml:space="preserve">              emplacement, never leaves this hardware, never typed by</w:t>
      </w:r>
      <w:r>
        <w:br/>
      </w:r>
      <w:r>
        <w:rPr>
          <w:rStyle w:val="DefaultParagraphFont"/>
        </w:rPr>
        <w:t xml:space="preserve">              a human, never a codeword)</w:t>
      </w:r>
      <w:r>
        <w:br/>
      </w:r>
      <w:r>
        <w:rPr>
          <w:rStyle w:val="DefaultParagraphFont"/>
        </w:rPr>
        <w:t xml:space="preserve">pool_shares = ordinary trustee shares, delivered by shardware-token or</w:t>
      </w:r>
      <w:r>
        <w:br/>
      </w:r>
      <w:r>
        <w:rPr>
          <w:rStyle w:val="DefaultParagraphFont"/>
        </w:rPr>
        <w:t xml:space="preserve">              network exactly as in §3.6-3.7</w:t>
      </w:r>
      <w:r>
        <w:br/>
      </w:r>
      <w:r>
        <w:rPr>
          <w:rStyle w:val="DefaultParagraphFont"/>
        </w:rPr>
        <w:t xml:space="preserve">DEK         = reconstruct_secret_with_prime(mask, pool_shares)  -- unmodified</w:t>
      </w:r>
      <w:r>
        <w:br/>
      </w:r>
      <w:r>
        <w:rPr>
          <w:rStyle w:val="DefaultParagraphFont"/>
        </w:rPr>
        <w:t xml:space="preserve">CT_SPAC     = AES-256-GCM(PT_SPAC, DEK)                         -- unmodified</w:t>
      </w:r>
    </w:p>
    <w:p>
      <w:pPr>
        <w:pStyle w:val="Normal"/>
      </w:pPr>
      <w:r>
        <w:t xml:space="preserve">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w:t>
      </w:r>
    </w:p>
    <w:bookmarkEnd w:id="71"/>
    <w:bookmarkStart w:id="74" w:name="X0cd6a9f150336ac287e1c36e043a83a8bc63244"/>
    <w:p>
      <w:pPr>
        <w:pStyle w:val="Heading2"/>
      </w:pPr>
      <w:r>
        <w:t xml:space="preserve">4.3 shardware-token: Hardware-Based Ceremony Variants</w:t>
      </w:r>
    </w:p>
    <w:p>
      <w:pPr>
        <w:pStyle w:val="Normal"/>
      </w:pPr>
      <w:r>
        <w:t xml:space="preserve">Two variants exist for how a physical hardware token participates in a ceremony, differing in how much trust the token itself has to carry:</w:t>
      </w:r>
    </w:p>
    <w:bookmarkStart w:id="72" w:name="physical-carriage"/>
    <w:p>
      <w:pPr>
        <w:pStyle w:val="Heading3"/>
      </w:pPr>
      <w:r>
        <w:t xml:space="preserve">Physical carriage</w:t>
      </w:r>
    </w:p>
    <w:p>
      <w:pPr>
        <w:pStyle w:val="Normal"/>
      </w:pPr>
      <w:r>
        <w:t xml:space="preserve">A hardware token can simply be the transport for an already-wrapped shard, replacing a network hop with a courier, hand-off, or safe-deposit retrieval — useful for a ceremony that wants to run entirely air-gapped past registration. The token itself can be genuinely dumb storage: since the shard is already public-key-wrapped before it ever reaches the token, there is nothing unencrypted on it to protect.</w:t>
      </w:r>
    </w:p>
    <w:bookmarkEnd w:id="72"/>
    <w:bookmarkStart w:id="73" w:name="puf-sealed-embedextract"/>
    <w:p>
      <w:pPr>
        <w:pStyle w:val="Heading3"/>
      </w:pPr>
      <w:r>
        <w:t xml:space="preserve">PUF-sealed embed/extract</w:t>
      </w:r>
    </w:p>
    <w:p>
      <w:pPr>
        <w:pStyle w:val="Normal"/>
      </w:pPr>
      <w:r>
        <w:t xml:space="preserve">A hardened variant answers the identity question cryptographically instead. The token generates its own keypair locally at</w:t>
      </w:r>
      <w:r>
        <w:t xml:space="preserve"> </w:t>
      </w:r>
      <w:r>
        <w:t xml:space="preserve">“</w:t>
      </w:r>
      <w:r>
        <w:t xml:space="preserve">embed</w:t>
      </w:r>
      <w:r>
        <w:t xml:space="preserve">”</w:t>
      </w:r>
      <w:r>
        <w:t xml:space="preserve"> </w:t>
      </w:r>
      <w:r>
        <w:t xml:space="preserve">time (vault creation), receives a shard wrapped to that keypair, and seals it into PUF/secure-element-backed storage that requires a matching physical measurement of the chip itself to ever reproduce the storage key. At</w:t>
      </w:r>
      <w:r>
        <w:t xml:space="preserve"> </w:t>
      </w:r>
      <w:r>
        <w:t xml:space="preserve">“</w:t>
      </w:r>
      <w:r>
        <w:t xml:space="preserve">extract</w:t>
      </w:r>
      <w:r>
        <w:t xml:space="preserve">”</w:t>
      </w:r>
      <w:r>
        <w:t xml:space="preserve"> </w:t>
      </w:r>
      <w:r>
        <w:t xml:space="preserve">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bookmarkEnd w:id="73"/>
    <w:bookmarkEnd w:id="74"/>
    <w:bookmarkStart w:id="75" w:name="roles-and-governance"/>
    <w:p>
      <w:pPr>
        <w:pStyle w:val="Heading2"/>
      </w:pPr>
      <w:r>
        <w:t xml:space="preserve">4.4 Roles and Governance</w:t>
      </w:r>
    </w:p>
    <w:p>
      <w:pPr>
        <w:pStyle w:val="Normal"/>
      </w:pPr>
      <w:r>
        <w:t xml:space="preserve">A SPAC ceremony introduces roles beyond the trustee/operator pair already established in §3.7, each answering a distinct question and each deliberately kept separate from the others so that no single compromised role can undermine the whole ceremony:</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Role</w:t>
            </w:r>
          </w:p>
        </w:tc>
        <w:tc>
          <w:tcPr/>
          <w:p>
            <w:pPr>
              <w:pStyle w:val="Normal"/>
              <w:jc w:val="left"/>
            </w:pPr>
            <w:r>
              <w:t xml:space="preserve">Answers</w:t>
            </w:r>
          </w:p>
        </w:tc>
        <w:tc>
          <w:tcPr/>
          <w:p>
            <w:pPr>
              <w:pStyle w:val="Normal"/>
              <w:jc w:val="left"/>
            </w:pPr>
            <w:r>
              <w:t xml:space="preserve">Held by</w:t>
            </w:r>
          </w:p>
        </w:tc>
      </w:tr>
      <w:tr>
        <w:tc>
          <w:tcPr/>
          <w:p>
            <w:pPr>
              <w:pStyle w:val="Normal"/>
              <w:jc w:val="left"/>
            </w:pPr>
            <w:r>
              <w:t xml:space="preserve">Trustee (pool)</w:t>
            </w:r>
          </w:p>
        </w:tc>
        <w:tc>
          <w:tcPr/>
          <w:p>
            <w:pPr>
              <w:pStyle w:val="Normal"/>
              <w:jc w:val="left"/>
            </w:pPr>
            <w:r>
              <w:t xml:space="preserve">Who must jointly agree to recover?</w:t>
            </w:r>
          </w:p>
        </w:tc>
        <w:tc>
          <w:tcPr/>
          <w:p>
            <w:pPr>
              <w:pStyle w:val="Normal"/>
              <w:jc w:val="left"/>
            </w:pPr>
            <w:r>
              <w:t xml:space="preserve">Ordinary shardic-envelope trustees, unchanged from §3.6–3.7</w:t>
            </w:r>
          </w:p>
        </w:tc>
      </w:tr>
      <w:tr>
        <w:tc>
          <w:tcPr/>
          <w:p>
            <w:pPr>
              <w:pStyle w:val="Normal"/>
              <w:jc w:val="left"/>
            </w:pPr>
            <w:r>
              <w:t xml:space="preserve">Fielded Prime Element</w:t>
            </w:r>
          </w:p>
        </w:tc>
        <w:tc>
          <w:tcPr/>
          <w:p>
            <w:pPr>
              <w:pStyle w:val="Normal"/>
              <w:jc w:val="left"/>
            </w:pPr>
            <w:r>
              <w:t xml:space="preserve">What binds recovery to one specific piece of fielded hardware?</w:t>
            </w:r>
          </w:p>
        </w:tc>
        <w:tc>
          <w:tcPr/>
          <w:p>
            <w:pPr>
              <w:pStyle w:val="Normal"/>
              <w:jc w:val="left"/>
            </w:pPr>
            <w:r>
              <w:t xml:space="preserve">The fielded system’s own sealed secret — never a party at all</w:t>
            </w:r>
          </w:p>
        </w:tc>
      </w:tr>
      <w:tr>
        <w:tc>
          <w:tcPr/>
          <w:p>
            <w:pPr>
              <w:pStyle w:val="Normal"/>
              <w:jc w:val="left"/>
            </w:pPr>
            <w:r>
              <w:t xml:space="preserve">Local custodian</w:t>
            </w:r>
          </w:p>
        </w:tc>
        <w:tc>
          <w:tcPr/>
          <w:p>
            <w:pPr>
              <w:pStyle w:val="Normal"/>
              <w:jc w:val="left"/>
            </w:pPr>
            <w:r>
              <w:t xml:space="preserve">Who is physically present to authorize the fielded hardware’s own local unseal?</w:t>
            </w:r>
          </w:p>
        </w:tc>
        <w:tc>
          <w:tcPr/>
          <w:p>
            <w:pPr>
              <w:pStyle w:val="Normal"/>
              <w:jc w:val="left"/>
            </w:pPr>
            <w:r>
              <w:t xml:space="preserve">Whoever holds the deployment’s chosen possessed (key/token) or known (PIN/passphrase) factor — a role, not an identity</w:t>
            </w:r>
          </w:p>
        </w:tc>
      </w:tr>
      <w:tr>
        <w:tc>
          <w:tcPr/>
          <w:p>
            <w:pPr>
              <w:pStyle w:val="Normal"/>
              <w:jc w:val="left"/>
            </w:pPr>
            <w:r>
              <w:t xml:space="preserve">Operator</w:t>
            </w:r>
          </w:p>
        </w:tc>
        <w:tc>
          <w:tcPr/>
          <w:p>
            <w:pPr>
              <w:pStyle w:val="Normal"/>
              <w:jc w:val="left"/>
            </w:pPr>
            <w:r>
              <w:t xml:space="preserve">Who authorizes a given extraction request?</w:t>
            </w:r>
          </w:p>
        </w:tc>
        <w:tc>
          <w:tcPr/>
          <w:p>
            <w:pPr>
              <w:pStyle w:val="Normal"/>
              <w:jc w:val="left"/>
            </w:pPr>
            <w:r>
              <w:t xml:space="preserve">A single, on-call shardic-operator-equivalent role, barred from authorizing a grant naming their own token</w:t>
            </w:r>
          </w:p>
        </w:tc>
      </w:tr>
      <w:tr>
        <w:tc>
          <w:tcPr/>
          <w:p>
            <w:pPr>
              <w:pStyle w:val="Normal"/>
              <w:jc w:val="left"/>
            </w:pPr>
            <w:r>
              <w:t xml:space="preserve">Approver</w:t>
            </w:r>
          </w:p>
        </w:tc>
        <w:tc>
          <w:tcPr/>
          <w:p>
            <w:pPr>
              <w:pStyle w:val="Normal"/>
              <w:jc w:val="left"/>
            </w:pPr>
            <w:r>
              <w:t xml:space="preserve">Who attests that the value being protected is the correct, tested one?</w:t>
            </w:r>
          </w:p>
        </w:tc>
        <w:tc>
          <w:tcPr/>
          <w:p>
            <w:pPr>
              <w:pStyle w:val="Normal"/>
              <w:jc w:val="left"/>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independent of the wrap operator; that commitment is checked once, slowly and thoroughly, at emplacement, and again, cheaply and quickly, at every arming event via a fast wrapped-MAC derived from the same approval.</w:t>
      </w:r>
    </w:p>
    <w:bookmarkEnd w:id="75"/>
    <w:bookmarkStart w:id="76" w:name="Xfc031a8b6620e616714922ca8991b8c7c6702e6"/>
    <w:p>
      <w:pPr>
        <w:pStyle w:val="Heading2"/>
      </w:pPr>
      <w:r>
        <w:t xml:space="preserve">4.5 Availability, Latency, and CONOPS Trade-offs</w:t>
      </w:r>
    </w:p>
    <w:p>
      <w:pPr>
        <w:pStyle w:val="Normal"/>
      </w:pPr>
      <w:r>
        <w:t xml:space="preserve">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pPr>
      <w:r>
        <w:t xml:space="preserve">Three points in a ceremony drive nearly all of the achievable latency:</w:t>
      </w:r>
    </w:p>
    <w:p>
      <w:pPr>
        <w:numPr>
          <w:ilvl w:val="0"/>
          <w:numId w:val="1012"/>
        </w:numPr>
      </w:pPr>
      <w:r>
        <w:t xml:space="preserve">Convening the quorum. Pre-forming a ceremony ahead of the moment of need converts</w:t>
      </w:r>
      <w:r>
        <w:t xml:space="preserve"> </w:t>
      </w:r>
      <w:r>
        <w:t xml:space="preserve">“</w:t>
      </w:r>
      <w:r>
        <w:t xml:space="preserve">select, invite, wait for acceptance</w:t>
      </w:r>
      <w:r>
        <w:t xml:space="preserve">”</w:t>
      </w:r>
      <w:r>
        <w:t xml:space="preserve"> </w:t>
      </w:r>
      <w:r>
        <w:t xml:space="preserve">into a one-time setup cost paid before the RTO clock starts — the single largest lever available. An ad hoc, cold-start convening can take hours; a pre-formed, on-call quorum can respond in seconds to minutes.</w:t>
      </w:r>
    </w:p>
    <w:p>
      <w:pPr>
        <w:numPr>
          <w:ilvl w:val="0"/>
          <w:numId w:val="1012"/>
        </w:numPr>
      </w:pPr>
      <w:r>
        <w:t xml:space="preserve">Share delivery. A network path is near-instant; physical carriage (§4.3) is inherently minutes to days, depending on distance and custody logistics. Air-gap independence and a tight RTO are largely mutually exclusive properties — a deployment chooses the one it actually needs.</w:t>
      </w:r>
    </w:p>
    <w:p>
      <w:pPr>
        <w:numPr>
          <w:ilvl w:val="0"/>
          <w:numId w:val="1012"/>
        </w:numPr>
      </w:pPr>
      <w:r>
        <w:t xml:space="preserve">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pPr>
      <w:r>
        <w:t xml:space="preserve">None of these levers ever reduce how many independent parties are cryptographically required — every latency improvement here comes from pre-positioning and parallelizing already-required inputs, never from requiring fewer of them. Stating a target RTO is therefore also, implicitly, stating how much friction a given mission is willing to trade away — a decision the CONOPS has to make on purpose, not something this design should default on its behalf.</w:t>
      </w:r>
    </w:p>
    <w:bookmarkEnd w:id="76"/>
    <w:bookmarkStart w:id="77" w:name="X53b796f321b42c9aef9053db6076b4d40d4dde4"/>
    <w:p>
      <w:pPr>
        <w:pStyle w:val="Heading2"/>
      </w:pPr>
      <w:r>
        <w:t xml:space="preserve">4.6 Non-Bypassable Invocation: Ensuring the Ceremony Cannot Be Skipped</w:t>
      </w:r>
    </w:p>
    <w:p>
      <w:pPr>
        <w:pStyle w:val="Normal"/>
      </w:pPr>
      <w:r>
        <w:t xml:space="preserve">Status: design proposal.</w:t>
      </w:r>
    </w:p>
    <w:p>
      <w:pPr>
        <w:pStyle w:val="BodyText"/>
      </w:pPr>
      <w:r>
        <w:t xml:space="preserve">§3.1–§3.5 and §7.2 establish that below-threshold reconstruction is enforced by mathematics, not administrator trust — a claim about one specific bypass surface. A second, distinct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about a Shamir split, however unbreakable below threshold, prevents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§3–§4’s cryptographic guarantees.</w:t>
      </w:r>
    </w:p>
    <w:p>
      <w:pPr>
        <w:pStyle w:val="BodyText"/>
      </w:pPr>
      <w:r>
        <w:t xml:space="preserve">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Pattern</w:t>
            </w:r>
          </w:p>
        </w:tc>
        <w:tc>
          <w:tcPr/>
          <w:p>
            <w:pPr>
              <w:pStyle w:val="Normal"/>
              <w:jc w:val="left"/>
            </w:pPr>
            <w:r>
              <w:t xml:space="preserve">Mechanism</w:t>
            </w:r>
          </w:p>
        </w:tc>
        <w:tc>
          <w:tcPr/>
          <w:p>
            <w:pPr>
              <w:pStyle w:val="Normal"/>
              <w:jc w:val="left"/>
            </w:pPr>
            <w:r>
              <w:t xml:space="preserve">Bypass Resistance</w:t>
            </w:r>
          </w:p>
        </w:tc>
      </w:tr>
      <w:tr>
        <w:tc>
          <w:tcPr/>
          <w:p>
            <w:pPr>
              <w:pStyle w:val="Normal"/>
              <w:jc w:val="left"/>
            </w:pPr>
            <w:r>
              <w:t xml:space="preserve">Capability binding</w:t>
            </w:r>
          </w:p>
        </w:tc>
        <w:tc>
          <w:tcPr/>
          <w:p>
            <w:pPr>
              <w:pStyle w:val="Normal"/>
              <w:jc w:val="left"/>
            </w:pPr>
            <w:r>
              <w:t xml:space="preserve">The ceremony’s protected value is (or unlocks) a value the end state structurally requires as an input — a signing key, a decryption key for the end state’s own payload — rather than a boolean checked before proceeding</w:t>
            </w:r>
          </w:p>
        </w:tc>
        <w:tc>
          <w:tcPr/>
          <w:p>
            <w:pPr>
              <w:pStyle w:val="Normal"/>
              <w:jc w:val="left"/>
            </w:pPr>
            <w:r>
              <w:t xml:space="preserve">Medium: no path to the end state without the value itself, but only as strong as where that value is generated and held</w:t>
            </w:r>
          </w:p>
        </w:tc>
      </w:tr>
      <w:tr>
        <w:tc>
          <w:tcPr/>
          <w:p>
            <w:pPr>
              <w:pStyle w:val="Normal"/>
              <w:jc w:val="left"/>
            </w:pPr>
            <w:r>
              <w:t xml:space="preserve">Constrained state machine</w:t>
            </w:r>
          </w:p>
        </w:tc>
        <w:tc>
          <w:tcPr/>
          <w:p>
            <w:pPr>
              <w:pStyle w:val="Normal"/>
              <w:jc w:val="left"/>
            </w:pPr>
            <w:r>
              <w:t xml:space="preserve">The full operating sequence is modeled as an explicit graph with no edge that reaches the end state without passing through the ceremony, enforced by the same trust boundary that holds the ceremony’s ciphertext</w:t>
            </w:r>
          </w:p>
        </w:tc>
        <w:tc>
          <w:tcPr/>
          <w:p>
            <w:pPr>
              <w:pStyle w:val="Normal"/>
              <w:jc w:val="left"/>
            </w:pPr>
            <w:r>
              <w:t xml:space="preserve">Medium: still an enforced check; tampering with the graph means tampering with the boundary that also protects the cryptographic material</w:t>
            </w:r>
          </w:p>
        </w:tc>
      </w:tr>
      <w:tr>
        <w:tc>
          <w:tcPr/>
          <w:p>
            <w:pPr>
              <w:pStyle w:val="Normal"/>
              <w:jc w:val="left"/>
            </w:pPr>
            <w:r>
              <w:t xml:space="preserve">Secure-element-internal sequencing</w:t>
            </w:r>
          </w:p>
        </w:tc>
        <w:tc>
          <w:tcPr/>
          <w:p>
            <w:pPr>
              <w:pStyle w:val="Normal"/>
              <w:jc w:val="left"/>
            </w:pPr>
            <w:r>
              <w:t xml:space="preserve">The Fielded Prime Element (§4.2) performs the end-state operation internally as a side effect of completing the ceremony; the outer system receives only the completed result, never the protected value or a pass/fail decision to act on</w:t>
            </w:r>
          </w:p>
        </w:tc>
        <w:tc>
          <w:tcPr/>
          <w:p>
            <w:pPr>
              <w:pStyle w:val="Normal"/>
              <w:jc w:val="left"/>
            </w:pPr>
            <w:r>
              <w:t xml:space="preserve">High: collapses the topological and cryptographic bypass surfaces into the same tamper-resistant boundary</w:t>
            </w:r>
          </w:p>
        </w:tc>
      </w:tr>
      <w:tr>
        <w:tc>
          <w:tcPr/>
          <w:p>
            <w:pPr>
              <w:pStyle w:val="Normal"/>
              <w:jc w:val="left"/>
            </w:pPr>
            <w:r>
              <w:t xml:space="preserve">Physical interlock</w:t>
            </w:r>
          </w:p>
        </w:tc>
        <w:tc>
          <w:tcPr/>
          <w:p>
            <w:pPr>
              <w:pStyle w:val="Normal"/>
              <w:jc w:val="left"/>
            </w:pPr>
            <w:r>
              <w:t xml:space="preserve">The end state’s actuation circuit is physically incomplete until the ceremony asserts an unlock signal — a relay, key-switch, or discrete circuit closure</w:t>
            </w:r>
          </w:p>
        </w:tc>
        <w:tc>
          <w:tcPr/>
          <w:p>
            <w:pPr>
              <w:pStyle w:val="Normal"/>
              <w:jc w:val="left"/>
            </w:pPr>
            <w:r>
              <w:t xml:space="preserve">Highest: bypass requires physical intervention on the interlock itself, not software compromise</w:t>
            </w:r>
          </w:p>
        </w:tc>
      </w:tr>
    </w:tbl>
    <w:p>
      <w:pPr>
        <w:pStyle w:val="BodyText"/>
      </w:pPr>
      <w:r>
        <w:t xml:space="preserve">The two hardware-anchored patterns are smaller extensions of designs already on the page than they might first appear. Vignette A’s HSM-backed appliance (§5.1) and Vignette B’s dual-key-switch secure element (§5.2)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pPr>
        <w:pStyle w:val="BodyText"/>
      </w:pPr>
      <w:r>
        <w:t xml:space="preserve">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§6.6 states precisely which guarantee each tier actually delivers.</w:t>
      </w:r>
    </w:p>
    <w:bookmarkEnd w:id="77"/>
    <w:bookmarkStart w:id="78" w:name="Xdc415cf401724ff7c8a82a08ed2e367bebc0a95"/>
    <w:p>
      <w:pPr>
        <w:pStyle w:val="Heading2"/>
      </w:pPr>
      <w:r>
        <w:t xml:space="preserve">4.7 Codeword vs. shardic-envelope for SPAC Trustee Shares: Default, Opt-Out, and a Field Case</w:t>
      </w:r>
    </w:p>
    <w:p>
      <w:pPr>
        <w:pStyle w:val="Normal"/>
      </w:pPr>
      <w:r>
        <w:t xml:space="preserve">Status: design proposal.</w:t>
      </w:r>
    </w:p>
    <w:p>
      <w:pPr>
        <w:pStyle w:val="BodyText"/>
      </w:pPr>
      <w:r>
        <w:t xml:space="preserve">§3.6 established shardic-envelope as the mechanism that removes the memorability ceiling on an individual codeword; a SPAC ceremony is where that choice actually matters. Because a SPAC’s protected action can be materially more consequential than</w:t>
      </w:r>
      <w:r>
        <w:t xml:space="preserve"> </w:t>
      </w:r>
      <w:r>
        <w:t xml:space="preserve">“</w:t>
      </w:r>
      <w:r>
        <w:t xml:space="preserve">a codeword holder gets to read a file</w:t>
      </w:r>
      <w:r>
        <w:t xml:space="preserve">”</w:t>
      </w:r>
      <w:r>
        <w:t xml:space="preserve"> </w:t>
      </w:r>
      <w:r>
        <w:t xml:space="preserve">— arming a safety-critical system, releasing funds, granting account access — a SPAC ceremony’s construction defaults to shardic-envelope rather than to a memorized codeword, for the same reason stated in the abstract: it gives shard cryptovariables parity with the 256-bit DEK they protect, rather than leaving the ceremony’s weakest gate roughly 150 bits below every other layer in the same construction. Pure-memory codewords remain available — named explicitly, not silently deprecated — as a</w:t>
      </w:r>
      <w:r>
        <w:t xml:space="preserve"> </w:t>
      </w:r>
      <w:r>
        <w:rPr>
          <w:bCs/>
          <w:b/>
        </w:rPr>
        <w:t xml:space="preserve">lower-assurance opt-out</w:t>
      </w:r>
      <w:r>
        <w:t xml:space="preserve"> </w:t>
      </w:r>
      <w:r>
        <w:t xml:space="preserve">for deployments where the trade below is the correct one to make for that CONOPS.</w:t>
      </w:r>
    </w:p>
    <w:p>
      <w:pPr>
        <w:pStyle w:val="BodyText"/>
      </w:pPr>
      <w:r>
        <w:t xml:space="preserve">That trade is defensible, not merely tolerated, because the DEK/AES-256-GCM layer and the codeword layer are not defending against the same adversary:</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Layer</w:t>
            </w:r>
          </w:p>
        </w:tc>
        <w:tc>
          <w:tcPr/>
          <w:p>
            <w:pPr>
              <w:pStyle w:val="Normal"/>
              <w:jc w:val="left"/>
            </w:pPr>
            <w:r>
              <w:t xml:space="preserve">Adversary</w:t>
            </w:r>
          </w:p>
        </w:tc>
        <w:tc>
          <w:tcPr/>
          <w:p>
            <w:pPr>
              <w:pStyle w:val="Normal"/>
              <w:jc w:val="left"/>
            </w:pPr>
            <w:r>
              <w:t xml:space="preserve">Search space</w:t>
            </w:r>
          </w:p>
        </w:tc>
        <w:tc>
          <w:tcPr/>
          <w:p>
            <w:pPr>
              <w:pStyle w:val="Normal"/>
              <w:jc w:val="left"/>
            </w:pPr>
            <w:r>
              <w:t xml:space="preserve">Why the required strength differs</w:t>
            </w:r>
          </w:p>
        </w:tc>
      </w:tr>
      <w:tr>
        <w:tc>
          <w:tcPr/>
          <w:p>
            <w:pPr>
              <w:pStyle w:val="Normal"/>
              <w:jc w:val="left"/>
            </w:pPr>
            <w:r>
              <w:t xml:space="preserve">DEK / AES-256-GCM</w:t>
            </w:r>
          </w:p>
        </w:tc>
        <w:tc>
          <w:tcPr/>
          <w:p>
            <w:pPr>
              <w:pStyle w:val="Normal"/>
              <w:jc w:val="left"/>
            </w:pPr>
            <w:r>
              <w:t xml:space="preserve">Holds only CT SPAC, no other angle of attack</w:t>
            </w:r>
          </w:p>
        </w:tc>
        <w:tc>
          <w:tcPr/>
          <w:p>
            <w:pPr>
              <w:pStyle w:val="Normal"/>
              <w:jc w:val="left"/>
            </w:pPr>
            <w:r>
              <w:t xml:space="preserve">Full, unstructured 256-bit keyspace</w:t>
            </w:r>
          </w:p>
        </w:tc>
        <w:tc>
          <w:tcPr/>
          <w:p>
            <w:pPr>
              <w:pStyle w:val="Normal"/>
              <w:jc w:val="left"/>
            </w:pPr>
            <w:r>
              <w:t xml:space="preserve">Nothing else stands between this attacker and the plaintext — the only layer that must resist a global keyspace search</w:t>
            </w:r>
          </w:p>
        </w:tc>
      </w:tr>
      <w:tr>
        <w:tc>
          <w:tcPr/>
          <w:p>
            <w:pPr>
              <w:pStyle w:val="Normal"/>
              <w:jc w:val="left"/>
            </w:pPr>
            <w:r>
              <w:t xml:space="preserve">Codeword / share record</w:t>
            </w:r>
          </w:p>
        </w:tc>
        <w:tc>
          <w:tcPr/>
          <w:p>
            <w:pPr>
              <w:pStyle w:val="Normal"/>
              <w:jc w:val="left"/>
            </w:pPr>
            <w:r>
              <w:t xml:space="preserve">Holds one stolen or leaked share record</w:t>
            </w:r>
          </w:p>
        </w:tc>
        <w:tc>
          <w:tcPr/>
          <w:p>
            <w:pPr>
              <w:pStyle w:val="Normal"/>
              <w:jc w:val="left"/>
            </w:pPr>
            <w:r>
              <w:t xml:space="preserve">Bounded, structured — a wordlist and word count, Argon2id-stretched per guess</w:t>
            </w:r>
          </w:p>
        </w:tc>
        <w:tc>
          <w:tcPr/>
          <w:p>
            <w:pPr>
              <w:pStyle w:val="Normal"/>
              <w:jc w:val="left"/>
            </w:pPr>
            <w:r>
              <w:t xml:space="preserve">Success yields one D-of-T point, worthless below threshold (§6.1); the search is real but bounded and cost-amplified, not global</w:t>
            </w:r>
          </w:p>
        </w:tc>
      </w:tr>
    </w:tbl>
    <w:p>
      <w:pPr>
        <w:pStyle w:val="BodyText"/>
      </w:pPr>
      <w:r>
        <w:t xml:space="preserve">Measuring one layer’s required strength against the other’s bit count is the wrong comparison — it treats two different problems as one. §6.1 already establishes that raising T or D does not let any individual codeword be weaker, because each share is attacked independently; the argument here is narrower and different: a codeword’s own floor should be set against what actually threatens it — a targeted, Argon2id-stretched guessing attack against a bounded space — not against the DEK’s global-search floor. On that basis,</w:t>
      </w:r>
      <w:r>
        <w:t xml:space="preserve"> </w:t>
      </w:r>
      <w:r>
        <w:rPr>
          <w:rStyle w:val="DefaultParagraphFont"/>
        </w:rPr>
        <w:t xml:space="preserve">--memorable</w:t>
      </w:r>
      <w:r>
        <w:t xml:space="preserve"> </w:t>
      </w:r>
      <w:r>
        <w:t xml:space="preserve">mode’s existing ~103-bit default, combined with Argon2id’s memory-hardness, is a defensible floor for the opt-out case — not because it equals 256 bits, but because 2^100 memory-hard guesses already exceeds any realistic attacker’s reach against that specific, narrower threat.</w:t>
      </w:r>
    </w:p>
    <w:p>
      <w:pPr>
        <w:pStyle w:val="BodyText"/>
      </w:pPr>
      <w:r>
        <w:t xml:space="preserve">A concrete case where the opt-out is the</w:t>
      </w:r>
      <w:r>
        <w:t xml:space="preserve"> </w:t>
      </w:r>
      <w:r>
        <w:rPr>
          <w:iCs/>
          <w:i/>
        </w:rPr>
        <w:t xml:space="preserve">better</w:t>
      </w:r>
      <w:r>
        <w:t xml:space="preserve"> </w:t>
      </w:r>
      <w:r>
        <w:t xml:space="preserve">choice, not merely an acceptable one: a SPAC ceremony’s pool trustee operating in a communications-denied or device-hostile field environment — the operational context §4.1’s Permissive Action Link precedent originates from. A device holding a shardic-envelope-wrapped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§4.5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shardic-envelope’s default.</w:t>
      </w:r>
    </w:p>
    <w:bookmarkEnd w:id="78"/>
    <w:bookmarkStart w:id="81" w:name="Xa303de2ab0c4bdb3eb15380f5d4fffda13dd190"/>
    <w:p>
      <w:pPr>
        <w:pStyle w:val="Heading2"/>
      </w:pPr>
      <w:r>
        <w:t xml:space="preserve">4.8 SPAC Share Protection: High-Entropy Key Generation as the Standard</w:t>
      </w:r>
    </w:p>
    <w:p>
      <w:pPr>
        <w:pStyle w:val="Normal"/>
      </w:pPr>
      <w:r>
        <w:t xml:space="preserve">Status: design proposal.</w:t>
      </w:r>
    </w:p>
    <w:p>
      <w:pPr>
        <w:pStyle w:val="BodyText"/>
      </w:pPr>
      <w:r>
        <w:t xml:space="preserve">§4.7 settles</w:t>
      </w:r>
      <w:r>
        <w:t xml:space="preserve"> </w:t>
      </w:r>
      <w:r>
        <w:rPr>
          <w:iCs/>
          <w:i/>
        </w:rPr>
        <w:t xml:space="preserve">how</w:t>
      </w:r>
      <w:r>
        <w:t xml:space="preserve"> </w:t>
      </w:r>
      <w:r>
        <w:t xml:space="preserve">a SPAC trustee’s protection value reaches them — memorized, or shardic-envelope-wrapped. A separate, composable question is</w:t>
      </w:r>
      <w:r>
        <w:t xml:space="preserve"> </w:t>
      </w:r>
      <w:r>
        <w:rPr>
          <w:iCs/>
          <w:i/>
        </w:rPr>
        <w:t xml:space="preserve">where that value comes from in the first place</w:t>
      </w:r>
      <w:r>
        <w:t xml:space="preserve">: generated as a human-shaped codeword and stretched through a KDF, or drawn directly from an approved DRBG as a full-strength key with no wordlist step and no KDF stretching at all. The two choices are independent but not symmetric: a DRBG-sourced key cannot be memorized, so choosing it necessarily selects shardic-envelope (§3.6) or a shardware-token physical-carriage path (§4.3) for delivery. Choosing shardic-envelope delivery does not, in turn, require a DRBG-sourced key — a normally generated codeword can still be wrapped for confidentiality in transit, exactly as it is today. §4.7 is the delivery axis; this section is the entropy-source axis; a SPAC ceremony’s actual protection value is the product of both.</w:t>
      </w:r>
    </w:p>
    <w:p>
      <w:pPr>
        <w:pStyle w:val="BodyText"/>
      </w:pPr>
      <w:r>
        <w:t xml:space="preserve">For a SPAC ceremony, the default is a DRBG-sourced key: drawn from the same class of CSPRNG already used to generate the DEK, every mask, and every nonce in this construction, and used directly as the trustee’s AES-256-GCM share-protection key. No wordlist generation and no KDF stretching are applied, because neither serves any purpose against a value that is already uniformly random across the full key space — KDF stretching exists specifically to compensate for a human-chosen secret’s narrower, structured guessing space, and applying it to an already-uniform 256-bit key adds computational cost without adding security. This gives a SPAC trustee’s share protection genuine parity with the DEK it ultimately protects, closing the same ~150-bit gap §4.7 frames as the motivation for defaulting to shardic-envelope at all.</w:t>
      </w:r>
    </w:p>
    <w:p>
      <w:pPr>
        <w:pStyle w:val="BodyText"/>
      </w:pPr>
      <w:r>
        <w:t xml:space="preserve">The traditional codeword — generated as in §6.2, protected by PBKDF2/Argon2id exactly as implemented today — remains available as a named, deliberate opt-out, not a fallback of last resort. It is the better choice, not merely an acceptable one, when:</w:t>
      </w:r>
    </w:p>
    <w:p>
      <w:pPr>
        <w:numPr>
          <w:ilvl w:val="0"/>
          <w:numId w:val="1013"/>
        </w:numPr>
        <w:pStyle w:val="Normal"/>
      </w:pPr>
      <w:r>
        <w:rPr>
          <w:bCs/>
          <w:b/>
        </w:rPr>
        <w:t xml:space="preserve">No persistent key material should exist to seize.</w:t>
      </w:r>
      <w:r>
        <w:t xml:space="preserve"> </w:t>
      </w:r>
      <w:r>
        <w:t xml:space="preserve">The same field/PAL case §4.7 develops in full: a device holding a DRBG-sourced key, even envelope-wrapped, is a forensically imageable physical artifact. A memorized codeword leaves nothing on any device, anywhere.</w:t>
      </w:r>
    </w:p>
    <w:p>
      <w:pPr>
        <w:numPr>
          <w:ilvl w:val="0"/>
          <w:numId w:val="1013"/>
        </w:numPr>
        <w:pStyle w:val="Normal"/>
      </w:pPr>
      <w:r>
        <w:rPr>
          <w:bCs/>
          <w:b/>
        </w:rPr>
        <w:t xml:space="preserve">Standing up a credential-lookup trust boundary isn’t justified.</w:t>
      </w:r>
      <w:r>
        <w:t xml:space="preserve"> </w:t>
      </w:r>
      <w:r>
        <w:t xml:space="preserve">Envelope delivery depends on resolving</w:t>
      </w:r>
      <w:r>
        <w:t xml:space="preserve"> </w:t>
      </w:r>
      <w:r>
        <w:t xml:space="preserve">“</w:t>
      </w:r>
      <w:r>
        <w:t xml:space="preserve">this trustee’s current public key</w:t>
      </w:r>
      <w:r>
        <w:t xml:space="preserve">”</w:t>
      </w:r>
      <w:r>
        <w:t xml:space="preserve"> </w:t>
      </w:r>
      <w:r>
        <w:t xml:space="preserve">via some directory or lookup service — itself a new attack surface, since a spoofed or compromised lookup would silently wrap a high-entropy key to the wrong recipient. A codeword requires no such resolution step to exist at all.</w:t>
      </w:r>
    </w:p>
    <w:p>
      <w:pPr>
        <w:numPr>
          <w:ilvl w:val="0"/>
          <w:numId w:val="1013"/>
        </w:numPr>
        <w:pStyle w:val="Normal"/>
      </w:pPr>
      <w:r>
        <w:rPr>
          <w:bCs/>
          <w:b/>
        </w:rPr>
        <w:t xml:space="preserve">No private-key custody burden should be imposed on the trustee.</w:t>
      </w:r>
      <w:r>
        <w:t xml:space="preserve"> </w:t>
      </w:r>
      <w:r>
        <w:t xml:space="preserve">A DRBG-sourced key’s confidentiality rests entirely on that trustee’s continued, exclusive possession of an unwrapping private key; losing it destroys that share with no</w:t>
      </w:r>
      <w:r>
        <w:t xml:space="preserve"> </w:t>
      </w:r>
      <w:r>
        <w:t xml:space="preserve">“</w:t>
      </w:r>
      <w:r>
        <w:t xml:space="preserve">try to recall it</w:t>
      </w:r>
      <w:r>
        <w:t xml:space="preserve">”</w:t>
      </w:r>
      <w:r>
        <w:t xml:space="preserve"> </w:t>
      </w:r>
      <w:r>
        <w:t xml:space="preserve">fallback. A codeword has no equivalent single point of failure to back up, rotate, or lose.</w:t>
      </w:r>
    </w:p>
    <w:p>
      <w:pPr>
        <w:numPr>
          <w:ilvl w:val="0"/>
          <w:numId w:val="1013"/>
        </w:numPr>
        <w:pStyle w:val="Normal"/>
      </w:pPr>
      <w:r>
        <w:rPr>
          <w:bCs/>
          <w:b/>
        </w:rPr>
        <w:t xml:space="preserve">The value must be relayable over any channel, with no device dependency.</w:t>
      </w:r>
      <w:r>
        <w:t xml:space="preserve"> </w:t>
      </w:r>
      <w:r>
        <w:t xml:space="preserve">A codeword can be spoken over a phone call, written on paper, or passed by courier with zero technology requirement at any step. A DRBG-sourced key requires a capable device at generation, at rest, and at unwrapping.</w:t>
      </w:r>
    </w:p>
    <w:p>
      <w:pPr>
        <w:numPr>
          <w:ilvl w:val="0"/>
          <w:numId w:val="1013"/>
        </w:numPr>
        <w:pStyle w:val="Normal"/>
      </w:pPr>
      <w:r>
        <w:rPr>
          <w:bCs/>
          <w:b/>
        </w:rPr>
        <w:t xml:space="preserve">The trustee population has no standing cryptographic tooling or habits.</w:t>
      </w:r>
      <w:r>
        <w:t xml:space="preserve"> </w:t>
      </w:r>
      <w:r>
        <w:t xml:space="preserve">A codeword’s participation bar is</w:t>
      </w:r>
      <w:r>
        <w:t xml:space="preserve"> </w:t>
      </w:r>
      <w:r>
        <w:t xml:space="preserve">“</w:t>
      </w:r>
      <w:r>
        <w:t xml:space="preserve">can hold a memorized phrase</w:t>
      </w:r>
      <w:r>
        <w:t xml:space="preserve">”</w:t>
      </w:r>
      <w:r>
        <w:t xml:space="preserve">; a DRBG-sourced key’s is</w:t>
      </w:r>
      <w:r>
        <w:t xml:space="preserve"> </w:t>
      </w:r>
      <w:r>
        <w:t xml:space="preserve">“</w:t>
      </w:r>
      <w:r>
        <w:t xml:space="preserve">can safely custody a private key</w:t>
      </w:r>
      <w:r>
        <w:t xml:space="preserve">”</w:t>
      </w:r>
      <w:r>
        <w:t xml:space="preserve"> </w:t>
      </w:r>
      <w:r>
        <w:t xml:space="preserve">— a materially higher bar for a duty crew, an estate’s non-technical relative, or any trustee pool not already operating as cryptographic identities in their day job.</w:t>
      </w:r>
    </w:p>
    <w:p>
      <w:pPr>
        <w:numPr>
          <w:ilvl w:val="0"/>
          <w:numId w:val="1013"/>
        </w:numPr>
        <w:pStyle w:val="Normal"/>
      </w:pPr>
      <w:r>
        <w:rPr>
          <w:bCs/>
          <w:b/>
        </w:rPr>
        <w:t xml:space="preserve">Setup friction must be minimized for a short-lived or ad hoc ceremony.</w:t>
      </w:r>
      <w:r>
        <w:t xml:space="preserve"> </w:t>
      </w:r>
      <w:r>
        <w:t xml:space="preserve">A codeword skips keypair generation, candidate-directory registration, and fingerprint verification entirely — relevant wherever §4.5’s RTO/CONOPS analysis already favors minimizing convening friction over maximizing entropy headroom.</w:t>
      </w:r>
    </w:p>
    <w:bookmarkStart w:id="79" w:name="Xcc7b9eed6d191ee595f55131af9bc847e053c30"/>
    <w:p>
      <w:pPr>
        <w:pStyle w:val="Heading3"/>
      </w:pPr>
      <w:r>
        <w:t xml:space="preserve">Why ~2^100 Is Enough for This Threat, Even Though It Isn’t 2^256</w:t>
      </w:r>
    </w:p>
    <w:p>
      <w:pPr>
        <w:pStyle w:val="Normal"/>
      </w:pPr>
      <w:r>
        <w:t xml:space="preserve">It’s tempting to read the codeword opt-out’s bit count against the DEK’s 256 bits and conclude it’s simply weaker protection. That comparison measures the wrong thing, because it treats two defenses against two different attackers as if they had to clear the same bar.</w:t>
      </w:r>
    </w:p>
    <w:p>
      <w:pPr>
        <w:pStyle w:val="BodyText"/>
      </w:pPr>
      <w:r>
        <w:t xml:space="preserve">The DEK/AES-256-GCM layer defends an attacker with no other angle of approach: holding only ciphertext, the full 256-bit keyspace is genuinely open to them, unstructured, with no shortcut available — the only layer in this construction that has to survive an unbounded, global search, so it has to be unconditionally strong.</w:t>
      </w:r>
    </w:p>
    <w:p>
      <w:pPr>
        <w:pStyle w:val="BodyText"/>
      </w:pPr>
      <w:r>
        <w:t xml:space="preserve">A codeword defends a categorically narrower attacker: one who has already obtained a single stolen or leaked share record and is trying to crack just that one. Three structural facts bound this attack in ways the DEK’s threat model simply doesn’t have:</w:t>
      </w:r>
    </w:p>
    <w:p>
      <w:pPr>
        <w:numPr>
          <w:ilvl w:val="0"/>
          <w:numId w:val="1014"/>
        </w:numPr>
        <w:pStyle w:val="Normal"/>
      </w:pPr>
      <w:r>
        <w:rPr>
          <w:bCs/>
          <w:b/>
        </w:rPr>
        <w:t xml:space="preserve">The search space is combinatorial, not a raw keyspace.</w:t>
      </w:r>
      <w:r>
        <w:t xml:space="preserve"> </w:t>
      </w:r>
      <w:r>
        <w:t xml:space="preserve">The</w:t>
      </w:r>
      <w:r>
        <w:t xml:space="preserve"> </w:t>
      </w:r>
      <w:r>
        <w:rPr>
          <w:rStyle w:val="DefaultParagraphFont"/>
        </w:rPr>
        <w:t xml:space="preserve">--memorable</w:t>
      </w:r>
      <w:r>
        <w:t xml:space="preserve"> </w:t>
      </w:r>
      <w:r>
        <w:t xml:space="preserve">default (8 words from the EFF long wordlist, ~12.9 bits/word) yields roughly 103 bits before any KDF cost is applied — call it 2^100 in round terms.</w:t>
      </w:r>
    </w:p>
    <w:p>
      <w:pPr>
        <w:numPr>
          <w:ilvl w:val="0"/>
          <w:numId w:val="1014"/>
        </w:numPr>
        <w:pStyle w:val="Normal"/>
      </w:pPr>
      <w:r>
        <w:rPr>
          <w:bCs/>
          <w:b/>
        </w:rPr>
        <w:t xml:space="preserve">A single cracked record is worth exactly one D-of-T point.</w:t>
      </w:r>
      <w:r>
        <w:t xml:space="preserve"> </w:t>
      </w:r>
      <w:r>
        <w:t xml:space="preserve">Per §6.1’s guarantee, that’s zero information about the DEK below threshold, regardless of how many such records an attacker accumulates the same way. This doesn’t mean raising D compensates for a weak individual codeword — it still has to clear its own floor on its own merits — but it does mean the</w:t>
      </w:r>
      <w:r>
        <w:t xml:space="preserve"> </w:t>
      </w:r>
      <w:r>
        <w:rPr>
          <w:iCs/>
          <w:i/>
        </w:rPr>
        <w:t xml:space="preserve">consequence</w:t>
      </w:r>
      <w:r>
        <w:t xml:space="preserve"> </w:t>
      </w:r>
      <w:r>
        <w:t xml:space="preserve">of cracking one record is bounded in a way the DEK’s threat model has no analog for.</w:t>
      </w:r>
    </w:p>
    <w:p>
      <w:pPr>
        <w:numPr>
          <w:ilvl w:val="0"/>
          <w:numId w:val="1014"/>
        </w:numPr>
        <w:pStyle w:val="Normal"/>
      </w:pPr>
      <w:r>
        <w:rPr>
          <w:bCs/>
          <w:b/>
        </w:rPr>
        <w:t xml:space="preserve">Argon2id’s memory-hardness makes each guess expensive in a way that resists exactly the kind of scaling that would matter here.</w:t>
      </w:r>
      <w:r>
        <w:t xml:space="preserve"> </w:t>
      </w:r>
      <w:r>
        <w:t xml:space="preserve">At this project’s default cost (256 MiB, time cost 4, parallelism 4), a guess isn’t a cheap hash — it’s a fixed, unavoidable memory allocation per attempt, which is specifically what blocks the massive GPU/ASIC parallelism that makes a moderate, unstretched keyspace tractable.</w:t>
      </w:r>
    </w:p>
    <w:p>
      <w:pPr>
        <w:pStyle w:val="Normal"/>
      </w:pPr>
      <w:r>
        <w:t xml:space="preserve">Put concrete numbers on it: even granting an attacker a wildly generous, deliberately unrealistic 10^12 fully-Argon2id-stretched guesses per second against this exact configuration, exhausting a 2^100 space (~1.27×10^30 guesses) would take on the order of 10^18 seconds — roughly 30 billion years. And 10^12 guesses/second at 256 MiB each implies a sustained memory bandwidth on the order of 250 exabytes per second, dwarfing the aggregate memory bandwidth of the world’s fastest supercomputers by many orders of magnitude — this isn’t a</w:t>
      </w:r>
      <w:r>
        <w:t xml:space="preserve"> </w:t>
      </w:r>
      <w:r>
        <w:t xml:space="preserve">“</w:t>
      </w:r>
      <w:r>
        <w:t xml:space="preserve">beyond current hardware</w:t>
      </w:r>
      <w:r>
        <w:t xml:space="preserve">”</w:t>
      </w:r>
      <w:r>
        <w:t xml:space="preserve"> </w:t>
      </w:r>
      <w:r>
        <w:t xml:space="preserve">caveat, it’s a physical-plausibility ceiling baked into the assumption itself. Any realistic Argon2id-cracking throughput is many further orders of magnitude below even that impossible starting point.</w:t>
      </w:r>
    </w:p>
    <w:p>
      <w:pPr>
        <w:pStyle w:val="BodyText"/>
      </w:pPr>
      <w:r>
        <w:t xml:space="preserve">That’s the actual basis for the trade: the attacker this layer has to survive was never going to approach the edge of a 2^100 space in the first place, so the nominal gap to 256 bits is not the operative number — time-to-crack against the real, bounded, memory-hard-gated attack is. Sizing the floor larger (more words, higher Argon2id cost) is still worth doing wherever a deployment can absorb the added recall or wall-clock burden, per §6.2/§6.3’s tuning guidance — but that’s headroom on an already-adequate floor, not a correction applied to an inadequate one.</w:t>
      </w:r>
    </w:p>
    <w:bookmarkEnd w:id="79"/>
    <w:bookmarkStart w:id="80" w:name="X516271a11c6c86e024d2e7c60a9711dc5a97faa"/>
    <w:p>
      <w:pPr>
        <w:pStyle w:val="Heading3"/>
      </w:pPr>
      <w:r>
        <w:t xml:space="preserve">Is Eight Real Words a Realistic Memorization Target?</w:t>
      </w:r>
    </w:p>
    <w:p>
      <w:pPr>
        <w:pStyle w:val="Normal"/>
      </w:pPr>
      <w:r>
        <w:t xml:space="preserve">The cryptographic case above only holds together if a trustee can actually retain an 8-word codeword well enough to use it — otherwise the opt-out trades a real security floor for one that quietly erodes as people forget, mistype, or improvise. This is a different, narrower claim than the one this project has already answered in the negative: reaching genuine 256-bit-class entropy from unaided human memory isn’t realistic for an untrained person, which is precisely why shardic-envelope exists rather than an argument this section disputes. The</w:t>
      </w:r>
      <w:r>
        <w:t xml:space="preserve"> </w:t>
      </w:r>
      <w:r>
        <w:rPr>
          <w:rStyle w:val="DefaultParagraphFont"/>
        </w:rPr>
        <w:t xml:space="preserve">--memorable</w:t>
      </w:r>
      <w:r>
        <w:t xml:space="preserve"> </w:t>
      </w:r>
      <w:r>
        <w:t xml:space="preserve">default’s actual target is roughly 2^100 — 8 real words — a categorically smaller and more ordinary ask.</w:t>
      </w:r>
    </w:p>
    <w:p>
      <w:pPr>
        <w:pStyle w:val="BodyText"/>
      </w:pPr>
      <w:r>
        <w:t xml:space="preserve">The relevant memory task is long-term retention through rehearsal, not one-shot recall. A trustee isn’t asked to hear eight random words once and immediately recite them back — the discipline more often invoked to dismiss this (Miller’s</w:t>
      </w:r>
      <w:r>
        <w:t xml:space="preserve"> </w:t>
      </w:r>
      <w:r>
        <w:t xml:space="preserve">“</w:t>
      </w:r>
      <w:r>
        <w:t xml:space="preserve">seven, plus or minus two,</w:t>
      </w:r>
      <w:r>
        <w:t xml:space="preserve">”</w:t>
      </w:r>
      <w:r>
        <w:t xml:space="preserve"> </w:t>
      </w:r>
      <w:r>
        <w:t xml:space="preserve">a finding about</w:t>
      </w:r>
      <w:r>
        <w:t xml:space="preserve"> </w:t>
      </w:r>
      <w:r>
        <w:rPr>
          <w:iCs/>
          <w:i/>
        </w:rPr>
        <w:t xml:space="preserve">working memory</w:t>
      </w:r>
      <w:r>
        <w:t xml:space="preserve"> </w:t>
      </w:r>
      <w:r>
        <w:t xml:space="preserve">holding unrehearsed items for immediate use) doesn’t describe what a standing trustee actually does, which is closer to how people already retain a bank PIN, a home alarm code, or a memorized passage: through ordinary, periodic repetition until it consolidates into long-term memory. Real dictionary words help specifically because they’re meaningful rather than arbitrary — a trustee can turn eight words into a short mental sentence or image, a natural strategy most people already use unprompted for shorter lists (nobody needs training to remember a five-item grocery list by picturing a scene), categorically different from the deliberate, competition-grade method of loci trained memory athletes use for much longer, meaningless, exact-order sequences.</w:t>
      </w:r>
    </w:p>
    <w:p>
      <w:pPr>
        <w:pStyle w:val="BodyText"/>
      </w:pPr>
      <w:r>
        <w:t xml:space="preserve">This word count also isn’t a novel claim — it sits inside a range with two decades of real-world practice behind it. Diceware, the direct ancestor of</w:t>
      </w:r>
      <w:r>
        <w:t xml:space="preserve"> </w:t>
      </w:r>
      <w:r>
        <w:rPr>
          <w:rStyle w:val="DefaultParagraphFont"/>
        </w:rPr>
        <w:t xml:space="preserve">--memorable</w:t>
      </w:r>
      <w:r>
        <w:t xml:space="preserve"> </w:t>
      </w:r>
      <w:r>
        <w:t xml:space="preserve">mode’s approach, has long recommended picking</w:t>
      </w:r>
      <w:r>
        <w:t xml:space="preserve"> </w:t>
      </w:r>
      <w:r>
        <w:t xml:space="preserve">“</w:t>
      </w:r>
      <w:r>
        <w:t xml:space="preserve">the longest passphrase you feel comfortable remembering,</w:t>
      </w:r>
      <w:r>
        <w:t xml:space="preserve">”</w:t>
      </w:r>
      <w:r>
        <w:t xml:space="preserve"> </w:t>
      </w:r>
      <w:r>
        <w:t xml:space="preserve">suggesting six words as the standard target and, for its own long-term (10+ year) protection case, ten words — explicitly broken into two five-word chunks</w:t>
      </w:r>
      <w:r>
        <w:t xml:space="preserve"> </w:t>
      </w:r>
      <w:r>
        <w:rPr>
          <w:iCs/>
          <w:i/>
        </w:rPr>
        <w:t xml:space="preserve">for memorization purposes</w:t>
      </w:r>
      <w:r>
        <w:t xml:space="preserve">. Eight real words sits inside that established range, not beyond it.</w:t>
      </w:r>
    </w:p>
    <w:p>
      <w:pPr>
        <w:pStyle w:val="BodyText"/>
      </w:pPr>
      <w:r>
        <w:t xml:space="preserve">It’s worth addressing the counter-evidence directly, since one well-known precedent points the other way at first glance: BIP39 cryptocurrency wallet seed phrases, whose standard guidance is to write the phrase down — on paper or metal, never digitally — rather than rely on memory, with memorization reserved for edge cases like crossing a hostile border, and even then only paired with a written backup, never as a sole record. That guidance is answering a harder and materially different question than shardic’s codeword opt-out faces, on every relevant axis: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BIP39 seed phrase</w:t>
            </w:r>
          </w:p>
        </w:tc>
        <w:tc>
          <w:tcPr/>
          <w:p>
            <w:pPr>
              <w:pStyle w:val="Normal"/>
              <w:jc w:val="left"/>
            </w:pPr>
            <w:r>
              <w:t xml:space="preserve">shardic</w:t>
            </w:r>
            <w:r>
              <w:t xml:space="preserve"> </w:t>
            </w:r>
            <w:r>
              <w:rPr>
                <w:rStyle w:val="DefaultParagraphFont"/>
              </w:rPr>
              <w:t xml:space="preserve">--memorable</w:t>
            </w:r>
            <w:r>
              <w:t xml:space="preserve"> </w:t>
            </w:r>
            <w:r>
              <w:t xml:space="preserve">codeword</w:t>
            </w:r>
          </w:p>
        </w:tc>
      </w:tr>
      <w:tr>
        <w:tc>
          <w:tcPr/>
          <w:p>
            <w:pPr>
              <w:pStyle w:val="Normal"/>
              <w:jc w:val="left"/>
            </w:pPr>
            <w:r>
              <w:t xml:space="preserve">Length</w:t>
            </w:r>
          </w:p>
        </w:tc>
        <w:tc>
          <w:tcPr/>
          <w:p>
            <w:pPr>
              <w:pStyle w:val="Normal"/>
              <w:jc w:val="left"/>
            </w:pPr>
            <w:r>
              <w:t xml:space="preserve">12, 18, or 24 words (128–256 bits) — already past the range this project agrees isn’t realistically memorizable</w:t>
            </w:r>
          </w:p>
        </w:tc>
        <w:tc>
          <w:tcPr/>
          <w:p>
            <w:pPr>
              <w:pStyle w:val="Normal"/>
              <w:jc w:val="left"/>
            </w:pPr>
            <w:r>
              <w:t xml:space="preserve">8 words (~103 bits) — inside diceware’s own long-established memorable range</w:t>
            </w:r>
          </w:p>
        </w:tc>
      </w:tr>
      <w:tr>
        <w:tc>
          <w:tcPr/>
          <w:p>
            <w:pPr>
              <w:pStyle w:val="Normal"/>
              <w:jc w:val="left"/>
            </w:pPr>
            <w:r>
              <w:t xml:space="preserve">Tolerance for error</w:t>
            </w:r>
          </w:p>
        </w:tc>
        <w:tc>
          <w:tcPr/>
          <w:p>
            <w:pPr>
              <w:pStyle w:val="Normal"/>
              <w:jc w:val="left"/>
            </w:pPr>
            <w:r>
              <w:t xml:space="preserve">Zero — one wrong word typically derives a</w:t>
            </w:r>
            <w:r>
              <w:t xml:space="preserve"> </w:t>
            </w:r>
            <w:r>
              <w:rPr>
                <w:iCs/>
                <w:i/>
              </w:rPr>
              <w:t xml:space="preserve">different, wrong</w:t>
            </w:r>
            <w:r>
              <w:t xml:space="preserve"> </w:t>
            </w:r>
            <w:r>
              <w:t xml:space="preserve">wallet silently, often with no error at all</w:t>
            </w:r>
          </w:p>
        </w:tc>
        <w:tc>
          <w:tcPr/>
          <w:p>
            <w:pPr>
              <w:pStyle w:val="Normal"/>
              <w:jc w:val="left"/>
            </w:pPr>
            <w:r>
              <w:t xml:space="preserve">AES-GCM’s auth tag detects a wrong guess unambiguously; recovery reports what matched and stops, nothing derives silently</w:t>
            </w:r>
          </w:p>
        </w:tc>
      </w:tr>
      <w:tr>
        <w:tc>
          <w:tcPr/>
          <w:p>
            <w:pPr>
              <w:pStyle w:val="Normal"/>
              <w:jc w:val="left"/>
            </w:pPr>
            <w:r>
              <w:t xml:space="preserve">Consequence of a mistake</w:t>
            </w:r>
          </w:p>
        </w:tc>
        <w:tc>
          <w:tcPr/>
          <w:p>
            <w:pPr>
              <w:pStyle w:val="Normal"/>
              <w:jc w:val="left"/>
            </w:pPr>
            <w:r>
              <w:t xml:space="preserve">Total, often-undetected loss of funds</w:t>
            </w:r>
          </w:p>
        </w:tc>
        <w:tc>
          <w:tcPr/>
          <w:p>
            <w:pPr>
              <w:pStyle w:val="Normal"/>
              <w:jc w:val="left"/>
            </w:pPr>
            <w:r>
              <w:t xml:space="preserve">A failed match — the trustee can retry with a corrected phrase; nothing is destroyed or locked out on a wrong attempt</w:t>
            </w:r>
          </w:p>
        </w:tc>
      </w:tr>
      <w:tr>
        <w:tc>
          <w:tcPr/>
          <w:p>
            <w:pPr>
              <w:pStyle w:val="Normal"/>
              <w:jc w:val="left"/>
            </w:pPr>
            <w:r>
              <w:t xml:space="preserve">Who must recall it, and how many</w:t>
            </w:r>
          </w:p>
        </w:tc>
        <w:tc>
          <w:tcPr/>
          <w:p>
            <w:pPr>
              <w:pStyle w:val="Normal"/>
              <w:jc w:val="left"/>
            </w:pPr>
            <w:r>
              <w:t xml:space="preserve">The single holder, in full</w:t>
            </w:r>
          </w:p>
        </w:tc>
        <w:tc>
          <w:tcPr/>
          <w:p>
            <w:pPr>
              <w:pStyle w:val="Normal"/>
              <w:jc w:val="left"/>
            </w:pPr>
            <w:r>
              <w:t xml:space="preserve">Any</w:t>
            </w:r>
            <w:r>
              <w:t xml:space="preserve"> </w:t>
            </w:r>
            <w:r>
              <w:rPr>
                <w:rStyle w:val="DefaultParagraphFont"/>
              </w:rPr>
              <w:t xml:space="preserve">D</w:t>
            </w:r>
            <w:r>
              <w:t xml:space="preserve"> </w:t>
            </w:r>
            <w:r>
              <w:t xml:space="preserve">of</w:t>
            </w:r>
            <w:r>
              <w:t xml:space="preserve"> </w:t>
            </w:r>
            <w:r>
              <w:rPr>
                <w:rStyle w:val="DefaultParagraphFont"/>
              </w:rPr>
              <w:t xml:space="preserve">T</w:t>
            </w:r>
            <w:r>
              <w:t xml:space="preserve"> </w:t>
            </w:r>
            <w:r>
              <w:t xml:space="preserve">trustees — this specific trustee’s phrase doesn’t need to survive alone</w:t>
            </w:r>
          </w:p>
        </w:tc>
      </w:tr>
      <w:tr>
        <w:tc>
          <w:tcPr/>
          <w:p>
            <w:pPr>
              <w:pStyle w:val="Normal"/>
              <w:jc w:val="left"/>
            </w:pPr>
            <w:r>
              <w:t xml:space="preserve">Rehearsal expectation</w:t>
            </w:r>
          </w:p>
        </w:tc>
        <w:tc>
          <w:tcPr/>
          <w:p>
            <w:pPr>
              <w:pStyle w:val="Normal"/>
              <w:jc w:val="left"/>
            </w:pPr>
            <w:r>
              <w:t xml:space="preserve">Often set once and not touched for years</w:t>
            </w:r>
          </w:p>
        </w:tc>
        <w:tc>
          <w:tcPr/>
          <w:p>
            <w:pPr>
              <w:pStyle w:val="Normal"/>
              <w:jc w:val="left"/>
            </w:pPr>
            <w:r>
              <w:t xml:space="preserve">A standing trustee role, naturally paired with periodic recall practice as an operational habit</w:t>
            </w:r>
          </w:p>
        </w:tc>
      </w:tr>
    </w:tbl>
    <w:p>
      <w:pPr>
        <w:pStyle w:val="BodyText"/>
      </w:pPr>
      <w:r>
        <w:t xml:space="preserve">BIP39’s caution is correct advice for the problem it is solving. It doesn’t generalize to shardic’s codeword opt-out, which targets roughly a third of the word count, fails safely and interactively rather than silently and catastrophically, and only ever needs to be one of several independent contributions rather than a single irreplaceable record. Eight real words, rehearsed the ordinary way a person retains any long-held credential, is a realistic target for the trustee population this opt-out is actually meant for.</w:t>
      </w:r>
    </w:p>
    <w:bookmarkEnd w:id="80"/>
    <w:bookmarkEnd w:id="81"/>
    <w:bookmarkEnd w:id="82"/>
    <w:bookmarkStart w:id="87" w:name="notional-missions-and-ceremony-lifecycle"/>
    <w:p>
      <w:pPr>
        <w:pStyle w:val="Heading1"/>
      </w:pPr>
      <w:r>
        <w:t xml:space="preserve">5. Notional Missions and Ceremony Lifecycle</w:t>
      </w:r>
    </w:p>
    <w:p>
      <w:pPr>
        <w:pStyle w:val="Normal"/>
      </w:pPr>
      <w:r>
        <w:t xml:space="preserve">Status: illustrative, notional.</w:t>
      </w:r>
    </w:p>
    <w:p>
      <w:pPr>
        <w:pStyle w:val="BodyText"/>
      </w:pPr>
      <w:r>
        <w:t xml:space="preserve">All four vignettes below are constructed examples, not descriptions of any real system or deployment, intended to walk the full SPAC lifecycle against a concrete</w:t>
      </w:r>
      <w:r>
        <w:t xml:space="preserve"> </w:t>
      </w:r>
      <w:r>
        <w:t xml:space="preserve">“</w:t>
      </w:r>
      <w:r>
        <w:t xml:space="preserve">as-is</w:t>
      </w:r>
      <w:r>
        <w:t xml:space="preserve">”</w:t>
      </w:r>
      <w:r>
        <w:t xml:space="preserve"> </w:t>
      </w:r>
      <w:r>
        <w:t xml:space="preserve">baseline. Vignettes C and D extend the mission space into network-path integrity and hybrid human-AI decision governance — two employment patterns that the SPAC generalization in §4 makes possible but that have no analog in the file-vault core. Numeric trustee counts and thresholds are illustrative choices, not recommendations for any specific real-world case.</w:t>
      </w:r>
    </w:p>
    <w:bookmarkStart w:id="83" w:name="X71f445c111a766deee54f80c38e0db7e6821708"/>
    <w:p>
      <w:pPr>
        <w:pStyle w:val="Heading2"/>
      </w:pPr>
      <w:r>
        <w:t xml:space="preserve">5.1 Vignette A: Escrowed Authorization of a High-Value Treasury Disbursement</w:t>
      </w:r>
    </w:p>
    <w:p>
      <w:pPr>
        <w:pStyle w:val="Normal"/>
      </w:pPr>
      <w:r>
        <w:t xml:space="preserve">Mission. A financial institution’s treasury system can execute wire disbursements above a defined threshold only with genuine, non-bypassable multi-party authorization, replacing a conventional dual-control approval workflow.</w:t>
      </w:r>
    </w:p>
    <w:p>
      <w:pPr>
        <w:pStyle w:val="BodyText"/>
      </w:pPr>
      <w:r>
        <w:t xml:space="preserve">As-is baseline. 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w:t>
      </w:r>
      <w:r>
        <w:t xml:space="preserve"> </w:t>
      </w:r>
      <w:r>
        <w:t xml:space="preserve">“</w:t>
      </w:r>
      <w:r>
        <w:t xml:space="preserve">approve</w:t>
      </w:r>
      <w:r>
        <w:t xml:space="preserve">”</w:t>
      </w:r>
      <w:r>
        <w:t xml:space="preserve"> </w:t>
      </w:r>
      <w:r>
        <w:t xml:space="preserve">— it cannot prove that two independent human decisions actually occurred.</w:t>
      </w:r>
    </w:p>
    <w:p>
      <w:pPr>
        <w:pStyle w:val="BodyText"/>
      </w:pPr>
      <w:r>
        <w:t xml:space="preserve">Notional shardic-SPAC design:</w:t>
      </w:r>
    </w:p>
    <w:p>
      <w:pPr>
        <w:numPr>
          <w:ilvl w:val="0"/>
          <w:numId w:val="1015"/>
        </w:numPr>
      </w:pPr>
      <w:r>
        <w:t xml:space="preserve">PT SPAC: the treasury system’s high-privilege disbursement-signing credential.</w:t>
      </w:r>
    </w:p>
    <w:p>
      <w:pPr>
        <w:numPr>
          <w:ilvl w:val="0"/>
          <w:numId w:val="1015"/>
        </w:numPr>
      </w:pPr>
      <w:r>
        <w:t xml:space="preserve">T=5 pool trustees (treasury officers), D=3 pool threshold, plus one Fielded Prime Element embedded in the treasury platform’s own HSM-backed appliance — the disbursement can never be signed on any other machine, even by the same five officers.</w:t>
      </w:r>
    </w:p>
    <w:p>
      <w:pPr>
        <w:numPr>
          <w:ilvl w:val="0"/>
          <w:numId w:val="1015"/>
        </w:numPr>
      </w:pPr>
      <w:r>
        <w:t xml:space="preserve">Approver: the controller function, independent of whoever operates vault creation, cryptographically attesting that the wrapped credential is the correct, currently-authorized signing key.</w:t>
      </w:r>
    </w:p>
    <w:p>
      <w:pPr>
        <w:numPr>
          <w:ilvl w:val="0"/>
          <w:numId w:val="1015"/>
        </w:numPr>
      </w:pPr>
      <w:r>
        <w:t xml:space="preserve">Ceremony formation: a standing, pre-formed quorum of treasury officers with an ordered backup list, per §3.7 — no ad hoc convening required at disbursement time.</w:t>
      </w:r>
    </w:p>
    <w:p>
      <w:pPr>
        <w:numPr>
          <w:ilvl w:val="0"/>
          <w:numId w:val="1015"/>
        </w:numPr>
      </w:pPr>
      <w:r>
        <w:t xml:space="preserve">Operator: a compliance officer, authorizing each extraction request; barred from also being one of the five treasury-officer trustees.</w:t>
      </w:r>
    </w:p>
    <w:p>
      <w:pPr>
        <w:numPr>
          <w:ilvl w:val="0"/>
          <w:numId w:val="1015"/>
        </w:numPr>
      </w:pPr>
      <w:r>
        <w:t xml:space="preserve">Local custodian: a data-center technician holding a physical key-switch at the appliance itself.</w:t>
      </w:r>
    </w:p>
    <w:p>
      <w:pPr>
        <w:numPr>
          <w:ilvl w:val="0"/>
          <w:numId w:val="1015"/>
        </w:numPr>
      </w:pPr>
      <w:r>
        <w:t xml:space="preserve">Delivery and RTO: network share delivery (§4.3), targeting an RTO of minutes.</w:t>
      </w:r>
    </w:p>
    <w:p>
      <w:pPr>
        <w:pStyle w:val="Normal"/>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(dual-control app logic)</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Enforced by software/process; bypassable by whoever administers it</w:t>
            </w:r>
          </w:p>
        </w:tc>
        <w:tc>
          <w:tcPr/>
          <w:p>
            <w:pPr>
              <w:pStyle w:val="Normal"/>
              <w:jc w:val="left"/>
            </w:pPr>
            <w:r>
              <w:t xml:space="preserve">Enforced by mathematics; below-threshold shares carry zero information regardless of administrator access</w:t>
            </w:r>
          </w:p>
        </w:tc>
      </w:tr>
      <w:tr>
        <w:tc>
          <w:tcPr/>
          <w:p>
            <w:pPr>
              <w:pStyle w:val="Normal"/>
              <w:jc w:val="left"/>
            </w:pPr>
            <w:r>
              <w:t xml:space="preserve">Safety</w:t>
            </w:r>
          </w:p>
        </w:tc>
        <w:tc>
          <w:tcPr/>
          <w:p>
            <w:pPr>
              <w:pStyle w:val="Normal"/>
              <w:jc w:val="left"/>
            </w:pPr>
            <w:r>
              <w:t xml:space="preserve">Silent failure modes possible if application logic has a bug</w:t>
            </w:r>
          </w:p>
        </w:tc>
        <w:tc>
          <w:tcPr/>
          <w:p>
            <w:pPr>
              <w:pStyle w:val="Normal"/>
              <w:jc w:val="left"/>
            </w:pPr>
            <w:r>
              <w:t xml:space="preserve">Fail-loud: AES-GCM authentication rejects any incorrect or tampered value outright</w:t>
            </w:r>
          </w:p>
        </w:tc>
      </w:tr>
      <w:tr>
        <w:tc>
          <w:tcPr/>
          <w:p>
            <w:pPr>
              <w:pStyle w:val="Normal"/>
              <w:jc w:val="left"/>
            </w:pPr>
            <w:r>
              <w:t xml:space="preserve">Assurance</w:t>
            </w:r>
          </w:p>
        </w:tc>
        <w:tc>
          <w:tcPr/>
          <w:p>
            <w:pPr>
              <w:pStyle w:val="Normal"/>
              <w:jc w:val="left"/>
            </w:pPr>
            <w:r>
              <w:t xml:space="preserve">Audit log proves which accounts clicked approve, not which people independently chose to</w:t>
            </w:r>
          </w:p>
        </w:tc>
        <w:tc>
          <w:tcPr/>
          <w:p>
            <w:pPr>
              <w:pStyle w:val="Normal"/>
              <w:jc w:val="left"/>
            </w:pPr>
            <w:r>
              <w:t xml:space="preserve">Non-repudiable: reconstruction is only possible if D independent trustees each supplied a genuine share</w:t>
            </w:r>
          </w:p>
        </w:tc>
      </w:tr>
    </w:tbl>
    <w:bookmarkEnd w:id="83"/>
    <w:bookmarkStart w:id="84" w:name="X072820bb1d3638dc452af02fde2af7b040484b4"/>
    <w:p>
      <w:pPr>
        <w:pStyle w:val="Heading2"/>
      </w:pPr>
      <w:r>
        <w:t xml:space="preserve">5.2 Vignette B: Notional Safety-Interlock Release Authorization</w:t>
      </w:r>
    </w:p>
    <w:p>
      <w:pPr>
        <w:pStyle w:val="Normal"/>
      </w:pPr>
      <w:r>
        <w:t xml:space="preserve">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p>
      <w:pPr>
        <w:pStyle w:val="BodyText"/>
      </w:pPr>
      <w:r>
        <w:t xml:space="preserve">As-is baseline. 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pPr>
      <w:r>
        <w:t xml:space="preserve">Notional shardic-SPAC design:</w:t>
      </w:r>
    </w:p>
    <w:p>
      <w:pPr>
        <w:numPr>
          <w:ilvl w:val="0"/>
          <w:numId w:val="1016"/>
        </w:numPr>
      </w:pPr>
      <w:r>
        <w:t xml:space="preserve">PT SPAC: the notional release-enable value.</w:t>
      </w:r>
    </w:p>
    <w:p>
      <w:pPr>
        <w:numPr>
          <w:ilvl w:val="0"/>
          <w:numId w:val="1016"/>
        </w:numPr>
      </w:pPr>
      <w:r>
        <w:t xml:space="preserve">T=5 pool trustees (a qualified duty crew), D=3 pool threshold, plus a Fielded Prime Element embedded in the platform’s own secure-element hardware.</w:t>
      </w:r>
    </w:p>
    <w:p>
      <w:pPr>
        <w:numPr>
          <w:ilvl w:val="0"/>
          <w:numId w:val="1016"/>
        </w:numPr>
      </w:pPr>
      <w:r>
        <w:t xml:space="preserve">Local custodian factor: dual key-switches (the</w:t>
      </w:r>
      <w:r>
        <w:t xml:space="preserve"> </w:t>
      </w:r>
      <w:r>
        <w:t xml:space="preserve">“</w:t>
      </w:r>
      <w:r>
        <w:t xml:space="preserve">two local factors</w:t>
      </w:r>
      <w:r>
        <w:t xml:space="preserve">”</w:t>
      </w:r>
      <w:r>
        <w:t xml:space="preserve"> </w:t>
      </w:r>
      <w:r>
        <w:t xml:space="preserve">option from §4.4), reflecting that a safety-critical interlock plausibly warrants the strongest available local control.</w:t>
      </w:r>
    </w:p>
    <w:p>
      <w:pPr>
        <w:numPr>
          <w:ilvl w:val="0"/>
          <w:numId w:val="1016"/>
        </w:numPr>
      </w:pPr>
      <w:r>
        <w:t xml:space="preserve">Approver: an independent technical authority, distinct from the operational chain, attesting that the embedded value is the correctly certified one.</w:t>
      </w:r>
    </w:p>
    <w:p>
      <w:pPr>
        <w:numPr>
          <w:ilvl w:val="0"/>
          <w:numId w:val="1016"/>
        </w:numPr>
      </w:pPr>
      <w:r>
        <w:t xml:space="preserve">Ceremony formation: a standing, pre-formed, on-alert quorum, targeting an RTO of seconds to low minutes.</w:t>
      </w:r>
    </w:p>
    <w:p>
      <w:pPr>
        <w:numPr>
          <w:ilvl w:val="0"/>
          <w:numId w:val="1016"/>
        </w:numPr>
      </w:pPr>
      <w:r>
        <w:t xml:space="preserve">Operator: a command-authority representative, authorizing the extraction grant as the cryptographic analog of an authorized release order.</w:t>
      </w:r>
    </w:p>
    <w:p>
      <w:pPr>
        <w:pStyle w:val="Normal"/>
      </w:pPr>
      <w:r>
        <w:t xml:space="preserve">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(procedural two-person rule)</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A single coerced/compromised individual with physical access is a structural risk</w:t>
            </w:r>
          </w:p>
        </w:tc>
        <w:tc>
          <w:tcPr/>
          <w:p>
            <w:pPr>
              <w:pStyle w:val="Normal"/>
              <w:jc w:val="left"/>
            </w:pPr>
            <w:r>
              <w:t xml:space="preserve">Mathematically requires genuine independent agreement from D distinct trustees, not merely two people in a room</w:t>
            </w:r>
          </w:p>
        </w:tc>
      </w:tr>
      <w:tr>
        <w:tc>
          <w:tcPr/>
          <w:p>
            <w:pPr>
              <w:pStyle w:val="Normal"/>
              <w:jc w:val="left"/>
            </w:pPr>
            <w:r>
              <w:t xml:space="preserve">Safety</w:t>
            </w:r>
          </w:p>
        </w:tc>
        <w:tc>
          <w:tcPr/>
          <w:p>
            <w:pPr>
              <w:pStyle w:val="Normal"/>
              <w:jc w:val="left"/>
            </w:pPr>
            <w:r>
              <w:t xml:space="preserve">A wrong or substituted code may not be detected until use</w:t>
            </w:r>
          </w:p>
        </w:tc>
        <w:tc>
          <w:tcPr/>
          <w:p>
            <w:pPr>
              <w:pStyle w:val="Normal"/>
              <w:jc w:val="left"/>
            </w:pPr>
            <w:r>
              <w:t xml:space="preserve">Fail-loud at multiple points: AES-GCM authentication, plus an independent approver-signed integrity check before the value is trusted</w:t>
            </w:r>
          </w:p>
        </w:tc>
      </w:tr>
      <w:tr>
        <w:tc>
          <w:tcPr/>
          <w:p>
            <w:pPr>
              <w:pStyle w:val="Normal"/>
              <w:jc w:val="left"/>
            </w:pPr>
            <w:r>
              <w:t xml:space="preserve">Assurance</w:t>
            </w:r>
          </w:p>
        </w:tc>
        <w:tc>
          <w:tcPr/>
          <w:p>
            <w:pPr>
              <w:pStyle w:val="Normal"/>
              <w:jc w:val="left"/>
            </w:pPr>
            <w:r>
              <w:t xml:space="preserve">Paper logs and witness statements, alterable or coercible after the fact</w:t>
            </w:r>
          </w:p>
        </w:tc>
        <w:tc>
          <w:tcPr/>
          <w:p>
            <w:pPr>
              <w:pStyle w:val="Normal"/>
              <w:jc w:val="left"/>
            </w:pPr>
            <w:r>
              <w:t xml:space="preserve">A ceremony’s participant set is a fact about which independent parties each supplied a genuine cryptographic contribution — not a claim resting on anyone’s later testimony</w:t>
            </w:r>
          </w:p>
        </w:tc>
      </w:tr>
    </w:tbl>
    <w:bookmarkEnd w:id="84"/>
    <w:bookmarkStart w:id="85" w:name="X967b92dbd735b10299c65dc57692a6e4edf95a1"/>
    <w:p>
      <w:pPr>
        <w:pStyle w:val="Heading2"/>
      </w:pPr>
      <w:r>
        <w:t xml:space="preserve">5.3 Vignette C: Trustee-Attested Participation Along a Trusted Network Path</w:t>
      </w:r>
    </w:p>
    <w:p>
      <w:pPr>
        <w:pStyle w:val="Normal"/>
      </w:pPr>
      <w:r>
        <w:t xml:space="preserve">Status: illustrative, notional. This vignette describes a protocol pattern layered on shardic; it is not shipped functionality. It does not claim that threshold sharing alone proves physical transit, route correctness, or content inspection.</w:t>
      </w:r>
    </w:p>
    <w:p>
      <w:pPr>
        <w:pStyle w:val="BodyText"/>
      </w:pPr>
      <w:r>
        <w:t xml:space="preserve">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pPr>
      <w:r>
        <w:t xml:space="preserve">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pPr>
      <w:r>
        <w:t xml:space="preserve">Figure 5.3.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pPr>
      <w:r>
        <w:t xml:space="preserve">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bookmarkEnd w:id="85"/>
    <w:bookmarkStart w:id="86" w:name="X3de6cc741ec4ea0f74b38e7f3e7e352a337787a"/>
    <w:p>
      <w:pPr>
        <w:pStyle w:val="Heading2"/>
      </w:pPr>
      <w:r>
        <w:t xml:space="preserve">5.4 Vignette D: Hybrid Human-and-AI Policy Gates for SPAC Authorization</w:t>
      </w:r>
    </w:p>
    <w:p>
      <w:pPr>
        <w:pStyle w:val="Normal"/>
      </w:pPr>
      <w:r>
        <w:t xml:space="preserve">Status: illustrative, notional. This is a governance and protocol design, not shipped functionality. An AI evaluator is not an autonomous authority to perform a high-consequence action.</w:t>
      </w:r>
    </w:p>
    <w:p>
      <w:pPr>
        <w:pStyle w:val="BodyText"/>
      </w:pPr>
      <w:r>
        <w:t xml:space="preserve">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pPr>
      <w:r>
        <w:t xml:space="preserve">Notional design. The objective and subjective conditions are separate, explicit gates. An AI policy evaluator produces a signed, time-limited attestation only when its allow-listed criteria are satisfied; ambiguity, invalid inputs, stale telemetry, conflicting sources, or evaluator failure produce no attestation. A distinct human trustee ceremony requires its own threshold of authenticated human contributions. The release service verifies both gates server-side before it reconstructs or releases the SPAC value.</w:t>
      </w:r>
    </w:p>
    <w:p>
      <w:pPr>
        <w:pStyle w:val="BodyText"/>
      </w:pPr>
      <w:r>
        <w:t xml:space="preserve">This separation is important: an ordinary single D-of-T Shamir split does not encode class-specific requirements such as</w:t>
      </w:r>
      <w:r>
        <w:t xml:space="preserve"> </w:t>
      </w:r>
      <w:r>
        <w:t xml:space="preserve">‘</w:t>
      </w:r>
      <w:r>
        <w:t xml:space="preserve">all three AI checks and any two humans.</w:t>
      </w:r>
      <w:r>
        <w:t xml:space="preserve">’</w:t>
      </w:r>
      <w:r>
        <w:t xml:space="preserve"> </w:t>
      </w:r>
      <w:r>
        <w:t xml:space="preserve">Implement such a policy with separate cryptographic gates or a vetted access-structure construction, then compose them with an explicit AND rule. Do not represent the policy merely by setting D equal to the sum of desired contributions.</w:t>
      </w:r>
    </w:p>
    <w:p>
      <w:pPr>
        <w:pStyle w:val="BodyText"/>
      </w:pPr>
      <w:r>
        <w:t xml:space="preserve">Figure 5.4.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pPr>
      <w:r>
        <w:t xml:space="preserve">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pPr>
      <w:r>
        <w:t xml:space="preserve">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bookmarkEnd w:id="86"/>
    <w:bookmarkEnd w:id="87"/>
    <w:bookmarkStart w:id="97" w:name="security-discussion"/>
    <w:p>
      <w:pPr>
        <w:pStyle w:val="Heading1"/>
      </w:pPr>
      <w:r>
        <w:t xml:space="preserve">6. Security Discussion</w:t>
      </w:r>
    </w:p>
    <w:p>
      <w:pPr>
        <w:pStyle w:val="Normal"/>
      </w:pPr>
      <w:r>
        <w:t xml:space="preserve">§6.1–§6.3 analyze codeword strength for the base scheme, where a trustee generates, recalls, or transcribes their own codeword by hand. A SPAC deployment can sidestep this discussion almost entirely by adopting §4.8’s DRBG-sourced share protection — delivered via shardic-envelope, since a DRBG-sourced key cannot be memorized — in which case the computational side of §6.1’s two-lever analysis is no longer the operative constraint, and §6.2’s mode comparison and §6.3’s tuning trade-offs become largely moot. This is a SPAC-level choice, not an automatic consequence of using shardic-envelope generally: shardic-envelope’s delivery mechanism (§3.6) composes equally well with an ordinary generated codeword, exactly as it does in the base scheme today — envelope changes how a value reaches a trustee, not what generated the value in the first place. §6.1–§6.3 are retained for completeness and for the base scheme’s own standalone use; §6.4 states the practical, envelope-era picture directly.</w:t>
      </w:r>
    </w:p>
    <w:bookmarkStart w:id="88" w:name="Xd7c9fe8b13f7ef024eb399d1b17ce5a9cbb9107"/>
    <w:p>
      <w:pPr>
        <w:pStyle w:val="Heading2"/>
      </w:pPr>
      <w:r>
        <w:t xml:space="preserve">6.1 Two Different Kinds of Strength: Key Length vs. Trustee Threshold</w:t>
      </w:r>
    </w:p>
    <w:p>
      <w:pPr>
        <w:pStyle w:val="Normal"/>
      </w:pPr>
      <w:r>
        <w:t xml:space="preserve">It is worth being explicit about which parts of this design are information-theoretically secure and which are only computationally secure, because they respond to completely different levers.</w:t>
      </w:r>
    </w:p>
    <w:p>
      <w:pPr>
        <w:numPr>
          <w:ilvl w:val="0"/>
          <w:numId w:val="1017"/>
        </w:numPr>
      </w:pPr>
      <w:r>
        <w:t xml:space="preserve">The 256-bit DEK, and the Shamir split protecting it, are effectively unconditional: below the threshold D, shares carry zero information about the key regardless of an attacker’s computing power, and AES-256 itself has no known practical cryptanalytic shortcut. Raising T or D changes how many independent parties must collude, not how hard any individual share is to attack directly — each is already effectively unbreakable on its own.</w:t>
      </w:r>
    </w:p>
    <w:p>
      <w:pPr>
        <w:numPr>
          <w:ilvl w:val="0"/>
          <w:numId w:val="1017"/>
        </w:numPr>
      </w:pPr>
      <w:r>
        <w:t xml:space="preserve">Each individual codeword, by contrast, is only as strong as its own guessing space and KDF cost — this is ordinary computational security, and it is squarely the operator’s responsibility to size correctly. Because shares are trial-matched independently (§3.4), a higher threshold D does not compensate for weak codewords: an attacker only ever needs to crack D individual codewords, each on its own merits, never the full set at once.</w:t>
      </w:r>
    </w:p>
    <w:p>
      <w:pPr>
        <w:pStyle w:val="Normal"/>
      </w:pPr>
      <w:r>
        <w:t xml:space="preserve">In short: raising trustee counts strengthens the collusion requirement; it does nothing for a codeword that is individually too weak. The two knobs must both be tuned, and neither substitutes for the other.</w:t>
      </w:r>
    </w:p>
    <w:bookmarkEnd w:id="88"/>
    <w:bookmarkStart w:id="92" w:name="Xa375f3a49bc45f2bda054498643188017cc268e"/>
    <w:p>
      <w:pPr>
        <w:pStyle w:val="Heading2"/>
      </w:pPr>
      <w:r>
        <w:t xml:space="preserve">6.2 Codeword Modes: Security and Usability Trade-offs</w:t>
      </w:r>
    </w:p>
    <w:p>
      <w:pPr>
        <w:pStyle w:val="Normal"/>
      </w:pPr>
      <w:r>
        <w:t xml:space="preserve">Three codeword generation modes are available, trading recall difficulty against density of entropy per character:</w:t>
      </w:r>
    </w:p>
    <w:bookmarkStart w:id="89" w:name="memorable-mode-default"/>
    <w:p>
      <w:pPr>
        <w:pStyle w:val="Heading3"/>
      </w:pPr>
      <w:r>
        <w:t xml:space="preserve">Memorable mode (default)</w:t>
      </w:r>
    </w:p>
    <w:p>
      <w:pPr>
        <w:pStyle w:val="Normal"/>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bookmarkEnd w:id="89"/>
    <w:bookmarkStart w:id="90" w:name="dictionary-mode"/>
    <w:p>
      <w:pPr>
        <w:pStyle w:val="Heading3"/>
      </w:pPr>
      <w:r>
        <w:t xml:space="preserve">Dictionary mode</w:t>
      </w:r>
    </w:p>
    <w:p>
      <w:pPr>
        <w:pStyle w:val="Normal"/>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90"/>
    <w:bookmarkStart w:id="91" w:name="synthetic-mode"/>
    <w:p>
      <w:pPr>
        <w:pStyle w:val="Heading3"/>
      </w:pPr>
      <w:r>
        <w:t xml:space="preserve">Synthetic mode</w:t>
      </w:r>
    </w:p>
    <w:p>
      <w:pPr>
        <w:pStyle w:val="Normal"/>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pPr>
      <w:r>
        <w:t xml:space="preserve">In every mode, word count is what actually establishes a real security margin — each additional word roughly multiplies the guessing space.</w:t>
      </w:r>
    </w:p>
    <w:bookmarkEnd w:id="91"/>
    <w:bookmarkEnd w:id="92"/>
    <w:bookmarkStart w:id="93" w:name="tuning-options"/>
    <w:p>
      <w:pPr>
        <w:pStyle w:val="Heading2"/>
      </w:pPr>
      <w:r>
        <w:t xml:space="preserve">6.3 Tuning Options</w:t>
      </w:r>
    </w:p>
    <w:p>
      <w:pPr>
        <w:pStyle w:val="Normal"/>
      </w:pPr>
      <w:r>
        <w:t xml:space="preserve">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bookmarkEnd w:id="93"/>
    <w:bookmarkStart w:id="94" w:name="X782e8c80a755a6e085e7bee581fd1b71e23ba45"/>
    <w:p>
      <w:pPr>
        <w:pStyle w:val="Heading2"/>
      </w:pPr>
      <w:r>
        <w:t xml:space="preserve">6.4 Impact of shardic-envelope and Ceremony Formation</w:t>
      </w:r>
    </w:p>
    <w:p>
      <w:pPr>
        <w:pStyle w:val="Normal"/>
      </w:pPr>
      <w:r>
        <w:t xml:space="preserve">Because §3.6’s construction changes what protects a codeword — a private key instead of human memory — it changes the analysis in this section rather than sitting outside it. The direct security benefit is removing the memorability ceiling that shapes §6.2 entirely: a codeword that only needs to survive one local decryption, immediately before use, can be made arbitrarily long and high-entropy with no usability penalty at all, pushing each individual codeword’s computational security arbitrarily close to §6.1’s information-theoretic guarantee. That gain relocates rather than eliminates the trust dependency: the trustee’s private key becomes a new single point of failure per share,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 §4.7 extends this trade-off specifically to SPAC ceremonies — including a field-deployment case where the memorized-codeword floor is the deliberately preferred choice, not merely an accepted compromise. §4.8 addresses the separate, composable question of where a SPAC trustee’s protection value comes from in the first place — DRBG-sourced by default, with the same memorized-codeword option enumerated against the specific cases where it is the better choice, and a worked explanation of why its lower bit count is an acceptable trade against the narrower threat it actually faces.</w:t>
      </w:r>
    </w:p>
    <w:bookmarkEnd w:id="94"/>
    <w:bookmarkStart w:id="95" w:name="X10b8fa728178da05b8bc469af95be994b08c851"/>
    <w:p>
      <w:pPr>
        <w:pStyle w:val="Heading2"/>
      </w:pPr>
      <w:r>
        <w:t xml:space="preserve">6.5 Security Considerations Specific to SPAC, Path Trustees, and Human-AI Policy Gates</w:t>
      </w:r>
    </w:p>
    <w:p>
      <w:pPr>
        <w:pStyle w:val="Normal"/>
      </w:pPr>
      <w:r>
        <w:t xml:space="preserve">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pPr>
      <w:r>
        <w:t xml:space="preserve">A normal D-of-T reconstruction condition allows any D valid shares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pPr>
      <w:r>
        <w:t xml:space="preserve">AI is a bounded policy evaluator — it is objective and impartial, but not a substitute for human judgment and accountability. Its inputs, policy version, identity, attestation key, and output expiry must be authenticated and auditable. Ambiguous or conflicting evidence must fail closed. AI attestation should likely never be a sole enablement mechanism, able to bypass human quorum, endpoint binding, independent approver validation, or server-side authorization.</w:t>
      </w:r>
    </w:p>
    <w:p>
      <w:pPr>
        <w:pStyle w:val="BodyText"/>
      </w:pPr>
      <w:r>
        <w:t xml:space="preserve">Non-repudiation is proof of a defined act, not intent. Cryptographic reconstruction can record authenticated contributions when each contributor uses a protected signing credential and the system retains verifiable evidence. It does not by itself resolve credential compromise, coercion, delegated access, or the legal meaning of a signature. Document these limits in the deployment CONOPS.</w:t>
      </w:r>
    </w:p>
    <w:bookmarkEnd w:id="95"/>
    <w:bookmarkStart w:id="96" w:name="X634e4239a69cf44915ce9d6a91560b64f9144ec"/>
    <w:p>
      <w:pPr>
        <w:pStyle w:val="Heading2"/>
      </w:pPr>
      <w:r>
        <w:t xml:space="preserve">6.6 Bypass Resistance: Software vs. Hardware-Anchored Enforcement</w:t>
      </w:r>
    </w:p>
    <w:p>
      <w:pPr>
        <w:pStyle w:val="Normal"/>
      </w:pPr>
      <w:r>
        <w:t xml:space="preserve">Non-bypassability claims must specify which bypass surface they cover. §7.2’s claim that threshold recovery</w:t>
      </w:r>
      <w:r>
        <w:t xml:space="preserve"> </w:t>
      </w:r>
      <w:r>
        <w:t xml:space="preserve">“</w:t>
      </w:r>
      <w:r>
        <w:t xml:space="preserve">cannot be bypassed by any administrator, insider, or software defect</w:t>
      </w:r>
      <w:r>
        <w:t xml:space="preserve">”</w:t>
      </w:r>
      <w:r>
        <w:t xml:space="preserve"> </w:t>
      </w:r>
      <w:r>
        <w:t xml:space="preserve">is exact for the cryptographic surface: no fewer than the required number of genuine shares will ever reconstruct the protected value, regardless of who administers the system. It does not, by itself, say anything about §4.6’s topological surface — whether the ceremony is actually invoked on a given deployment’s operational path.</w:t>
      </w:r>
    </w:p>
    <w:p>
      <w:pPr>
        <w:pStyle w:val="BodyText"/>
      </w:pPr>
      <w:r>
        <w:t xml:space="preserve">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§7.2 claims for the threshold math itself, because bypassing them requires compromising the same tamper-resistant hardware boundary — or physically defeating a circuit — rather than modifying software logic that runs outside it.</w:t>
      </w:r>
    </w:p>
    <w:p>
      <w:pPr>
        <w:pStyle w:val="BodyText"/>
      </w:pPr>
      <w:r>
        <w:t xml:space="preserve">A deployment that adopts SPAC to satisfy a genuine non-bypassability requirement, as opposed to a defense-in-depth improvement over the procedural baselines in §5.1–§5.2, should treat the software-only patterns as necessary but not sufficient, and select a CONOPS that reaches secure-element-internal sequencing or a physical interlock wherever the consequence of an undetected topological bypass would be unacceptable.</w:t>
      </w:r>
    </w:p>
    <w:bookmarkEnd w:id="96"/>
    <w:bookmarkEnd w:id="97"/>
    <w:bookmarkStart w:id="102" w:name="summary"/>
    <w:p>
      <w:pPr>
        <w:pStyle w:val="Heading1"/>
      </w:pPr>
      <w:r>
        <w:t xml:space="preserve">7. Summary</w:t>
      </w:r>
    </w:p>
    <w:bookmarkStart w:id="98" w:name="X716420817b7449a2ceffe86bbe95fc1471ca84c"/>
    <w:p>
      <w:pPr>
        <w:pStyle w:val="Heading2"/>
      </w:pPr>
      <w:r>
        <w:t xml:space="preserve">7.1 What Sets This Apart From Conventional Symmetric Encryption</w:t>
      </w:r>
    </w:p>
    <w:p>
      <w:pPr>
        <w:pStyle w:val="Normal"/>
      </w:pPr>
      <w:r>
        <w:t xml:space="preserve">Conventional symmetric file encryption answers the question</w:t>
      </w:r>
      <w:r>
        <w:t xml:space="preserve"> </w:t>
      </w:r>
      <w:r>
        <w:t xml:space="preserve">“</w:t>
      </w:r>
      <w:r>
        <w:t xml:space="preserve">how do we keep this secret?</w:t>
      </w:r>
      <w:r>
        <w:t xml:space="preserve">”</w:t>
      </w:r>
      <w:r>
        <w:t xml:space="preserve"> </w:t>
      </w:r>
      <w:r>
        <w:t xml:space="preserve">shardic answers a different question:</w:t>
      </w:r>
      <w:r>
        <w:t xml:space="preserve"> </w:t>
      </w:r>
      <w:r>
        <w:t xml:space="preserve">“</w:t>
      </w:r>
      <w:r>
        <w:t xml:space="preserve">how do we ensure no single party can unilaterally expose this secret — or invoke this capability?</w:t>
      </w:r>
      <w:r>
        <w:t xml:space="preserve">”</w:t>
      </w:r>
      <w:r>
        <w:t xml:space="preserve"> </w:t>
      </w:r>
      <w:r>
        <w:t xml:space="preserve">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share of it — whether that value decrypts a file, arms a protected action, attests to a payload’s network transit, or satisfies a hybrid objective-and-subjective authorization gate.</w:t>
      </w:r>
    </w:p>
    <w:p>
      <w:pPr>
        <w:pStyle w:val="BodyText"/>
      </w:pPr>
      <w:r>
        <w:t xml:space="preserve">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bookmarkEnd w:id="98"/>
    <w:bookmarkStart w:id="99" w:name="advantages"/>
    <w:p>
      <w:pPr>
        <w:pStyle w:val="Heading2"/>
      </w:pPr>
      <w:r>
        <w:t xml:space="preserve">7.2 Advantages</w:t>
      </w:r>
    </w:p>
    <w:p>
      <w:pPr>
        <w:numPr>
          <w:ilvl w:val="0"/>
          <w:numId w:val="1018"/>
        </w:numPr>
      </w:pPr>
      <w:r>
        <w:t xml:space="preserve">No lone-actor risk: recovery is mathematically impossible below the trustee threshold, not just procedurally discouraged.</w:t>
      </w:r>
    </w:p>
    <w:p>
      <w:pPr>
        <w:numPr>
          <w:ilvl w:val="0"/>
          <w:numId w:val="1018"/>
        </w:numPr>
      </w:pPr>
      <w:r>
        <w:t xml:space="preserve">Graceful tolerance of trustee loss: any D of T is sufficient, so the design survives unavailable, incapacitated, or non-cooperating trustees up to T − D of them.</w:t>
      </w:r>
    </w:p>
    <w:p>
      <w:pPr>
        <w:numPr>
          <w:ilvl w:val="0"/>
          <w:numId w:val="1018"/>
        </w:numPr>
      </w:pPr>
      <w:r>
        <w:t xml:space="preserve">Zero metadata leakage: the vault file alone reveals no trustee-to-share mapping, even under direct inspection or partial compromise.</w:t>
      </w:r>
    </w:p>
    <w:p>
      <w:pPr>
        <w:numPr>
          <w:ilvl w:val="0"/>
          <w:numId w:val="1018"/>
        </w:numPr>
      </w:pPr>
      <w:r>
        <w:t xml:space="preserve">Self-describing recovery: KDF method and parameters travel with the vault, so recovery never depends on external configuration matching what was used at creation.</w:t>
      </w:r>
    </w:p>
    <w:p>
      <w:pPr>
        <w:numPr>
          <w:ilvl w:val="0"/>
          <w:numId w:val="1018"/>
        </w:numPr>
      </w:pPr>
      <w:r>
        <w:t xml:space="preserve">A mandatory-signer variant (shardic-prime) is available without weakening the underlying guarantees, for cases where one specific role must always participate — and, per §4, that role generalizes to a hardware-embodied Fielded Prime Element with no new mathematics required.</w:t>
      </w:r>
    </w:p>
    <w:p>
      <w:pPr>
        <w:numPr>
          <w:ilvl w:val="0"/>
          <w:numId w:val="1018"/>
        </w:numPr>
      </w:pPr>
      <w:r>
        <w:t xml:space="preserve">Fail-closed behavior throughout: insufficient or incorrect codewords, unavailable KDF dependencies, or corrupted containers are reported explicitly and stop the operation — the design contains no silent-degradation path that would produce partial or misleading output.</w:t>
      </w:r>
    </w:p>
    <w:p>
      <w:pPr>
        <w:numPr>
          <w:ilvl w:val="0"/>
          <w:numId w:val="1018"/>
        </w:numPr>
      </w:pPr>
      <w:r>
        <w:t xml:space="preserve">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numPr>
          <w:ilvl w:val="0"/>
          <w:numId w:val="1018"/>
        </w:numPr>
      </w:pPr>
      <w:r>
        <w:t xml:space="preserve">Composable trustee classes: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w:t>
      </w:r>
    </w:p>
    <w:bookmarkEnd w:id="99"/>
    <w:bookmarkStart w:id="100" w:name="limitations-and-mitigations"/>
    <w:p>
      <w:pPr>
        <w:pStyle w:val="Heading2"/>
      </w:pPr>
      <w:r>
        <w:t xml:space="preserve">7.3 Limitations and Mitigations</w:t>
      </w:r>
    </w:p>
    <w:p>
      <w:pPr>
        <w:numPr>
          <w:ilvl w:val="0"/>
          <w:numId w:val="1019"/>
        </w:numPr>
      </w:pPr>
      <w:r>
        <w:t xml:space="preserve">Codeword strength is the real bottleneck for the base scheme, though largely moot with more advanced shardic-envelope-based ceremony systems. The Shamir/AES layer is effectively unbreakable; an individual codeword is only as strong as its generation mode, length, and count. Mitigation: use adequate word count, prefer Argon2id where available, and adopt shardic-envelope (§3.6) for trustees who can bear key custody.</w:t>
      </w:r>
    </w:p>
    <w:p>
      <w:pPr>
        <w:numPr>
          <w:ilvl w:val="0"/>
          <w:numId w:val="1019"/>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w:t>
      </w:r>
      <w:r>
        <w:t xml:space="preserve"> </w:t>
      </w:r>
      <w:r>
        <w:t xml:space="preserve">“</w:t>
      </w:r>
      <w:r>
        <w:t xml:space="preserve">break-glass</w:t>
      </w:r>
      <w:r>
        <w:t xml:space="preserve">”</w:t>
      </w:r>
      <w:r>
        <w:t xml:space="preserve"> </w:t>
      </w:r>
      <w:r>
        <w:t xml:space="preserve">access and deliberate-ceremony SPAC arming; frequent or live multi-party authorization should instead use threshold-signature schemes (e.g. FROST) or HSM-backed multisig.</w:t>
      </w:r>
    </w:p>
    <w:p>
      <w:pPr>
        <w:numPr>
          <w:ilvl w:val="0"/>
          <w:numId w:val="1019"/>
        </w:numPr>
      </w:pPr>
      <w:r>
        <w:t xml:space="preserve">The .krypt container, and by extension a CT SPAC bundle, is a single point of availability failure even though it is not a single point of access failure. Mitigation: back up the container durably; there is only one artifact to protect.</w:t>
      </w:r>
    </w:p>
    <w:p>
      <w:pPr>
        <w:numPr>
          <w:ilvl w:val="0"/>
          <w:numId w:val="1019"/>
        </w:numPr>
      </w:pPr>
      <w:r>
        <w:t xml:space="preserve">It doesn’t scale limitlessly — the system is implemented with a ceiling at 255 shares, but this makes practical sense for operational realities that max out at double-digit trustee counts. Mitigation: use it where it fits; the ceiling is an operational-practicality boundary, not a cryptographic one.</w:t>
      </w:r>
    </w:p>
    <w:p>
      <w:pPr>
        <w:numPr>
          <w:ilvl w:val="0"/>
          <w:numId w:val="1019"/>
        </w:numPr>
      </w:pPr>
      <w:r>
        <w:t xml:space="preserve">The SPAC extension (§4–§5) is, as stated throughout, an unimplemented design. Several parameters remain explicitly open rather than decided: the concrete LocalUnlockFactor category for a given deployment, the specific PUF/secure-element hardware to target, and the wire format for extraction-grant certificates. Mitigation: none of these gaps weaken the cryptographic core described in §3.1–§3.5, which every SPAC construction reuses unmodified — they are integration and deployment decisions, not open cryptographic questions.</w:t>
      </w:r>
    </w:p>
    <w:p>
      <w:pPr>
        <w:numPr>
          <w:ilvl w:val="0"/>
          <w:numId w:val="1019"/>
        </w:numPr>
      </w:pPr>
      <w:r>
        <w:t xml:space="preserve">AI trustee data-feed integrity is an open design question. The hybrid human-AI trustee model (§5.4) introduces a trust dependency on the authenticated data feeds that AI trustees evaluate against. The specific architecture for feed authentication, AI trustee agent hardening, and the wire format for AI trustee share contributions are not yet designed. Mitigation: treat AI trustee agents as shardware-token equivalents (§4.3) and require multi-source feed authentication as a design constraint from the outset.</w:t>
      </w:r>
    </w:p>
    <w:p>
      <w:pPr>
        <w:numPr>
          <w:ilvl w:val="0"/>
          <w:numId w:val="1019"/>
        </w:numPr>
      </w:pPr>
      <w:r>
        <w:t xml:space="preserve">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pPr>
      <w:r>
        <w:t xml:space="preserve">Taken together, these limitations describe the boundary of the problem this design is built to solve — rare, high-stakes recovery and authorization requiring genuine multi-party agreement — rather than deficiencies within that boundary. Within it,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bookmarkEnd w:id="100"/>
    <w:bookmarkStart w:id="101" w:name="footnotes"/>
    <w:p>
      <w:pPr>
        <w:pStyle w:val="Heading2"/>
      </w:pPr>
      <w:r>
        <w:t xml:space="preserve">Footnotes</w:t>
      </w:r>
    </w:p>
    <w:p>
      <w:pPr>
        <w:numPr>
          <w:ilvl w:val="0"/>
          <w:numId w:val="1020"/>
        </w:numPr>
        <w:pStyle w:val="Normal"/>
      </w:pPr>
      <w:r>
        <w:t xml:space="preserve">Conservative withholding policy (§5.4): ambiguous, conflicting, or unavailable AI trustee data feed inputs cause share withholding rather than contribution.</w:t>
      </w:r>
    </w:p>
    <w:p>
      <w:pPr>
        <w:pStyle w:val="Normal"/>
      </w:pPr>
      <w:r>
        <w:t xml:space="preserve">† Any 2 of 4 human trustees are sufficient for D_H in the representative §5.4 configuration. The remaining 2 may withhold without blocking reconstruction, provided D_AI is also satisfied.</w:t>
      </w:r>
    </w:p>
    <w:p>
      <w:pPr>
        <w:pStyle w:val="BodyText"/>
      </w:pPr>
      <w:r>
        <w:t xml:space="preserve">‡ The combiner verifies the combined receipt set (§5.3) independently of each individual node’s local verification. A node cannot produce a valid C_n without the predecessor’s actual signed output.</w:t>
      </w:r>
    </w:p>
    <w:p>
      <w:pPr>
        <w:pStyle w:val="BodyText"/>
      </w:pPr>
      <w:r>
        <w:t xml:space="preserve">§ The combined reconstruction gate at Tier 3 of Figure 5.4 is a defensive invariant check. If both Tier 2 sub-threshold gates passed, this gate is algebraically guaranteed to pass for the representative configuration shown.</w:t>
      </w:r>
    </w:p>
    <w:bookmarkEnd w:id="101"/>
    <w:bookmarkEnd w:id="102"/>
    <w:bookmarkStart w:id="106" w:name="related-work-and-differentiation"/>
    <w:p>
      <w:pPr>
        <w:pStyle w:val="Heading1"/>
      </w:pPr>
      <w:r>
        <w:t xml:space="preserve">8. Related Work and Differentiation</w:t>
      </w:r>
    </w:p>
    <w:p>
      <w:pPr>
        <w:pStyle w:val="Normal"/>
      </w:pPr>
      <w:r>
        <w:t xml:space="preserve">Status: self-assessment.</w:t>
      </w:r>
    </w:p>
    <w:p>
      <w:pPr>
        <w:pStyle w:val="BodyText"/>
      </w:pPr>
      <w:r>
        <w:t xml:space="preserve">§1.3 already draws one boundary in passing — this design is a poor fit for live, rotatable, online quorum, where threshold-signature schemes or HSM-backed multisig are the better tool. What follows makes that comparison complete rather than a single caveat, across every category of existing multi-party secret protection this paper is aware of, and then states plainly what survives that comparison as actually new — the part worth continued investment, as distinct from the part that is simply a well-built implementation of known techniques.</w:t>
      </w:r>
    </w:p>
    <w:bookmarkStart w:id="103" w:name="the-landscape"/>
    <w:p>
      <w:pPr>
        <w:pStyle w:val="Heading2"/>
      </w:pPr>
      <w:r>
        <w:t xml:space="preserve">8.1 The Landscape</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Category</w:t>
            </w:r>
          </w:p>
        </w:tc>
        <w:tc>
          <w:tcPr/>
          <w:p>
            <w:pPr>
              <w:pStyle w:val="Normal"/>
              <w:jc w:val="left"/>
            </w:pPr>
            <w:r>
              <w:t xml:space="preserve">Representative Examples</w:t>
            </w:r>
          </w:p>
        </w:tc>
        <w:tc>
          <w:tcPr/>
          <w:p>
            <w:pPr>
              <w:pStyle w:val="Normal"/>
              <w:jc w:val="left"/>
            </w:pPr>
            <w:r>
              <w:t xml:space="preserve">Core Mechanism</w:t>
            </w:r>
          </w:p>
        </w:tc>
        <w:tc>
          <w:tcPr/>
          <w:p>
            <w:pPr>
              <w:pStyle w:val="Normal"/>
              <w:jc w:val="left"/>
            </w:pPr>
            <w:r>
              <w:t xml:space="preserve">Overlap With shardic</w:t>
            </w:r>
          </w:p>
        </w:tc>
        <w:tc>
          <w:tcPr/>
          <w:p>
            <w:pPr>
              <w:pStyle w:val="Normal"/>
              <w:jc w:val="left"/>
            </w:pPr>
            <w:r>
              <w:t xml:space="preserve">Where It Diverges</w:t>
            </w:r>
          </w:p>
        </w:tc>
      </w:tr>
      <w:tr>
        <w:tc>
          <w:tcPr/>
          <w:p>
            <w:pPr>
              <w:pStyle w:val="Normal"/>
              <w:jc w:val="left"/>
            </w:pPr>
            <w:r>
              <w:t xml:space="preserve">Raw Shamir’s Secret Sharing implementations</w:t>
            </w:r>
          </w:p>
        </w:tc>
        <w:tc>
          <w:tcPr/>
          <w:p>
            <w:pPr>
              <w:pStyle w:val="Normal"/>
              <w:jc w:val="left"/>
            </w:pPr>
            <w:r>
              <w:rPr>
                <w:rStyle w:val="DefaultParagraphFont"/>
              </w:rPr>
              <w:t xml:space="preserve">ssss</w:t>
            </w:r>
            <w:r>
              <w:t xml:space="preserve"> </w:t>
            </w:r>
            <w:r>
              <w:t xml:space="preserve">(Poettering); assorted per-language SSS libraries</w:t>
            </w:r>
          </w:p>
        </w:tc>
        <w:tc>
          <w:tcPr/>
          <w:p>
            <w:pPr>
              <w:pStyle w:val="Normal"/>
              <w:jc w:val="left"/>
            </w:pPr>
            <w:r>
              <w:t xml:space="preserve">The same GF(256) polynomial construction as §3.2</w:t>
            </w:r>
          </w:p>
        </w:tc>
        <w:tc>
          <w:tcPr/>
          <w:p>
            <w:pPr>
              <w:pStyle w:val="Normal"/>
              <w:jc w:val="left"/>
            </w:pPr>
            <w:r>
              <w:t xml:space="preserve">Identical mathematical core; shares carry zero information below threshold</w:t>
            </w:r>
          </w:p>
        </w:tc>
        <w:tc>
          <w:tcPr/>
          <w:p>
            <w:pPr>
              <w:pStyle w:val="Normal"/>
              <w:jc w:val="left"/>
            </w:pPr>
            <w:r>
              <w:t xml:space="preserve">Primitive only — no container format, no codeword-derived share protection, no zero-leakage indexing, no ceremony lifecycle, no generalization beyond a single split</w:t>
            </w:r>
          </w:p>
        </w:tc>
      </w:tr>
      <w:tr>
        <w:tc>
          <w:tcPr/>
          <w:p>
            <w:pPr>
              <w:pStyle w:val="Normal"/>
              <w:jc w:val="left"/>
            </w:pPr>
            <w:r>
              <w:t xml:space="preserve">Secrets-management platforms with Shamir-based unseal</w:t>
            </w:r>
          </w:p>
        </w:tc>
        <w:tc>
          <w:tcPr/>
          <w:p>
            <w:pPr>
              <w:pStyle w:val="Normal"/>
              <w:jc w:val="left"/>
            </w:pPr>
            <w:r>
              <w:t xml:space="preserve">HashiCorp Vault’s unseal-key mechanism</w:t>
            </w:r>
          </w:p>
        </w:tc>
        <w:tc>
          <w:tcPr/>
          <w:p>
            <w:pPr>
              <w:pStyle w:val="Normal"/>
              <w:jc w:val="left"/>
            </w:pPr>
            <w:r>
              <w:t xml:space="preserve">M-of-N key shares, distributed once at initialization, unseal a running service’s own master key</w:t>
            </w:r>
          </w:p>
        </w:tc>
        <w:tc>
          <w:tcPr/>
          <w:p>
            <w:pPr>
              <w:pStyle w:val="Normal"/>
              <w:jc w:val="left"/>
            </w:pPr>
            <w:r>
              <w:t xml:space="preserve">Same underlying math protecting a root secret</w:t>
            </w:r>
          </w:p>
        </w:tc>
        <w:tc>
          <w:tcPr/>
          <w:p>
            <w:pPr>
              <w:pStyle w:val="Normal"/>
              <w:jc w:val="left"/>
            </w:pPr>
            <w:r>
              <w:t xml:space="preserve">Protects a live server’s restart step, not a portable standalone artifact; unseal keys are typically raw output known to belong to a fixed N, with no equivalent to §3.4’s zero-leakage indexing; built for a service coming back online, not deliberate, rare, offline break-glass recovery</w:t>
            </w:r>
          </w:p>
        </w:tc>
      </w:tr>
      <w:tr>
        <w:tc>
          <w:tcPr/>
          <w:p>
            <w:pPr>
              <w:pStyle w:val="Normal"/>
              <w:jc w:val="left"/>
            </w:pPr>
            <w:r>
              <w:t xml:space="preserve">Multi-party approval in cloud KMS</w:t>
            </w:r>
          </w:p>
        </w:tc>
        <w:tc>
          <w:tcPr/>
          <w:p>
            <w:pPr>
              <w:pStyle w:val="Normal"/>
              <w:jc w:val="left"/>
            </w:pPr>
            <w:r>
              <w:t xml:space="preserve">AWS/GCP/Azure key policies requiring multiple IAM principals</w:t>
            </w:r>
          </w:p>
        </w:tc>
        <w:tc>
          <w:tcPr/>
          <w:p>
            <w:pPr>
              <w:pStyle w:val="Normal"/>
              <w:jc w:val="left"/>
            </w:pPr>
            <w:r>
              <w:t xml:space="preserve">Application/IAM-policy-layer gating of a sensitive operation</w:t>
            </w:r>
          </w:p>
        </w:tc>
        <w:tc>
          <w:tcPr/>
          <w:p>
            <w:pPr>
              <w:pStyle w:val="Normal"/>
              <w:jc w:val="left"/>
            </w:pPr>
            <w:r>
              <w:t xml:space="preserve">Multi-party gating of the same kind of sensitive action</w:t>
            </w:r>
          </w:p>
        </w:tc>
        <w:tc>
          <w:tcPr/>
          <w:p>
            <w:pPr>
              <w:pStyle w:val="Normal"/>
              <w:jc w:val="left"/>
            </w:pPr>
            <w:r>
              <w:t xml:space="preserve">Enforced by software policy, not information-theoretic math — precisely the</w:t>
            </w:r>
            <w:r>
              <w:t xml:space="preserve"> </w:t>
            </w:r>
            <w:r>
              <w:t xml:space="preserve">“</w:t>
            </w:r>
            <w:r>
              <w:t xml:space="preserve">who administers it can bypass it</w:t>
            </w:r>
            <w:r>
              <w:t xml:space="preserve">”</w:t>
            </w:r>
            <w:r>
              <w:t xml:space="preserve"> </w:t>
            </w:r>
            <w:r>
              <w:t xml:space="preserve">gap §7.1 names; requires live provider connectivity; no analog to Shamir’s below-threshold zero-information guarantee</w:t>
            </w:r>
          </w:p>
        </w:tc>
      </w:tr>
      <w:tr>
        <w:tc>
          <w:tcPr/>
          <w:p>
            <w:pPr>
              <w:pStyle w:val="Normal"/>
              <w:jc w:val="left"/>
            </w:pPr>
            <w:r>
              <w:t xml:space="preserve">Threshold-signature / MPC schemes</w:t>
            </w:r>
          </w:p>
        </w:tc>
        <w:tc>
          <w:tcPr/>
          <w:p>
            <w:pPr>
              <w:pStyle w:val="Normal"/>
              <w:jc w:val="left"/>
            </w:pPr>
            <w:r>
              <w:t xml:space="preserve">FROST, threshold-ECDSA constructions, MPC custody platforms</w:t>
            </w:r>
          </w:p>
        </w:tc>
        <w:tc>
          <w:tcPr/>
          <w:p>
            <w:pPr>
              <w:pStyle w:val="Normal"/>
              <w:jc w:val="left"/>
            </w:pPr>
            <w:r>
              <w:t xml:space="preserve">Live, rotatable, cryptographically strong multi-party signing protocols</w:t>
            </w:r>
          </w:p>
        </w:tc>
        <w:tc>
          <w:tcPr/>
          <w:p>
            <w:pPr>
              <w:pStyle w:val="Normal"/>
              <w:jc w:val="left"/>
            </w:pPr>
            <w:r>
              <w:t xml:space="preserve">Strong multi-party control, already the better tool for the live/online case per §1.3, §7.3</w:t>
            </w:r>
          </w:p>
        </w:tc>
        <w:tc>
          <w:tcPr/>
          <w:p>
            <w:pPr>
              <w:pStyle w:val="Normal"/>
              <w:jc w:val="left"/>
            </w:pPr>
            <w:r>
              <w:t xml:space="preserve">shardic is deliberately static and split-once; these solve the case shardic explicitly disclaims — a neighboring tool for a different operating profile, not a competitor</w:t>
            </w:r>
          </w:p>
        </w:tc>
      </w:tr>
      <w:tr>
        <w:tc>
          <w:tcPr/>
          <w:p>
            <w:pPr>
              <w:pStyle w:val="Normal"/>
              <w:jc w:val="left"/>
            </w:pPr>
            <w:r>
              <w:t xml:space="preserve">Enterprise HSM key-custodian recovery</w:t>
            </w:r>
          </w:p>
        </w:tc>
        <w:tc>
          <w:tcPr/>
          <w:p>
            <w:pPr>
              <w:pStyle w:val="Normal"/>
              <w:jc w:val="left"/>
            </w:pPr>
            <w:r>
              <w:t xml:space="preserve">M-of-N smart-card custodian schemes offered by HSM vendors for master-key backup/restore</w:t>
            </w:r>
          </w:p>
        </w:tc>
        <w:tc>
          <w:tcPr/>
          <w:p>
            <w:pPr>
              <w:pStyle w:val="Normal"/>
              <w:jc w:val="left"/>
            </w:pPr>
            <w:r>
              <w:t xml:space="preserve">Physical distribution of shares to named custodians, reconstruction only in a rare/emergency event</w:t>
            </w:r>
          </w:p>
        </w:tc>
        <w:tc>
          <w:tcPr/>
          <w:p>
            <w:pPr>
              <w:pStyle w:val="Normal"/>
              <w:jc w:val="left"/>
            </w:pPr>
            <w:r>
              <w:t xml:space="preserve">The closest commercial analog to §1.3’s break-glass use case</w:t>
            </w:r>
          </w:p>
        </w:tc>
        <w:tc>
          <w:tcPr/>
          <w:p>
            <w:pPr>
              <w:pStyle w:val="Normal"/>
              <w:jc w:val="left"/>
            </w:pPr>
            <w:r>
              <w:t xml:space="preserve">Tied to one vendor’s proprietary hardware and format; no equivalent to a portable, vendor-neutral, self-describing single-file container; no generalization beyond that one HSM’s own key material</w:t>
            </w:r>
          </w:p>
        </w:tc>
      </w:tr>
      <w:tr>
        <w:tc>
          <w:tcPr/>
          <w:p>
            <w:pPr>
              <w:pStyle w:val="Normal"/>
              <w:jc w:val="left"/>
            </w:pPr>
            <w:r>
              <w:t xml:space="preserve">Cryptocurrency multisig / social recovery</w:t>
            </w:r>
          </w:p>
        </w:tc>
        <w:tc>
          <w:tcPr/>
          <w:p>
            <w:pPr>
              <w:pStyle w:val="Normal"/>
              <w:jc w:val="left"/>
            </w:pPr>
            <w:r>
              <w:t xml:space="preserve">Guardian-based smart-contract wallets, hardware-wallet multisig, BIP39 seed phrases (already compared directly in §4.8)</w:t>
            </w:r>
          </w:p>
        </w:tc>
        <w:tc>
          <w:tcPr/>
          <w:p>
            <w:pPr>
              <w:pStyle w:val="Normal"/>
              <w:jc w:val="left"/>
            </w:pPr>
            <w:r>
              <w:t xml:space="preserve">Multiple independent signatures required on a transaction</w:t>
            </w:r>
          </w:p>
        </w:tc>
        <w:tc>
          <w:tcPr/>
          <w:p>
            <w:pPr>
              <w:pStyle w:val="Normal"/>
              <w:jc w:val="left"/>
            </w:pPr>
            <w:r>
              <w:t xml:space="preserve">Multi-party authorization as a governing concept</w:t>
            </w:r>
          </w:p>
        </w:tc>
        <w:tc>
          <w:tcPr/>
          <w:p>
            <w:pPr>
              <w:pStyle w:val="Normal"/>
              <w:jc w:val="left"/>
            </w:pPr>
            <w:r>
              <w:t xml:space="preserve">On-chain multisig requires several independent signatures, not reconstruction of one shared secret; no equivalent to zero-leakage indexing or a single portable ciphertext artifact</w:t>
            </w:r>
          </w:p>
        </w:tc>
      </w:tr>
      <w:tr>
        <w:tc>
          <w:tcPr/>
          <w:p>
            <w:pPr>
              <w:pStyle w:val="Normal"/>
              <w:jc w:val="left"/>
            </w:pPr>
            <w:r>
              <w:t xml:space="preserve">Two-Person Integrity / Permissive Action Link hardware</w:t>
            </w:r>
          </w:p>
        </w:tc>
        <w:tc>
          <w:tcPr/>
          <w:p>
            <w:pPr>
              <w:pStyle w:val="Normal"/>
              <w:jc w:val="left"/>
            </w:pPr>
            <w:r>
              <w:t xml:space="preserve">Fielded PAL systems (§4.1’s cited precedent)</w:t>
            </w:r>
          </w:p>
        </w:tc>
        <w:tc>
          <w:tcPr/>
          <w:p>
            <w:pPr>
              <w:pStyle w:val="Normal"/>
              <w:jc w:val="left"/>
            </w:pPr>
            <w:r>
              <w:t xml:space="preserve">Dedicated, certified physical/electronic interlock hardware and procedure</w:t>
            </w:r>
          </w:p>
        </w:tc>
        <w:tc>
          <w:tcPr/>
          <w:p>
            <w:pPr>
              <w:pStyle w:val="Normal"/>
              <w:jc w:val="left"/>
            </w:pPr>
            <w:r>
              <w:t xml:space="preserve">The organizational</w:t>
            </w:r>
            <w:r>
              <w:t xml:space="preserve"> </w:t>
            </w:r>
            <w:r>
              <w:t xml:space="preserve">“</w:t>
            </w:r>
            <w:r>
              <w:t xml:space="preserve">no single actor</w:t>
            </w:r>
            <w:r>
              <w:t xml:space="preserve">”</w:t>
            </w:r>
            <w:r>
              <w:t xml:space="preserve"> </w:t>
            </w:r>
            <w:r>
              <w:t xml:space="preserve">pattern SPAC generalizes</w:t>
            </w:r>
          </w:p>
        </w:tc>
        <w:tc>
          <w:tcPr/>
          <w:p>
            <w:pPr>
              <w:pStyle w:val="Normal"/>
              <w:jc w:val="left"/>
            </w:pPr>
            <w:r>
              <w:t xml:space="preserve">Purpose-built, certified hardware for one specific mission, not general-purpose portable software; not designed to gate arbitrary capabilities the way §4.2’s Fielded Prime Element abstraction is</w:t>
            </w:r>
          </w:p>
        </w:tc>
      </w:tr>
    </w:tbl>
    <w:bookmarkEnd w:id="103"/>
    <w:bookmarkStart w:id="104" w:name="what-is-actually-novel-here"/>
    <w:p>
      <w:pPr>
        <w:pStyle w:val="Heading2"/>
      </w:pPr>
      <w:r>
        <w:t xml:space="preserve">8.2 What Is Actually Novel Here</w:t>
      </w:r>
    </w:p>
    <w:p>
      <w:pPr>
        <w:numPr>
          <w:ilvl w:val="0"/>
          <w:numId w:val="1021"/>
        </w:numPr>
      </w:pPr>
      <w:r>
        <w:rPr>
          <w:bCs/>
          <w:b/>
        </w:rPr>
        <w:t xml:space="preserve">Zero-leakage indexing as a stated design goal (§3.4).</w:t>
      </w:r>
      <w:r>
        <w:t xml:space="preserve"> </w:t>
      </w:r>
      <w:r>
        <w:t xml:space="preserve">Brute-trial share matching against the AES-GCM auth tag, with no share-to-trustee mapping ever recorded, is not merely a possible property of Shamir’s math — it is a deliberate choice this paper’s review of §8.1 found no equivalent to. Most surveyed systems either record who holds which share for operational reasons, or sidestep the question because shares aren’t a persisted artifact at all (the threshold-signature/MPC row).</w:t>
      </w:r>
    </w:p>
    <w:p>
      <w:pPr>
        <w:numPr>
          <w:ilvl w:val="0"/>
          <w:numId w:val="1021"/>
        </w:numPr>
      </w:pPr>
      <w:r>
        <w:rPr>
          <w:bCs/>
          <w:b/>
        </w:rPr>
        <w:t xml:space="preserve">The Fielded Prime Element hardware-binding construction (§4.2).</w:t>
      </w:r>
      <w:r>
        <w:t xml:space="preserve"> </w:t>
      </w:r>
      <w:r>
        <w:t xml:space="preserve">Binding reconstruction to one specific piece of fielded silicon by substituting the mask input with a hardware-sealed secret, reusing the mask/pool one-time-pad math completely unmodified, is a specific, non-obvious application of existing cryptography to a binding problem — not a new primitive, but a use of one that §8.1’s categories don’t address.</w:t>
      </w:r>
    </w:p>
    <w:p>
      <w:pPr>
        <w:numPr>
          <w:ilvl w:val="0"/>
          <w:numId w:val="1021"/>
        </w:numPr>
      </w:pPr>
      <w:r>
        <w:rPr>
          <w:bCs/>
          <w:b/>
        </w:rPr>
        <w:t xml:space="preserve">The SPAC generalization itself (§4.1).</w:t>
      </w:r>
      <w:r>
        <w:t xml:space="preserve"> </w:t>
      </w:r>
      <w:r>
        <w:t xml:space="preserve">None of §8.1’s categories treats threshold secret sharing as a general capability-gating framework: each solves one fixed application (unseal, KMS approval, signing, wallet custody, one certified PAL mission). §4’s formal structure — named roles (§4.4), a four-tier non-bypassable-invocation taxonomy (§4.6), two independent composable axes for delivery and entropy source (§4.7–§4.8) — is what generalizes the pattern rather than instantiating it once more.</w:t>
      </w:r>
    </w:p>
    <w:p>
      <w:pPr>
        <w:numPr>
          <w:ilvl w:val="0"/>
          <w:numId w:val="1021"/>
        </w:numPr>
      </w:pPr>
      <w:r>
        <w:rPr>
          <w:bCs/>
          <w:b/>
        </w:rPr>
        <w:t xml:space="preserve">Composable trustee classes (§5.3–§5.4, §7.2).</w:t>
      </w:r>
      <w:r>
        <w:t xml:space="preserve"> </w:t>
      </w:r>
      <w:r>
        <w:t xml:space="preserve">Human, hardware relay/path, and bounded-AI-evaluator trustees participating in the same threshold framework under an explicit AND-composition rule across classes has no counterpart in §8.1 — and is particularly timely given the direction of</w:t>
      </w:r>
      <w:r>
        <w:t xml:space="preserve"> </w:t>
      </w:r>
      <w:r>
        <w:t xml:space="preserve">“</w:t>
      </w:r>
      <w:r>
        <w:t xml:space="preserve">human-in-the-loop</w:t>
      </w:r>
      <w:r>
        <w:t xml:space="preserve">”</w:t>
      </w:r>
      <w:r>
        <w:t xml:space="preserve"> </w:t>
      </w:r>
      <w:r>
        <w:t xml:space="preserve">governance requirements for autonomous and AI-assisted systems.</w:t>
      </w:r>
    </w:p>
    <w:p>
      <w:pPr>
        <w:pStyle w:val="Normal"/>
      </w:pPr>
      <w:r>
        <w:t xml:space="preserve">These are this paper’s own findings against the categories it surveyed, not a freedom-to-operate opinion or a patentability determination — both require patent counsel and a formal prior-art search beyond a whitepaper’s own literature review.</w:t>
      </w:r>
    </w:p>
    <w:bookmarkEnd w:id="104"/>
    <w:bookmarkStart w:id="105" w:name="X354fdaa8954831469238c0bdd2f126a11313917"/>
    <w:p>
      <w:pPr>
        <w:pStyle w:val="Heading2"/>
      </w:pPr>
      <w:r>
        <w:t xml:space="preserve">8.3 Why This Differentiation Is the Better Investment</w:t>
      </w:r>
    </w:p>
    <w:p>
      <w:pPr>
        <w:numPr>
          <w:ilvl w:val="0"/>
          <w:numId w:val="1022"/>
        </w:numPr>
      </w:pPr>
      <w:r>
        <w:t xml:space="preserve">The base scheme alone (§1–§3) sits on largely unprotectable ground: Shamir’s construction is public, 45-year-old mathematics, and general-purpose implementations of it already exist as prior art (§8.1’s first row). Funding that stops there funds a well-executed, useful, but not independently defensible reimplementation of a known technique — not an asset that compounds in value or supports an exclusive market position.</w:t>
      </w:r>
    </w:p>
    <w:p>
      <w:pPr>
        <w:numPr>
          <w:ilvl w:val="0"/>
          <w:numId w:val="1022"/>
        </w:numPr>
      </w:pPr>
      <w:r>
        <w:t xml:space="preserve">The differentiation identified in §8.2 lives entirely in the SPAC layer — which is exactly the layer §9’s TRL rating puts at TRL 2, architecture only, nothing built. A whitepaper description is evidence of conception, not a defensible or marketable asset on its own; a built, exercised, demonstrable implementation is what a later patent filing, licensing conversation, or acquisition discussion actually needs to point to.</w:t>
      </w:r>
    </w:p>
    <w:p>
      <w:pPr>
        <w:numPr>
          <w:ilvl w:val="0"/>
          <w:numId w:val="1022"/>
        </w:numPr>
      </w:pPr>
      <w:r>
        <w:t xml:space="preserve">This is what reframes §10’s PoC phases 2–4 as more than a maturity exercise: that funded work is specifically what converts the differentiated, higher-value layer from a paper description into a reduction-to-practice record — the concrete artifact that IP counsel, an investor, or an acquirer would want to see before valuing this above</w:t>
      </w:r>
      <w:r>
        <w:t xml:space="preserve"> </w:t>
      </w:r>
      <w:r>
        <w:t xml:space="preserve">“</w:t>
      </w:r>
      <w:r>
        <w:t xml:space="preserve">a well-executed reimplementation of Shamir’s Secret Sharing,</w:t>
      </w:r>
      <w:r>
        <w:t xml:space="preserve">”</w:t>
      </w:r>
      <w:r>
        <w:t xml:space="preserve"> </w:t>
      </w:r>
      <w:r>
        <w:t xml:space="preserve">which is a commodity buildable elsewhere for materially less.</w:t>
      </w:r>
    </w:p>
    <w:p>
      <w:pPr>
        <w:numPr>
          <w:ilvl w:val="0"/>
          <w:numId w:val="1022"/>
        </w:numPr>
      </w:pPr>
      <w:r>
        <w:t xml:space="preserve">One item this framing surfaces without resolving: no license or IP-ownership terms currently exist for this project. That is a decision worth making deliberately — and ideally before any funded work adds patent-relevant material — since it determines who would hold rights to what continued development produces. §11 gives the fuller treatment, including one consequence of this whitepaper’s own distribution that is time-sensitive independent of when that broader decision gets made.</w:t>
      </w:r>
    </w:p>
    <w:bookmarkEnd w:id="105"/>
    <w:bookmarkEnd w:id="106"/>
    <w:bookmarkStart w:id="110" w:name="technology-readiness"/>
    <w:p>
      <w:pPr>
        <w:pStyle w:val="Heading1"/>
      </w:pPr>
      <w:r>
        <w:t xml:space="preserve">9. Technology Readiness</w:t>
      </w:r>
    </w:p>
    <w:p>
      <w:pPr>
        <w:pStyle w:val="Normal"/>
      </w:pPr>
      <w:r>
        <w:t xml:space="preserve">Status: self-assessment.</w:t>
      </w:r>
    </w:p>
    <w:p>
      <w:pPr>
        <w:pStyle w:val="BodyText"/>
      </w:pPr>
      <w:r>
        <w:t xml:space="preserve">This project’s own Implemented / Design proposal / Illustrative legend (Reader’s Guide) already separates what runs from what is specified from what is sketched. Technology Readiness Level (TRL) — the 1–9 maturity scale used throughout DoD and NASA acquisition — is a more granular, more widely recognized vocabulary for the same distinction, and the one a funder is likeliest to actually score against. What follows maps this paper’s components onto that scale, states the specific basis for each rating, and is explicit about what a self-assessment can and cannot claim on its own.</w:t>
      </w:r>
    </w:p>
    <w:bookmarkStart w:id="107" w:name="rating-by-component"/>
    <w:p>
      <w:pPr>
        <w:pStyle w:val="Heading2"/>
      </w:pPr>
      <w:r>
        <w:t xml:space="preserve">9.1 Rating by Component</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Component</w:t>
            </w:r>
          </w:p>
        </w:tc>
        <w:tc>
          <w:tcPr/>
          <w:p>
            <w:pPr>
              <w:pStyle w:val="Normal"/>
              <w:jc w:val="left"/>
            </w:pPr>
            <w:r>
              <w:t xml:space="preserve">This Paper’s Status</w:t>
            </w:r>
          </w:p>
        </w:tc>
        <w:tc>
          <w:tcPr/>
          <w:p>
            <w:pPr>
              <w:pStyle w:val="Normal"/>
              <w:jc w:val="left"/>
            </w:pPr>
            <w:r>
              <w:t xml:space="preserve">Self-Rated TRL</w:t>
            </w:r>
          </w:p>
        </w:tc>
        <w:tc>
          <w:tcPr/>
          <w:p>
            <w:pPr>
              <w:pStyle w:val="Normal"/>
              <w:jc w:val="left"/>
            </w:pPr>
            <w:r>
              <w:t xml:space="preserve">Basis</w:t>
            </w:r>
          </w:p>
        </w:tc>
      </w:tr>
      <w:tr>
        <w:tc>
          <w:tcPr/>
          <w:p>
            <w:pPr>
              <w:pStyle w:val="Normal"/>
              <w:jc w:val="left"/>
            </w:pPr>
            <w:r>
              <w:t xml:space="preserve">Base scheme, shardic-envelope, ceremony formation (§1–§3.7)</w:t>
            </w:r>
          </w:p>
        </w:tc>
        <w:tc>
          <w:tcPr/>
          <w:p>
            <w:pPr>
              <w:pStyle w:val="Normal"/>
              <w:jc w:val="left"/>
            </w:pPr>
            <w:r>
              <w:t xml:space="preserve">Implemented</w:t>
            </w:r>
          </w:p>
        </w:tc>
        <w:tc>
          <w:tcPr/>
          <w:p>
            <w:pPr>
              <w:pStyle w:val="Normal"/>
              <w:jc w:val="left"/>
            </w:pPr>
            <w:r>
              <w:t xml:space="preserve">TRL 4 — component/system validated in a laboratory environment</w:t>
            </w:r>
          </w:p>
        </w:tc>
        <w:tc>
          <w:tcPr/>
          <w:p>
            <w:pPr>
              <w:pStyle w:val="Normal"/>
              <w:jc w:val="left"/>
            </w:pPr>
            <w:r>
              <w:t xml:space="preserve">Running CLI and GUI frontends, packaged builds (AppImage; the Windows build script is written but has never been run, per the project’s own open items), validated by repeated manual create→recover→diff round trips and</w:t>
            </w:r>
            <w:r>
              <w:t xml:space="preserve"> </w:t>
            </w:r>
            <w:r>
              <w:rPr>
                <w:rStyle w:val="DefaultParagraphFont"/>
              </w:rPr>
              <w:t xml:space="preserve">gf256_sss.py</w:t>
            </w:r>
            <w:r>
              <w:t xml:space="preserve">’s built-in self-tests. Not rated higher: no automated regression suite yet, no independent or third-party cryptographic review, and no exercise outside the developer’s own environment — nothing here has been through a</w:t>
            </w:r>
            <w:r>
              <w:t xml:space="preserve"> </w:t>
            </w:r>
            <w:r>
              <w:t xml:space="preserve">“</w:t>
            </w:r>
            <w:r>
              <w:t xml:space="preserve">relevant environment</w:t>
            </w:r>
            <w:r>
              <w:t xml:space="preserve">”</w:t>
            </w:r>
            <w:r>
              <w:t xml:space="preserve"> </w:t>
            </w:r>
            <w:r>
              <w:t xml:space="preserve">in TRL 5’s sense.</w:t>
            </w:r>
          </w:p>
        </w:tc>
      </w:tr>
      <w:tr>
        <w:tc>
          <w:tcPr/>
          <w:p>
            <w:pPr>
              <w:pStyle w:val="Normal"/>
              <w:jc w:val="left"/>
            </w:pPr>
            <w:r>
              <w:t xml:space="preserve">SPAC core: Fielded Prime Element, shardware-token, non-bypassable invocation, roles and governance (§4)</w:t>
            </w:r>
          </w:p>
        </w:tc>
        <w:tc>
          <w:tcPr/>
          <w:p>
            <w:pPr>
              <w:pStyle w:val="Normal"/>
              <w:jc w:val="left"/>
            </w:pPr>
            <w:r>
              <w:t xml:space="preserve">Design proposal</w:t>
            </w:r>
          </w:p>
        </w:tc>
        <w:tc>
          <w:tcPr/>
          <w:p>
            <w:pPr>
              <w:pStyle w:val="Normal"/>
              <w:jc w:val="left"/>
            </w:pPr>
            <w:r>
              <w:t xml:space="preserve">TRL 2 — concept and application formulated</w:t>
            </w:r>
          </w:p>
        </w:tc>
        <w:tc>
          <w:tcPr/>
          <w:p>
            <w:pPr>
              <w:pStyle w:val="Normal"/>
              <w:jc w:val="left"/>
            </w:pPr>
            <w:r>
              <w:t xml:space="preserve">§4.2 documents that this reuses the base scheme’s already-validated construction through one specific, unmodified substitution — the cryptography is not the open risk here. What is unbuilt is the system around it: hardware binding, role separation, extraction-grant ceremonies exist only as architecture. No code, no lab exercise of the SPAC system as a whole. Vignettes A and B (§5.1–§5.2) apply this same machinery through named roles and inherit this rating rather than earning a separate one.</w:t>
            </w:r>
          </w:p>
        </w:tc>
      </w:tr>
      <w:tr>
        <w:tc>
          <w:tcPr/>
          <w:p>
            <w:pPr>
              <w:pStyle w:val="Normal"/>
              <w:jc w:val="left"/>
            </w:pPr>
            <w:r>
              <w:t xml:space="preserve">Path-trustee network integrity; hybrid human-AI policy gates (§5.3–§5.4)</w:t>
            </w:r>
          </w:p>
        </w:tc>
        <w:tc>
          <w:tcPr/>
          <w:p>
            <w:pPr>
              <w:pStyle w:val="Normal"/>
              <w:jc w:val="left"/>
            </w:pPr>
            <w:r>
              <w:t xml:space="preserve">Illustrative, notional</w:t>
            </w:r>
          </w:p>
        </w:tc>
        <w:tc>
          <w:tcPr/>
          <w:p>
            <w:pPr>
              <w:pStyle w:val="Normal"/>
              <w:jc w:val="left"/>
            </w:pPr>
            <w:r>
              <w:t xml:space="preserve">TRL 1 — basic principles observed and reported</w:t>
            </w:r>
          </w:p>
        </w:tc>
        <w:tc>
          <w:tcPr/>
          <w:p>
            <w:pPr>
              <w:pStyle w:val="Normal"/>
              <w:jc w:val="left"/>
            </w:pPr>
            <w:r>
              <w:t xml:space="preserve">The individual building blocks — signed receipt chains, independent-gate AND composition — are established patterns on their own. Their specific combination here is sketched, not specified: §7.3 already names the wire format for AI trustee share contributions and the feed-authentication architecture as undesigned. Rated below §4 because §4 has reached architecture-level resolution (named roles, mechanism tables, threat trade-offs) that these two have not yet reached.</w:t>
            </w:r>
          </w:p>
        </w:tc>
      </w:tr>
    </w:tbl>
    <w:bookmarkEnd w:id="107"/>
    <w:bookmarkStart w:id="108" w:name="caveats-on-this-self-assessment"/>
    <w:p>
      <w:pPr>
        <w:pStyle w:val="Heading2"/>
      </w:pPr>
      <w:r>
        <w:t xml:space="preserve">9.2 Caveats on This Self-Assessment</w:t>
      </w:r>
    </w:p>
    <w:p>
      <w:pPr>
        <w:numPr>
          <w:ilvl w:val="0"/>
          <w:numId w:val="1023"/>
        </w:numPr>
        <w:pStyle w:val="Normal"/>
      </w:pPr>
      <w:r>
        <w:rPr>
          <w:bCs/>
          <w:b/>
        </w:rPr>
        <w:t xml:space="preserve">Self-assessed, not independently validated.</w:t>
      </w:r>
      <w:r>
        <w:t xml:space="preserve"> </w:t>
      </w:r>
      <w:r>
        <w:t xml:space="preserve">A TRL determination that matters to a funding decision is normally produced or confirmed by an assessor independent of the team proposing the work. Treat the table above as a starting position for that conversation, not a substitute for it.</w:t>
      </w:r>
    </w:p>
    <w:p>
      <w:pPr>
        <w:numPr>
          <w:ilvl w:val="0"/>
          <w:numId w:val="1023"/>
        </w:numPr>
        <w:pStyle w:val="Normal"/>
      </w:pPr>
      <w:r>
        <w:rPr>
          <w:bCs/>
          <w:b/>
        </w:rPr>
        <w:t xml:space="preserve">TRL measures what has been built and exercised, not how carefully it has been designed.</w:t>
      </w:r>
      <w:r>
        <w:t xml:space="preserve"> </w:t>
      </w:r>
      <w:r>
        <w:t xml:space="preserve">§4’s unusual level of architectural detail for a TRL 2 item — role tables, threat trade-offs, a four-tier bypass-resistance taxonomy — reflects design rigor, not built-and-tested status. The rating tracks the latter only.</w:t>
      </w:r>
    </w:p>
    <w:p>
      <w:pPr>
        <w:numPr>
          <w:ilvl w:val="0"/>
          <w:numId w:val="1023"/>
        </w:numPr>
        <w:pStyle w:val="Normal"/>
      </w:pPr>
      <w:r>
        <w:rPr>
          <w:bCs/>
          <w:b/>
        </w:rPr>
        <w:t xml:space="preserve">The scale doesn’t natively distinguish</w:t>
      </w:r>
      <w:r>
        <w:rPr>
          <w:bCs/>
          <w:b/>
        </w:rPr>
        <w:t xml:space="preserve"> </w:t>
      </w:r>
      <w:r>
        <w:rPr>
          <w:bCs/>
          <w:b/>
        </w:rPr>
        <w:t xml:space="preserve">“</w:t>
      </w:r>
      <w:r>
        <w:rPr>
          <w:bCs/>
          <w:b/>
        </w:rPr>
        <w:t xml:space="preserve">new idea</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already-validated primitive, new integration.</w:t>
      </w:r>
      <w:r>
        <w:rPr>
          <w:bCs/>
          <w:b/>
        </w:rPr>
        <w:t xml:space="preserve">”</w:t>
      </w:r>
      <w:r>
        <w:t xml:space="preserve"> </w:t>
      </w:r>
      <w:r>
        <w:t xml:space="preserve">§4’s actual risk profile is the latter, per §4.2’s documented substitution — the basis column exists specifically to carry that nuance, since TRL 2 alone would flatten it to look the same as an unproven concept.</w:t>
      </w:r>
    </w:p>
    <w:bookmarkEnd w:id="108"/>
    <w:bookmarkStart w:id="109" w:name="target-trl-by-poc-phase"/>
    <w:p>
      <w:pPr>
        <w:pStyle w:val="Heading2"/>
      </w:pPr>
      <w:r>
        <w:t xml:space="preserve">9.3 Target TRL by PoC Phase</w:t>
      </w:r>
    </w:p>
    <w:p>
      <w:pPr>
        <w:pStyle w:val="Normal"/>
      </w:pPr>
      <w:r>
        <w:t xml:space="preserve">§10.2 below lays out four funding phases. Restated on this scale: Phase 1 closes the specific gaps — no automated test suite, no independent review — that currently cap the implemented core at TRL 4, moving it toward TRL 5. Phase 2 takes the SPAC core from TRL 2 to TRL 4 by building and exercising it, even against commodity hardware standing in for a not-yet-chosen secure element. Phase 3 moves that same system toward TRL 5–6 once it is validated against an actual target device rather than a stand-in. Phase 4 takes the two novel mission types from TRL 1 to roughly TRL 3, once a reference implementation and a real wire format exist to analyze rather than describe.</w:t>
      </w:r>
    </w:p>
    <w:bookmarkEnd w:id="109"/>
    <w:bookmarkEnd w:id="110"/>
    <w:bookmarkStart w:id="115" w:name="path-to-proof-of-concept"/>
    <w:p>
      <w:pPr>
        <w:pStyle w:val="Heading1"/>
      </w:pPr>
      <w:r>
        <w:t xml:space="preserve">10. Path to Proof of Concept</w:t>
      </w:r>
    </w:p>
    <w:p>
      <w:pPr>
        <w:pStyle w:val="Normal"/>
      </w:pPr>
      <w:r>
        <w:t xml:space="preserve">Status: funding proposal.</w:t>
      </w:r>
    </w:p>
    <w:p>
      <w:pPr>
        <w:pStyle w:val="BodyText"/>
      </w:pPr>
      <w:r>
        <w:t xml:space="preserve">Sections 1–3 describe a working system: implemented, self-tested, and validated by hand through repeated create-recover-diff cycles. Section 4 onward describes a design that reuses that same cryptographic core without modification — §4.2 is explicit that the Fielded Prime Element substitution needs no new cryptography — but exists today as architecture, not code. What follows states plainly what a proof-of-concept award would fund, in what order, and what it would produce, so that</w:t>
      </w:r>
      <w:r>
        <w:t xml:space="preserve"> </w:t>
      </w:r>
      <w:r>
        <w:t xml:space="preserve">“</w:t>
      </w:r>
      <w:r>
        <w:t xml:space="preserve">design proposal</w:t>
      </w:r>
      <w:r>
        <w:t xml:space="preserve">”</w:t>
      </w:r>
      <w:r>
        <w:t xml:space="preserve"> </w:t>
      </w:r>
      <w:r>
        <w:t xml:space="preserve">has a concrete path to</w:t>
      </w:r>
      <w:r>
        <w:t xml:space="preserve"> </w:t>
      </w:r>
      <w:r>
        <w:t xml:space="preserve">“</w:t>
      </w:r>
      <w:r>
        <w:t xml:space="preserve">implemented</w:t>
      </w:r>
      <w:r>
        <w:t xml:space="preserve">”</w:t>
      </w:r>
      <w:r>
        <w:t xml:space="preserve"> </w:t>
      </w:r>
      <w:r>
        <w:t xml:space="preserve">rather than remaining a permanent label.</w:t>
      </w:r>
    </w:p>
    <w:bookmarkStart w:id="111" w:name="what-funding-buys"/>
    <w:p>
      <w:pPr>
        <w:pStyle w:val="Heading2"/>
      </w:pPr>
      <w:r>
        <w:t xml:space="preserve">10.1 What Funding Buys</w:t>
      </w:r>
    </w:p>
    <w:p>
      <w:pPr>
        <w:pStyle w:val="Normal"/>
      </w:pPr>
      <w:r>
        <w:t xml:space="preserve">The base scheme’s maturity is not in question — that risk is already retired. What remains unbuilt is everything that turns</w:t>
      </w:r>
      <w:r>
        <w:t xml:space="preserve"> </w:t>
      </w:r>
      <w:r>
        <w:t xml:space="preserve">“</w:t>
      </w:r>
      <w:r>
        <w:t xml:space="preserve">the mathematics generalizes cleanly</w:t>
      </w:r>
      <w:r>
        <w:t xml:space="preserve">”</w:t>
      </w:r>
      <w:r>
        <w:t xml:space="preserve"> </w:t>
      </w:r>
      <w:r>
        <w:t xml:space="preserve">(§4.1–§4.2) into a fielded, demonstrable capability: the Fielded Prime Element binding, the shardware-token variants, the non-bypassable invocation patterns of §4.6, and the two mission types — path-trustee network integrity and hybrid human-AI gates — that have no analog in the file-vault core at all. None of this requires inventing new cryptography; all of it requires engineering time, integration work, and, for the hardware-anchored tiers, physical hardware to build against. That is what a PoC phase buys: not a research bet on whether the idea works, but the construction cost of a design whose cryptographic core is already proven.</w:t>
      </w:r>
    </w:p>
    <w:bookmarkEnd w:id="111"/>
    <w:bookmarkStart w:id="112" w:name="phased-roadmap"/>
    <w:p>
      <w:pPr>
        <w:pStyle w:val="Heading2"/>
      </w:pPr>
      <w:r>
        <w:t xml:space="preserve">10.2 Phased Roadmap</w:t>
      </w:r>
    </w:p>
    <w:p>
      <w:pPr>
        <w:pStyle w:val="Normal"/>
      </w:pPr>
      <w:r>
        <w:t xml:space="preserve">The phases below are ordered by dependency and by how much they de-risk before requiring hardware sourcing or novel integration work — each phase produces a standalone, demonstrable result rather than a partial system that only becomes useful once every later phase also lands.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Phase</w:t>
            </w:r>
          </w:p>
        </w:tc>
        <w:tc>
          <w:tcPr/>
          <w:p>
            <w:pPr>
              <w:pStyle w:val="Normal"/>
              <w:jc w:val="left"/>
            </w:pPr>
            <w:r>
              <w:t xml:space="preserve">Focus</w:t>
            </w:r>
          </w:p>
        </w:tc>
        <w:tc>
          <w:tcPr/>
          <w:p>
            <w:pPr>
              <w:pStyle w:val="Normal"/>
              <w:jc w:val="left"/>
            </w:pPr>
            <w:r>
              <w:t xml:space="preserve">Builds On</w:t>
            </w:r>
          </w:p>
        </w:tc>
        <w:tc>
          <w:tcPr/>
          <w:p>
            <w:pPr>
              <w:pStyle w:val="Normal"/>
              <w:jc w:val="left"/>
            </w:pPr>
            <w:r>
              <w:t xml:space="preserve">Representative Deliverable</w:t>
            </w:r>
          </w:p>
        </w:tc>
        <w:tc>
          <w:tcPr/>
          <w:p>
            <w:pPr>
              <w:pStyle w:val="Normal"/>
              <w:jc w:val="left"/>
            </w:pPr>
            <w:r>
              <w:t xml:space="preserve">Target TRL Exit (§9)</w:t>
            </w:r>
          </w:p>
        </w:tc>
      </w:tr>
      <w:tr>
        <w:tc>
          <w:tcPr/>
          <w:p>
            <w:pPr>
              <w:pStyle w:val="Normal"/>
              <w:jc w:val="left"/>
            </w:pPr>
            <w:r>
              <w:t xml:space="preserve">1 — Core hardening</w:t>
            </w:r>
          </w:p>
        </w:tc>
        <w:tc>
          <w:tcPr/>
          <w:p>
            <w:pPr>
              <w:pStyle w:val="Normal"/>
              <w:jc w:val="left"/>
            </w:pPr>
            <w:r>
              <w:t xml:space="preserve">Automated test coverage for</w:t>
            </w:r>
            <w:r>
              <w:t xml:space="preserve"> </w:t>
            </w:r>
            <w:r>
              <w:rPr>
                <w:rStyle w:val="DefaultParagraphFont"/>
              </w:rPr>
              <w:t xml:space="preserve">gf256_sss.py</w:t>
            </w:r>
            <w:r>
              <w:t xml:space="preserve"> </w:t>
            </w:r>
            <w:r>
              <w:t xml:space="preserve">and</w:t>
            </w:r>
            <w:r>
              <w:t xml:space="preserve"> </w:t>
            </w:r>
            <w:r>
              <w:rPr>
                <w:rStyle w:val="DefaultParagraphFont"/>
              </w:rPr>
              <w:t xml:space="preserve">krypt_container.py</w:t>
            </w:r>
            <w:r>
              <w:t xml:space="preserve"> </w:t>
            </w:r>
            <w:r>
              <w:t xml:space="preserve">(property tests: any D-of-T subset reconstructs, D−1 doesn’t; round-trip and corruption-handling tests); published benchmark data for share generation, reconstruction, and Argon2id cost across representative T/D and hardware profiles</w:t>
            </w:r>
          </w:p>
        </w:tc>
        <w:tc>
          <w:tcPr/>
          <w:p>
            <w:pPr>
              <w:pStyle w:val="Normal"/>
              <w:jc w:val="left"/>
            </w:pPr>
            <w:r>
              <w:t xml:space="preserve">§3.1–§3.5 (implemented core)</w:t>
            </w:r>
          </w:p>
        </w:tc>
        <w:tc>
          <w:tcPr/>
          <w:p>
            <w:pPr>
              <w:pStyle w:val="Normal"/>
              <w:jc w:val="left"/>
            </w:pPr>
            <w:r>
              <w:t xml:space="preserve">A test-backed, benchmarked release substantiating the abstract’s</w:t>
            </w:r>
            <w:r>
              <w:t xml:space="preserve"> </w:t>
            </w:r>
            <w:r>
              <w:t xml:space="preserve">“</w:t>
            </w:r>
            <w:r>
              <w:t xml:space="preserve">largely-implemented</w:t>
            </w:r>
            <w:r>
              <w:t xml:space="preserve">”</w:t>
            </w:r>
            <w:r>
              <w:t xml:space="preserve"> </w:t>
            </w:r>
            <w:r>
              <w:t xml:space="preserve">claim with evidence rather than assertion</w:t>
            </w:r>
          </w:p>
        </w:tc>
        <w:tc>
          <w:tcPr/>
          <w:p>
            <w:pPr>
              <w:pStyle w:val="Normal"/>
              <w:jc w:val="left"/>
            </w:pPr>
            <w:r>
              <w:t xml:space="preserve">TRL 4 → toward TRL 5</w:t>
            </w:r>
          </w:p>
        </w:tc>
      </w:tr>
      <w:tr>
        <w:tc>
          <w:tcPr/>
          <w:p>
            <w:pPr>
              <w:pStyle w:val="Normal"/>
              <w:jc w:val="left"/>
            </w:pPr>
            <w:r>
              <w:t xml:space="preserve">2 — First SPAC vignette, software-only</w:t>
            </w:r>
          </w:p>
        </w:tc>
        <w:tc>
          <w:tcPr/>
          <w:p>
            <w:pPr>
              <w:pStyle w:val="Normal"/>
              <w:jc w:val="left"/>
            </w:pPr>
            <w:r>
              <w:t xml:space="preserve">End-to-end build of one notional mission (§5.1’s treasury disbursement is the natural first pick: no exotic hardware required, a commodity HSM or TPM stands in for the not-yet-designed PUF/secure-element target) — Approver/Operator role separation (§4.4), capability-binding-tier non-bypassable invocation (§4.6)</w:t>
            </w:r>
          </w:p>
        </w:tc>
        <w:tc>
          <w:tcPr/>
          <w:p>
            <w:pPr>
              <w:pStyle w:val="Normal"/>
              <w:jc w:val="left"/>
            </w:pPr>
            <w:r>
              <w:t xml:space="preserve">§3.6–§3.7 (shardic-envelope, ceremony formation)</w:t>
            </w:r>
          </w:p>
        </w:tc>
        <w:tc>
          <w:tcPr/>
          <w:p>
            <w:pPr>
              <w:pStyle w:val="Normal"/>
              <w:jc w:val="left"/>
            </w:pPr>
            <w:r>
              <w:t xml:space="preserve">A running demonstration of capability authorization, not file decryption — the first artifact that shows SPAC as more than a reframing</w:t>
            </w:r>
          </w:p>
        </w:tc>
        <w:tc>
          <w:tcPr/>
          <w:p>
            <w:pPr>
              <w:pStyle w:val="Normal"/>
              <w:jc w:val="left"/>
            </w:pPr>
            <w:r>
              <w:t xml:space="preserve">TRL 2 → TRL 4</w:t>
            </w:r>
          </w:p>
        </w:tc>
      </w:tr>
      <w:tr>
        <w:tc>
          <w:tcPr/>
          <w:p>
            <w:pPr>
              <w:pStyle w:val="Normal"/>
              <w:jc w:val="left"/>
            </w:pPr>
            <w:r>
              <w:t xml:space="preserve">3 — Hardware-anchored variants</w:t>
            </w:r>
          </w:p>
        </w:tc>
        <w:tc>
          <w:tcPr/>
          <w:p>
            <w:pPr>
              <w:pStyle w:val="Normal"/>
              <w:jc w:val="left"/>
            </w:pPr>
            <w:r>
              <w:t xml:space="preserve">shardware-token physical carriage (§4.3) first, since it requires no new trust logic; PUF-sealed embed/extract second, once a secure-element target and a hardware sourcing/partnership path are identified</w:t>
            </w:r>
          </w:p>
        </w:tc>
        <w:tc>
          <w:tcPr/>
          <w:p>
            <w:pPr>
              <w:pStyle w:val="Normal"/>
              <w:jc w:val="left"/>
            </w:pPr>
            <w:r>
              <w:t xml:space="preserve">Phase 2’s Fielded Prime Element construction</w:t>
            </w:r>
          </w:p>
        </w:tc>
        <w:tc>
          <w:tcPr/>
          <w:p>
            <w:pPr>
              <w:pStyle w:val="Normal"/>
              <w:jc w:val="left"/>
            </w:pPr>
            <w:r>
              <w:t xml:space="preserve">Bypass resistance raised from Phase 2’s</w:t>
            </w:r>
            <w:r>
              <w:t xml:space="preserve"> </w:t>
            </w:r>
            <w:r>
              <w:t xml:space="preserve">“</w:t>
            </w:r>
            <w:r>
              <w:t xml:space="preserve">capability binding</w:t>
            </w:r>
            <w:r>
              <w:t xml:space="preserve">”</w:t>
            </w:r>
            <w:r>
              <w:t xml:space="preserve"> </w:t>
            </w:r>
            <w:r>
              <w:t xml:space="preserve">tier to</w:t>
            </w:r>
            <w:r>
              <w:t xml:space="preserve"> </w:t>
            </w:r>
            <w:r>
              <w:t xml:space="preserve">“</w:t>
            </w:r>
            <w:r>
              <w:t xml:space="preserve">secure-element-internal sequencing</w:t>
            </w:r>
            <w:r>
              <w:t xml:space="preserve">”</w:t>
            </w:r>
            <w:r>
              <w:t xml:space="preserve"> </w:t>
            </w:r>
            <w:r>
              <w:t xml:space="preserve">(§4.6) against a real device, not a commodity stand-in</w:t>
            </w:r>
          </w:p>
        </w:tc>
        <w:tc>
          <w:tcPr/>
          <w:p>
            <w:pPr>
              <w:pStyle w:val="Normal"/>
              <w:jc w:val="left"/>
            </w:pPr>
            <w:r>
              <w:t xml:space="preserve">TRL 4 → TRL 5–6</w:t>
            </w:r>
          </w:p>
        </w:tc>
      </w:tr>
      <w:tr>
        <w:tc>
          <w:tcPr/>
          <w:p>
            <w:pPr>
              <w:pStyle w:val="Normal"/>
              <w:jc w:val="left"/>
            </w:pPr>
            <w:r>
              <w:t xml:space="preserve">4 — Novel mission types</w:t>
            </w:r>
          </w:p>
        </w:tc>
        <w:tc>
          <w:tcPr/>
          <w:p>
            <w:pPr>
              <w:pStyle w:val="Normal"/>
              <w:jc w:val="left"/>
            </w:pPr>
            <w:r>
              <w:t xml:space="preserve">Path-trustee network integrity (§5.3) and hybrid human-AI policy gates (§5.4) — the two mission types §5’s introduction already flags as having no analog in the file-vault core</w:t>
            </w:r>
          </w:p>
        </w:tc>
        <w:tc>
          <w:tcPr/>
          <w:p>
            <w:pPr>
              <w:pStyle w:val="Normal"/>
              <w:jc w:val="left"/>
            </w:pPr>
            <w:r>
              <w:t xml:space="preserve">Phases 1–3’s hardened, fielded SPAC foundation</w:t>
            </w:r>
          </w:p>
        </w:tc>
        <w:tc>
          <w:tcPr/>
          <w:p>
            <w:pPr>
              <w:pStyle w:val="Normal"/>
              <w:jc w:val="left"/>
            </w:pPr>
            <w:r>
              <w:t xml:space="preserve">The pieces of this design that are hardest to find prior art for (§1.3’s related-work gap notwithstanding) built and demonstrable, not just specified</w:t>
            </w:r>
          </w:p>
        </w:tc>
        <w:tc>
          <w:tcPr/>
          <w:p>
            <w:pPr>
              <w:pStyle w:val="Normal"/>
              <w:jc w:val="left"/>
            </w:pPr>
            <w:r>
              <w:t xml:space="preserve">TRL 1 → TRL 3</w:t>
            </w:r>
          </w:p>
        </w:tc>
      </w:tr>
    </w:tbl>
    <w:p>
      <w:pPr>
        <w:pStyle w:val="BodyText"/>
      </w:pPr>
      <w:r>
        <w:t xml:space="preserve">Duration and cost per phase are deliberately left as proposal-specific parameters here rather than invented figures — in the same spirit as §5’s illustrative T/D values, a number asserted without a specific funder, team size, and hardware-sourcing timeline behind it would be decoration, not information.</w:t>
      </w:r>
    </w:p>
    <w:bookmarkEnd w:id="112"/>
    <w:bookmarkStart w:id="113" w:name="what-this-roadmap-does-not-claim"/>
    <w:p>
      <w:pPr>
        <w:pStyle w:val="Heading2"/>
      </w:pPr>
      <w:r>
        <w:t xml:space="preserve">10.3 What This Roadmap Does Not Claim</w:t>
      </w:r>
    </w:p>
    <w:p>
      <w:pPr>
        <w:pStyle w:val="Normal"/>
      </w:pPr>
      <w:r>
        <w:t xml:space="preserve">Consistent with this paper’s claim-boundary discipline (Reader’s Guide), the roadmap above deliberately does not promise:</w:t>
      </w:r>
    </w:p>
    <w:p>
      <w:pPr>
        <w:numPr>
          <w:ilvl w:val="0"/>
          <w:numId w:val="1024"/>
        </w:numPr>
        <w:pStyle w:val="Normal"/>
      </w:pPr>
      <w:r>
        <w:rPr>
          <w:bCs/>
          <w:b/>
        </w:rPr>
        <w:t xml:space="preserve">A path to classified or NC3-adjacent deployment.</w:t>
      </w:r>
      <w:r>
        <w:t xml:space="preserve"> </w:t>
      </w:r>
      <w:r>
        <w:t xml:space="preserve">Nothing in §4–§5 is designed against, or claims readiness for, a certified national-security accreditation regime. Vignette B (§5.2) is a notional safety-interlock pattern, not a proposal to touch an actual weapons-release system.</w:t>
      </w:r>
    </w:p>
    <w:p>
      <w:pPr>
        <w:numPr>
          <w:ilvl w:val="0"/>
          <w:numId w:val="1024"/>
        </w:numPr>
        <w:pStyle w:val="Normal"/>
      </w:pPr>
      <w:r>
        <w:rPr>
          <w:bCs/>
          <w:b/>
        </w:rPr>
        <w:t xml:space="preserve">Compliance certification as a PoC deliverable.</w:t>
      </w:r>
      <w:r>
        <w:t xml:space="preserve"> </w:t>
      </w:r>
      <w:r>
        <w:t xml:space="preserve">A PoC phase produces working code and, where applicable, a mapping of its guarantees to a framework like NIST SP 800-207 — it does not produce an ATO, a FIPS validation, or a claim of</w:t>
      </w:r>
      <w:r>
        <w:t xml:space="preserve"> </w:t>
      </w:r>
      <w:r>
        <w:t xml:space="preserve">“</w:t>
      </w:r>
      <w:r>
        <w:t xml:space="preserve">compliant</w:t>
      </w:r>
      <w:r>
        <w:t xml:space="preserve">”</w:t>
      </w:r>
      <w:r>
        <w:t xml:space="preserve"> </w:t>
      </w:r>
      <w:r>
        <w:t xml:space="preserve">that only an accredited assessment can actually confer.</w:t>
      </w:r>
    </w:p>
    <w:p>
      <w:pPr>
        <w:numPr>
          <w:ilvl w:val="0"/>
          <w:numId w:val="1024"/>
        </w:numPr>
        <w:pStyle w:val="Normal"/>
      </w:pPr>
      <w:r>
        <w:rPr>
          <w:bCs/>
          <w:b/>
        </w:rPr>
        <w:t xml:space="preserve">A committed hardware vendor or PUF technology.</w:t>
      </w:r>
      <w:r>
        <w:t xml:space="preserve"> </w:t>
      </w:r>
      <w:r>
        <w:t xml:space="preserve">§4.3’s PUF-sealed variant names a category of mechanism, not a chosen part number; Phase 3 above treats vendor/technology selection as roadmap work, not a settled input.</w:t>
      </w:r>
    </w:p>
    <w:p>
      <w:pPr>
        <w:numPr>
          <w:ilvl w:val="0"/>
          <w:numId w:val="1024"/>
        </w:numPr>
        <w:pStyle w:val="Normal"/>
      </w:pPr>
      <w:r>
        <w:rPr>
          <w:bCs/>
          <w:b/>
        </w:rPr>
        <w:t xml:space="preserve">Production hardening beyond PoC scope.</w:t>
      </w:r>
      <w:r>
        <w:t xml:space="preserve"> </w:t>
      </w:r>
      <w:r>
        <w:t xml:space="preserve">Each phase’s deliverable is a demonstration sized to retire a specific risk, not a shipped, supported product — the gap between</w:t>
      </w:r>
      <w:r>
        <w:t xml:space="preserve"> </w:t>
      </w:r>
      <w:r>
        <w:t xml:space="preserve">“</w:t>
      </w:r>
      <w:r>
        <w:t xml:space="preserve">PoC deliverable</w:t>
      </w:r>
      <w:r>
        <w:t xml:space="preserve">”</w:t>
      </w:r>
      <w:r>
        <w:t xml:space="preserve"> </w:t>
      </w:r>
      <w:r>
        <w:t xml:space="preserve">and</w:t>
      </w:r>
      <w:r>
        <w:t xml:space="preserve"> </w:t>
      </w:r>
      <w:r>
        <w:t xml:space="preserve">“</w:t>
      </w:r>
      <w:r>
        <w:t xml:space="preserve">fielded system</w:t>
      </w:r>
      <w:r>
        <w:t xml:space="preserve">”</w:t>
      </w:r>
      <w:r>
        <w:t xml:space="preserve"> </w:t>
      </w:r>
      <w:r>
        <w:t xml:space="preserve">is real and is not closed by this roadmap alone.</w:t>
      </w:r>
    </w:p>
    <w:bookmarkEnd w:id="113"/>
    <w:bookmarkStart w:id="114" w:name="why-now"/>
    <w:p>
      <w:pPr>
        <w:pStyle w:val="Heading2"/>
      </w:pPr>
      <w:r>
        <w:t xml:space="preserve">10.4 Why Now</w:t>
      </w:r>
    </w:p>
    <w:p>
      <w:pPr>
        <w:pStyle w:val="Normal"/>
      </w:pPr>
      <w:r>
        <w:t xml:space="preserve">§1.1–§1.2 and §7.1 already make the underlying case: the gap between</w:t>
      </w:r>
      <w:r>
        <w:t xml:space="preserve"> </w:t>
      </w:r>
      <w:r>
        <w:t xml:space="preserve">“</w:t>
      </w:r>
      <w:r>
        <w:t xml:space="preserve">administrative claim</w:t>
      </w:r>
      <w:r>
        <w:t xml:space="preserve">”</w:t>
      </w:r>
      <w:r>
        <w:t xml:space="preserve"> </w:t>
      </w:r>
      <w:r>
        <w:t xml:space="preserve">and</w:t>
      </w:r>
      <w:r>
        <w:t xml:space="preserve"> </w:t>
      </w:r>
      <w:r>
        <w:t xml:space="preserve">“</w:t>
      </w:r>
      <w:r>
        <w:t xml:space="preserve">cryptographic fact</w:t>
      </w:r>
      <w:r>
        <w:t xml:space="preserve">”</w:t>
      </w:r>
      <w:r>
        <w:t xml:space="preserve"> </w:t>
      </w:r>
      <w:r>
        <w:t xml:space="preserve">is a real, quantifiable insider-threat and non-repudiation surface, and it exists in every organization that currently substitutes a witnessed procedure or an access-control policy for genuine multi-party mathematical enforcement. What has changed is not that argument — it is that §3’s core is no longer speculative. A funder is not being asked to bet on whether threshold recovery generalizes past file decryption; §4’s design already shows that it does, without new cryptography. The ask is narrower and lower-risk than that: fund the engineering to build what the mathematics already permits.</w:t>
      </w:r>
    </w:p>
    <w:bookmarkEnd w:id="114"/>
    <w:bookmarkEnd w:id="115"/>
    <w:bookmarkStart w:id="120" w:name="Xfb2bea02108ab82936fa4881939c56085cc5be9"/>
    <w:p>
      <w:pPr>
        <w:pStyle w:val="Heading1"/>
      </w:pPr>
      <w:r>
        <w:t xml:space="preserve">11. Intellectual Property and Licensing Posture</w:t>
      </w:r>
    </w:p>
    <w:p>
      <w:pPr>
        <w:pStyle w:val="Normal"/>
      </w:pPr>
      <w:r>
        <w:t xml:space="preserve">Status: open decision — deliberately unresolved.</w:t>
      </w:r>
    </w:p>
    <w:p>
      <w:pPr>
        <w:pStyle w:val="BodyText"/>
      </w:pPr>
      <w:r>
        <w:t xml:space="preserve">§8.3 named this rather than resolved it: this project has no chosen license, no stated IP-ownership structure for future work, and — as of this writing — no patent filing behind the SPAC-layer novelty §8.2 describes, though pursuing one is a stated intent rather than an open question. What follows states the actual trade-off this decision turns on, is explicit about what is and isn’t decided yet, and flags one specific, time-sensitive consequence of this whitepaper’s own existence that is worth acting on before the licensing question itself is settled.</w:t>
      </w:r>
    </w:p>
    <w:bookmarkStart w:id="116" w:name="the-trade-off-this-decision-turns-on"/>
    <w:p>
      <w:pPr>
        <w:pStyle w:val="Heading2"/>
      </w:pPr>
      <w:r>
        <w:t xml:space="preserve">11.1 The Trade-off This Decision Turns On</w:t>
      </w:r>
    </w:p>
    <w:p>
      <w:pPr>
        <w:pStyle w:val="Normal"/>
      </w:pPr>
      <w:r>
        <w:t xml:space="preserve">This paper’s stated goals pull in different directions here: awareness of a novel technology implementation favors making it inspectable; a fundable, IP-protected asset favors keeping the differentiated layer exclusive. Neither posture below is recommended over another here — that is the open decision — but each has a distinct cost against the other goal.</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Posture</w:t>
            </w:r>
          </w:p>
        </w:tc>
        <w:tc>
          <w:tcPr/>
          <w:p>
            <w:pPr>
              <w:pStyle w:val="Normal"/>
              <w:jc w:val="left"/>
            </w:pPr>
            <w:r>
              <w:t xml:space="preserve">Serves Awareness</w:t>
            </w:r>
          </w:p>
        </w:tc>
        <w:tc>
          <w:tcPr/>
          <w:p>
            <w:pPr>
              <w:pStyle w:val="Normal"/>
              <w:jc w:val="left"/>
            </w:pPr>
            <w:r>
              <w:t xml:space="preserve">Serves an IP-Protected Asset</w:t>
            </w:r>
          </w:p>
        </w:tc>
        <w:tc>
          <w:tcPr/>
          <w:p>
            <w:pPr>
              <w:pStyle w:val="Normal"/>
              <w:jc w:val="left"/>
            </w:pPr>
            <w:r>
              <w:t xml:space="preserve">Cost</w:t>
            </w:r>
          </w:p>
        </w:tc>
      </w:tr>
      <w:tr>
        <w:tc>
          <w:tcPr/>
          <w:p>
            <w:pPr>
              <w:pStyle w:val="Normal"/>
              <w:jc w:val="left"/>
            </w:pPr>
            <w:r>
              <w:t xml:space="preserve">Open core: base scheme (§1–§3) open, SPAC layer (§4+) closed</w:t>
            </w:r>
          </w:p>
        </w:tc>
        <w:tc>
          <w:tcPr/>
          <w:p>
            <w:pPr>
              <w:pStyle w:val="Normal"/>
              <w:jc w:val="left"/>
            </w:pPr>
            <w:r>
              <w:t xml:space="preserve">Base scheme — most of what demonstrates the core guarantee actually working — is publicly inspectable and runnable</w:t>
            </w:r>
          </w:p>
        </w:tc>
        <w:tc>
          <w:tcPr/>
          <w:p>
            <w:pPr>
              <w:pStyle w:val="Normal"/>
              <w:jc w:val="left"/>
            </w:pPr>
            <w:r>
              <w:t xml:space="preserve">SPAC layer, where §8.2’s novelty claims live, stays exclusively controlled</w:t>
            </w:r>
          </w:p>
        </w:tc>
        <w:tc>
          <w:tcPr/>
          <w:p>
            <w:pPr>
              <w:pStyle w:val="Normal"/>
              <w:jc w:val="left"/>
            </w:pPr>
            <w:r>
              <w:t xml:space="preserve">Requires drawing and maintaining a clean boundary as the SPAC layer gets built out (§10 Phases 2–4); a boundary drawn wrong risks disclosing patent-relevant material inadvertently</w:t>
            </w:r>
          </w:p>
        </w:tc>
      </w:tr>
      <w:tr>
        <w:tc>
          <w:tcPr/>
          <w:p>
            <w:pPr>
              <w:pStyle w:val="Normal"/>
              <w:jc w:val="left"/>
            </w:pPr>
            <w:r>
              <w:t xml:space="preserve">Fully open</w:t>
            </w:r>
          </w:p>
        </w:tc>
        <w:tc>
          <w:tcPr/>
          <w:p>
            <w:pPr>
              <w:pStyle w:val="Normal"/>
              <w:jc w:val="left"/>
            </w:pPr>
            <w:r>
              <w:t xml:space="preserve">Maximum — everything, including future SPAC work, publicly inspectable</w:t>
            </w:r>
          </w:p>
        </w:tc>
        <w:tc>
          <w:tcPr/>
          <w:p>
            <w:pPr>
              <w:pStyle w:val="Normal"/>
              <w:jc w:val="left"/>
            </w:pPr>
            <w:r>
              <w:t xml:space="preserve">Minimal — no exclusivity to license, sell, or hold as a funding asset; monetization would have to come from services or support rather than the technology itself</w:t>
            </w:r>
          </w:p>
        </w:tc>
        <w:tc>
          <w:tcPr/>
          <w:p>
            <w:pPr>
              <w:pStyle w:val="Normal"/>
              <w:jc w:val="left"/>
            </w:pPr>
            <w:r>
              <w:t xml:space="preserve">Directly undercuts §8.3’s argument that the SPAC layer’s value depends on being a defensible, reduction-to-practice asset rather than a public description</w:t>
            </w:r>
          </w:p>
        </w:tc>
      </w:tr>
      <w:tr>
        <w:tc>
          <w:tcPr/>
          <w:p>
            <w:pPr>
              <w:pStyle w:val="Normal"/>
              <w:jc w:val="left"/>
            </w:pPr>
            <w:r>
              <w:t xml:space="preserve">Fully closed</w:t>
            </w:r>
          </w:p>
        </w:tc>
        <w:tc>
          <w:tcPr/>
          <w:p>
            <w:pPr>
              <w:pStyle w:val="Normal"/>
              <w:jc w:val="left"/>
            </w:pPr>
            <w:r>
              <w:t xml:space="preserve">Minimal beyond this whitepaper — no code to inspect or verify, weakening the credibility a working demo currently provides</w:t>
            </w:r>
          </w:p>
        </w:tc>
        <w:tc>
          <w:tcPr/>
          <w:p>
            <w:pPr>
              <w:pStyle w:val="Normal"/>
              <w:jc w:val="left"/>
            </w:pPr>
            <w:r>
              <w:t xml:space="preserve">Maximum — full exclusivity preserved for negotiation</w:t>
            </w:r>
          </w:p>
        </w:tc>
        <w:tc>
          <w:tcPr/>
          <w:p>
            <w:pPr>
              <w:pStyle w:val="Normal"/>
              <w:jc w:val="left"/>
            </w:pPr>
            <w:r>
              <w:t xml:space="preserve">Undercuts</w:t>
            </w:r>
            <w:r>
              <w:t xml:space="preserve"> </w:t>
            </w:r>
            <w:r>
              <w:t xml:space="preserve">“</w:t>
            </w:r>
            <w:r>
              <w:t xml:space="preserve">awareness of a novel technology</w:t>
            </w:r>
            <w:r>
              <w:t xml:space="preserve">”</w:t>
            </w:r>
            <w:r>
              <w:t xml:space="preserve"> </w:t>
            </w:r>
            <w:r>
              <w:t xml:space="preserve">directly; a funder or reviewer has only prose to evaluate until access is separately granted</w:t>
            </w:r>
          </w:p>
        </w:tc>
      </w:tr>
      <w:tr>
        <w:tc>
          <w:tcPr/>
          <w:p>
            <w:pPr>
              <w:pStyle w:val="Normal"/>
              <w:jc w:val="left"/>
            </w:pPr>
            <w:r>
              <w:t xml:space="preserve">Undecided (current state)</w:t>
            </w:r>
          </w:p>
        </w:tc>
        <w:tc>
          <w:tcPr/>
          <w:p>
            <w:pPr>
              <w:pStyle w:val="Normal"/>
              <w:jc w:val="left"/>
            </w:pPr>
            <w:r>
              <w:t xml:space="preserve">Whatever is already public stays public by default</w:t>
            </w:r>
          </w:p>
        </w:tc>
        <w:tc>
          <w:tcPr/>
          <w:p>
            <w:pPr>
              <w:pStyle w:val="Normal"/>
              <w:jc w:val="left"/>
            </w:pPr>
            <w:r>
              <w:t xml:space="preserve">Nothing forfeited, but nothing secured either — a later filing’s priority date only protects what’s disclosed as of that date</w:t>
            </w:r>
          </w:p>
        </w:tc>
        <w:tc>
          <w:tcPr/>
          <w:p>
            <w:pPr>
              <w:pStyle w:val="Normal"/>
              <w:jc w:val="left"/>
            </w:pPr>
            <w:r>
              <w:t xml:space="preserve">Not actually neutral: every commit and every distributed copy of this whitepaper made before a filing or a chosen license is a fact that could later matter to a patent’s novelty/priority analysis, or to what a later-chosen license would be read to cover</w:t>
            </w:r>
          </w:p>
        </w:tc>
      </w:tr>
    </w:tbl>
    <w:bookmarkEnd w:id="116"/>
    <w:bookmarkStart w:id="117" w:name="X5d5db78e111a515d3efbc66225249757e886275"/>
    <w:p>
      <w:pPr>
        <w:pStyle w:val="Heading2"/>
      </w:pPr>
      <w:r>
        <w:t xml:space="preserve">11.2 What Is Already Decided: Intent to Pursue Patent Protection</w:t>
      </w:r>
    </w:p>
    <w:p>
      <w:pPr>
        <w:pStyle w:val="Normal"/>
      </w:pPr>
      <w:r>
        <w:t xml:space="preserve">Unlike the licensing posture above, this part isn’t open: pursuing patent protection for the SPAC-layer novelty in §8.2 — most plausibly the Fielded Prime Element hardware-binding construction and the SPAC generalization itself — is a stated intent. No provisional or non-provisional application has been filed as of this writing.</w:t>
      </w:r>
    </w:p>
    <w:p>
      <w:pPr>
        <w:pStyle w:val="BodyText"/>
      </w:pPr>
      <w:r>
        <w:t xml:space="preserve">That gap between intent and filing is the one item in this section worth flagging as time-sensitive rather than merely open. §8.2 and §4 already describe the Fielded Prime Element and SPAC generalization in enough technical depth to function as a public disclosure once this whitepaper is distributed outside a confidential circle — and most patent systems outside the U.S. apply absolute novelty, where a public disclosure before filing forecloses patent rights entirely, with no grace period. The U.S. system’s own grace period is narrower and more conditional than it’s often assumed to be. This isn’t a legal conclusion — it’s a reason to treat</w:t>
      </w:r>
      <w:r>
        <w:t xml:space="preserve"> </w:t>
      </w:r>
      <w:r>
        <w:t xml:space="preserve">“</w:t>
      </w:r>
      <w:r>
        <w:t xml:space="preserve">file before wide distribution</w:t>
      </w:r>
      <w:r>
        <w:t xml:space="preserve">”</w:t>
      </w:r>
      <w:r>
        <w:t xml:space="preserve"> </w:t>
      </w:r>
      <w:r>
        <w:t xml:space="preserve">as the default assumption to bring to counsel, rather than a decision that can wait until after this document has already done its job of soliciting interest.</w:t>
      </w:r>
    </w:p>
    <w:bookmarkEnd w:id="117"/>
    <w:bookmarkStart w:id="118" w:name="recommended-next-step"/>
    <w:p>
      <w:pPr>
        <w:pStyle w:val="Heading2"/>
      </w:pPr>
      <w:r>
        <w:t xml:space="preserve">11.3 Recommended Next Step</w:t>
      </w:r>
    </w:p>
    <w:p>
      <w:pPr>
        <w:pStyle w:val="Normal"/>
      </w:pPr>
      <w:r>
        <w:t xml:space="preserve">Consult patent counsel about a provisional filing covering the SPAC-layer material before this whitepaper, or any version of it carrying §4/§8.2’s level of detail, circulates beyond a confidential audience. A provisional application is comparatively low-cost and fast, preserves a priority date without requiring full claims or prosecution immediately, and — consistent with §9’s TRL 2 rating for this layer — does not require the underlying technology to be built first. Where a funder or reviewer needs to see this level of detail before a filing is in place, an NDA is the standard alternative; which of the two (or both) fits a given conversation is exactly the kind of judgment call that belongs to counsel, not to this whitepaper.</w:t>
      </w:r>
    </w:p>
    <w:bookmarkEnd w:id="118"/>
    <w:bookmarkStart w:id="119" w:name="what-this-section-does-not-claim"/>
    <w:p>
      <w:pPr>
        <w:pStyle w:val="Heading2"/>
      </w:pPr>
      <w:r>
        <w:t xml:space="preserve">11.4 What This Section Does Not Claim</w:t>
      </w:r>
    </w:p>
    <w:p>
      <w:pPr>
        <w:numPr>
          <w:ilvl w:val="0"/>
          <w:numId w:val="1025"/>
        </w:numPr>
        <w:pStyle w:val="Normal"/>
      </w:pPr>
      <w:r>
        <w:t xml:space="preserve">Does not claim a patent has been filed, is pending, or has been granted.</w:t>
      </w:r>
    </w:p>
    <w:p>
      <w:pPr>
        <w:numPr>
          <w:ilvl w:val="0"/>
          <w:numId w:val="1025"/>
        </w:numPr>
        <w:pStyle w:val="Normal"/>
      </w:pPr>
      <w:r>
        <w:t xml:space="preserve">Does not claim a license has been chosen for any part of this project’s code.</w:t>
      </w:r>
    </w:p>
    <w:p>
      <w:pPr>
        <w:numPr>
          <w:ilvl w:val="0"/>
          <w:numId w:val="1025"/>
        </w:numPr>
        <w:pStyle w:val="Normal"/>
      </w:pPr>
      <w:r>
        <w:t xml:space="preserve">Is not legal advice. The trade-offs above are this project’s own structural and business observations, not a legal conclusion — the actual decisions belong with IP/patent counsel.</w:t>
      </w:r>
    </w:p>
    <w:bookmarkEnd w:id="119"/>
    <w:bookmarkEnd w:id="120"/>
    <w:bookmarkStart w:id="131" w:name="Xb80b44578a47fcdaeee67ed72b5af961e59a7b1"/>
    <w:p>
      <w:pPr>
        <w:pStyle w:val="Heading1"/>
      </w:pPr>
      <w:r>
        <w:t xml:space="preserve">Appendix A: Shamir’s Secret Sharing, Explained</w:t>
      </w:r>
    </w:p>
    <w:p>
      <w:pPr>
        <w:pStyle w:val="Normal"/>
      </w:pPr>
      <w:r>
        <w:t xml:space="preserve">§1.4 and §3.2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r>
        <w:rPr>
          <w:rStyle w:val="DefaultParagraphFont"/>
        </w:rPr>
        <w:t xml:space="preserve">docs/sss_explained_for_shardic.md</w:t>
      </w:r>
      <w:r>
        <w:t xml:space="preserve">,</w:t>
      </w:r>
      <w:r>
        <w:t xml:space="preserve"> </w:t>
      </w:r>
      <w:r>
        <w:t xml:space="preserve">reproduced here in full so the paper is self-contained.</w:t>
      </w:r>
      <w:r>
        <w:t xml:space="preserve"> </w:t>
      </w:r>
      <w:r>
        <w:t xml:space="preserve">For a code-grounded walkthrough of the same material — actual function</w:t>
      </w:r>
      <w:r>
        <w:t xml:space="preserve"> </w:t>
      </w:r>
      <w:r>
        <w:t xml:space="preserve">names, data shapes, and line-level detail from the current</w:t>
      </w:r>
      <w:r>
        <w:t xml:space="preserve"> </w:t>
      </w:r>
      <w:r>
        <w:t xml:space="preserve">implementation, extended through shardic-envelope and SPAC — see the</w:t>
      </w:r>
      <w:r>
        <w:t xml:space="preserve"> </w:t>
      </w:r>
      <w:r>
        <w:t xml:space="preserve">companion reference document</w:t>
      </w:r>
      <w:r>
        <w:t xml:space="preserve"> </w:t>
      </w:r>
      <w:r>
        <w:rPr>
          <w:rStyle w:val="DefaultParagraphFont"/>
        </w:rPr>
        <w:t xml:space="preserve">docs/shardic-cryptographic-path.md</w:t>
      </w:r>
      <w:r>
        <w:t xml:space="preserve">;</w:t>
      </w:r>
      <w:r>
        <w:t xml:space="preserve"> </w:t>
      </w:r>
      <w:r>
        <w:t xml:space="preserve">this appendix stays at the conceptual level intentionally, so the two</w:t>
      </w:r>
      <w:r>
        <w:t xml:space="preserve"> </w:t>
      </w:r>
      <w:r>
        <w:t xml:space="preserve">complement rather than duplicate each other.</w:t>
      </w:r>
    </w:p>
    <w:bookmarkStart w:id="121" w:name="a.1-the-problem-it-solves"/>
    <w:p>
      <w:pPr>
        <w:pStyle w:val="Heading2"/>
      </w:pPr>
      <w:r>
        <w:t xml:space="preserve">A.1 The Problem It Solves</w:t>
      </w:r>
    </w:p>
    <w:p>
      <w:pPr>
        <w:pStyle w:val="Normal"/>
      </w:pPr>
      <w:r>
        <w:t xml:space="preserve">Say you have a secret — a key, a password, a number — and you want to split it among several people so that:</w:t>
      </w:r>
    </w:p>
    <w:p>
      <w:pPr>
        <w:numPr>
          <w:ilvl w:val="0"/>
          <w:numId w:val="1026"/>
        </w:numPr>
        <w:pStyle w:val="Normal"/>
      </w:pPr>
      <w:r>
        <w:t xml:space="preserve">Any</w:t>
      </w:r>
      <w:r>
        <w:t xml:space="preserve"> </w:t>
      </w:r>
      <w:r>
        <w:rPr>
          <w:bCs/>
          <w:b/>
        </w:rPr>
        <w:t xml:space="preserve">D</w:t>
      </w:r>
      <w:r>
        <w:t xml:space="preserve"> </w:t>
      </w:r>
      <w:r>
        <w:t xml:space="preserve">of them together can reconstruct it exactly.</w:t>
      </w:r>
    </w:p>
    <w:p>
      <w:pPr>
        <w:numPr>
          <w:ilvl w:val="0"/>
          <w:numId w:val="1026"/>
        </w:numPr>
        <w:pStyle w:val="Normal"/>
      </w:pPr>
      <w:r>
        <w:t xml:space="preserve">Any group of fewer than</w:t>
      </w:r>
      <w:r>
        <w:t xml:space="preserve"> </w:t>
      </w:r>
      <w:r>
        <w:rPr>
          <w:bCs/>
          <w:b/>
        </w:rPr>
        <w:t xml:space="preserve">D</w:t>
      </w:r>
      <w:r>
        <w:t xml:space="preserve"> </w:t>
      </w:r>
      <w:r>
        <w:t xml:space="preserve">learns</w:t>
      </w:r>
      <w:r>
        <w:t xml:space="preserve"> </w:t>
      </w:r>
      <w:r>
        <w:rPr>
          <w:iCs/>
          <w:i/>
        </w:rPr>
        <w:t xml:space="preserve">nothing</w:t>
      </w:r>
      <w:r>
        <w:t xml:space="preserve"> </w:t>
      </w:r>
      <w:r>
        <w:t xml:space="preserve">about it, not even a probabilistic edge.</w:t>
      </w:r>
    </w:p>
    <w:p>
      <w:pPr>
        <w:pStyle w:val="Normal"/>
      </w:pPr>
      <w:r>
        <w:t xml:space="preserve">That’s a</w:t>
      </w:r>
      <w:r>
        <w:t xml:space="preserve"> </w:t>
      </w:r>
      <w:r>
        <w:rPr>
          <w:bCs/>
          <w:b/>
        </w:rPr>
        <w:t xml:space="preserve">(D, T) threshold scheme</w:t>
      </w:r>
      <w:r>
        <w:t xml:space="preserve">: T total shares, D required to recover. Shamir’s Secret Sharing (SSS), published by Adi Shamir in 1979, solves this using a simple fact from algebra:</w:t>
      </w:r>
      <w:r>
        <w:t xml:space="preserve"> </w:t>
      </w:r>
      <w:r>
        <w:rPr>
          <w:bCs/>
          <w:b/>
        </w:rPr>
        <w:t xml:space="preserve">a polynomial of degree D−1 is uniquely determined by D points, and completely undetermined by any fewer.</w:t>
      </w:r>
    </w:p>
    <w:bookmarkEnd w:id="121"/>
    <w:bookmarkStart w:id="124" w:name="a.2-the-intuition-before-the-math"/>
    <w:p>
      <w:pPr>
        <w:pStyle w:val="Heading2"/>
      </w:pPr>
      <w:r>
        <w:t xml:space="preserve">A.2 The Intuition, Before the Math</w:t>
      </w:r>
    </w:p>
    <w:p>
      <w:pPr>
        <w:pStyle w:val="Normal"/>
      </w:pPr>
      <w:r>
        <w:t xml:space="preserve">It’s worth seeing</w:t>
      </w:r>
      <w:r>
        <w:t xml:space="preserve"> </w:t>
      </w:r>
      <w:r>
        <w:rPr>
          <w:iCs/>
          <w:i/>
        </w:rPr>
        <w:t xml:space="preserve">why</w:t>
      </w:r>
      <w:r>
        <w:t xml:space="preserve"> </w:t>
      </w:r>
      <w:r>
        <w:t xml:space="preserve">this works before the formula, because the obvious first guess at</w:t>
      </w:r>
      <w:r>
        <w:t xml:space="preserve"> </w:t>
      </w:r>
      <w:r>
        <w:t xml:space="preserve">“</w:t>
      </w:r>
      <w:r>
        <w:t xml:space="preserve">splitting a secret into pieces</w:t>
      </w:r>
      <w:r>
        <w:t xml:space="preserve">”</w:t>
      </w:r>
      <w:r>
        <w:t xml:space="preserve"> </w:t>
      </w:r>
      <w:r>
        <w:t xml:space="preserve">isn’t it, and doesn’t have the properties above.</w:t>
      </w:r>
    </w:p>
    <w:p>
      <w:pPr>
        <w:pStyle w:val="BodyText"/>
      </w:pPr>
      <w:r>
        <w:rPr>
          <w:bCs/>
          <w:b/>
        </w:rPr>
        <w:t xml:space="preserve">The obvious guess, and why it falls short.</w:t>
      </w:r>
      <w:r>
        <w:t xml:space="preserve"> </w:t>
      </w:r>
      <w:r>
        <w:t xml:space="preserve">Imagine cutting a secret key into equal chunks and handing one chunk to each trustee — or the slightly cleverer version, XOR-splitting, where each share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Cs/>
          <w:b/>
        </w:rPr>
        <w:t xml:space="preserve">all-or-nothing</w:t>
      </w:r>
      <w:r>
        <w:t xml:space="preserve"> </w:t>
      </w:r>
      <w:r>
        <w:t xml:space="preserve">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secret is gone forever — exactly the fragility a threshold scheme exists to avoid.</w:t>
      </w:r>
    </w:p>
    <w:p>
      <w:pPr>
        <w:pStyle w:val="BodyText"/>
      </w:pPr>
      <w:r>
        <w:rPr>
          <w:bCs/>
          <w:b/>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w:t>
      </w:r>
      <w:r>
        <w:t xml:space="preserve"> </w:t>
      </w:r>
      <w:r>
        <w:rPr>
          <w:iCs/>
          <w:i/>
        </w:rPr>
        <w:t xml:space="preserve">every</w:t>
      </w:r>
      <w:r>
        <w:t xml:space="preserve"> </w:t>
      </w:r>
      <w:r>
        <w:t xml:space="preserve">possible secret remains equally possible. But hand over any</w:t>
      </w:r>
      <w:r>
        <w:t xml:space="preserve"> </w:t>
      </w:r>
      <w:r>
        <w:rPr>
          <w:bCs/>
          <w:b/>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122" name="Picture"/>
            <a:graphic>
              <a:graphicData uri="http://schemas.openxmlformats.org/drawingml/2006/picture">
                <pic:pic>
                  <pic:nvPicPr>
                    <pic:cNvPr descr="./media/sss-geometric-intuition.png" id="123"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Cs/>
          <w:i/>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124"/>
    <w:bookmarkStart w:id="125" w:name="a.3-the-precise-construction"/>
    <w:p>
      <w:pPr>
        <w:pStyle w:val="Heading2"/>
      </w:pPr>
      <w:r>
        <w:t xml:space="preserve">A.3 The Precise Construction</w:t>
      </w:r>
    </w:p>
    <w:p>
      <w:pPr>
        <w:pStyle w:val="Normal"/>
      </w:pPr>
      <w:r>
        <w:t xml:space="preserve">You already know the geometric version from precalculus: two points determine a line (degree 1), three points determine a parabola (degree 2). In general,</w:t>
      </w:r>
      <w:r>
        <w:t xml:space="preserve"> </w:t>
      </w:r>
      <w:r>
        <w:rPr>
          <w:bCs/>
          <w:b/>
        </w:rPr>
        <w:t xml:space="preserve">D points determine a unique polynomial of degree D−1</w:t>
      </w:r>
      <w:r>
        <w:t xml:space="preserve"> </w:t>
      </w:r>
      <w:r>
        <w:t xml:space="preserve">— no more, no fewer. Shamir’s insight is to hide the secret as the</w:t>
      </w:r>
      <w:r>
        <w:t xml:space="preserve"> </w:t>
      </w:r>
      <w:r>
        <w:rPr>
          <w:iCs/>
          <w:i/>
        </w:rPr>
        <w:t xml:space="preserve">constant term</w:t>
      </w:r>
      <w:r>
        <w:t xml:space="preserve"> </w:t>
      </w:r>
      <w:r>
        <w:t xml:space="preserve">of such a polynomial, then hand out points on its curve as shares.</w:t>
      </w:r>
    </w:p>
    <w:p>
      <w:pPr>
        <w:numPr>
          <w:ilvl w:val="0"/>
          <w:numId w:val="1027"/>
        </w:numPr>
      </w:pPr>
      <w:r>
        <w:t xml:space="preserve">To split a secret</w:t>
      </w:r>
      <w:r>
        <w:t xml:space="preserve"> </w:t>
      </w:r>
      <w:r>
        <w:rPr>
          <w:rStyle w:val="DefaultParagraphFont"/>
        </w:rPr>
        <w:t xml:space="preserve">S</w:t>
      </w:r>
      <w:r>
        <w:t xml:space="preserve"> </w:t>
      </w:r>
      <w:r>
        <w:t xml:space="preserve">into T shares with threshold D, build a polynomial of degree D−1:</w:t>
      </w:r>
    </w:p>
    <w:p>
      <w:pPr>
        <w:numPr>
          <w:ilvl w:val="0"/>
          <w:numId w:val="1000"/>
        </w:numPr>
      </w:pPr>
      <w:r>
        <w:rPr>
          <w:rStyle w:val="DefaultParagraphFont"/>
        </w:rPr>
        <w:t xml:space="preserve">f(x) = S + a₁x + a₂x² + ... + a_(D-1)x^(D-1)</w:t>
      </w:r>
    </w:p>
    <w:p>
      <w:pPr>
        <w:numPr>
          <w:ilvl w:val="0"/>
          <w:numId w:val="1000"/>
        </w:numPr>
      </w:pPr>
      <w:r>
        <w:t xml:space="preserve">where</w:t>
      </w:r>
      <w:r>
        <w:t xml:space="preserve"> </w:t>
      </w:r>
      <w:r>
        <w:rPr>
          <w:rStyle w:val="DefaultParagraphFont"/>
        </w:rPr>
        <w:t xml:space="preserve">a₁, ..., a_(D-1)</w:t>
      </w:r>
      <w:r>
        <w:t xml:space="preserve"> </w:t>
      </w:r>
      <w:r>
        <w:t xml:space="preserve">are</w:t>
      </w:r>
      <w:r>
        <w:t xml:space="preserve"> </w:t>
      </w:r>
      <w:r>
        <w:rPr>
          <w:bCs/>
          <w:b/>
        </w:rPr>
        <w:t xml:space="preserve">random coefficients</w:t>
      </w:r>
      <w:r>
        <w:t xml:space="preserve">, and the constant term is the secret:</w:t>
      </w:r>
      <w:r>
        <w:t xml:space="preserve"> </w:t>
      </w:r>
      <w:r>
        <w:rPr>
          <w:rStyle w:val="DefaultParagraphFont"/>
        </w:rPr>
        <w:t xml:space="preserve">f(0) = S</w:t>
      </w:r>
      <w:r>
        <w:t xml:space="preserve">.</w:t>
      </w:r>
    </w:p>
    <w:p>
      <w:pPr>
        <w:numPr>
          <w:ilvl w:val="0"/>
          <w:numId w:val="1027"/>
        </w:numPr>
      </w:pPr>
      <w:r>
        <w:t xml:space="preserve">Generate T shares by evaluating this polynomial at T distinct nonzero x-values:</w:t>
      </w:r>
    </w:p>
    <w:p>
      <w:pPr>
        <w:numPr>
          <w:ilvl w:val="0"/>
          <w:numId w:val="1000"/>
        </w:numPr>
      </w:pPr>
      <w:r>
        <w:rPr>
          <w:rStyle w:val="DefaultParagraphFont"/>
        </w:rPr>
        <w:t xml:space="preserve">share_i = (i, f(i))</w:t>
      </w:r>
      <w:r>
        <w:t xml:space="preserve"> </w:t>
      </w:r>
      <w:r>
        <w:t xml:space="preserve">for</w:t>
      </w:r>
      <w:r>
        <w:t xml:space="preserve"> </w:t>
      </w:r>
      <w:r>
        <w:rPr>
          <w:rStyle w:val="DefaultParagraphFont"/>
        </w:rPr>
        <w:t xml:space="preserve">i = 1, 2, ..., T</w:t>
      </w:r>
    </w:p>
    <w:p>
      <w:pPr>
        <w:numPr>
          <w:ilvl w:val="0"/>
          <w:numId w:val="1027"/>
        </w:numPr>
      </w:pPr>
      <w:r>
        <w:t xml:space="preserve">Distribute one</w:t>
      </w:r>
      <w:r>
        <w:t xml:space="preserve"> </w:t>
      </w:r>
      <w:r>
        <w:rPr>
          <w:rStyle w:val="DefaultParagraphFont"/>
        </w:rPr>
        <w:t xml:space="preserve">(x, f(x))</w:t>
      </w:r>
      <w:r>
        <w:t xml:space="preserve"> </w:t>
      </w:r>
      <w:r>
        <w:t xml:space="preserve">point to each of the T trustees.</w:t>
      </w:r>
    </w:p>
    <w:p>
      <w:pPr>
        <w:pStyle w:val="Normal"/>
      </w:pPr>
      <w:r>
        <w:rPr>
          <w:bCs/>
          <w:b/>
        </w:rPr>
        <w:t xml:space="preserve">Reconstruction:</w:t>
      </w:r>
      <w:r>
        <w:t xml:space="preserve"> </w:t>
      </w:r>
      <w:r>
        <w:t xml:space="preserve">given any D of these points, you can fit the unique degree-(D−1) polynomial that passes through them, using</w:t>
      </w:r>
      <w:r>
        <w:t xml:space="preserve"> </w:t>
      </w:r>
      <w:r>
        <w:rPr>
          <w:bCs/>
          <w:b/>
        </w:rPr>
        <w:t xml:space="preserve">Lagrange interpolation</w:t>
      </w:r>
      <w:r>
        <w:t xml:space="preserve">, and evaluate it at</w:t>
      </w:r>
      <w:r>
        <w:t xml:space="preserve"> </w:t>
      </w:r>
      <w:r>
        <w:rPr>
          <w:rStyle w:val="DefaultParagraphFont"/>
        </w:rPr>
        <w:t xml:space="preserve">x = 0</w:t>
      </w:r>
      <w:r>
        <w:t xml:space="preserve"> </w:t>
      </w:r>
      <w:r>
        <w:t xml:space="preserve">to recover</w:t>
      </w:r>
      <w:r>
        <w:t xml:space="preserve"> </w:t>
      </w:r>
      <w:r>
        <w:rPr>
          <w:rStyle w:val="DefaultParagraphFont"/>
        </w:rPr>
        <w:t xml:space="preserve">f(0) = S</w:t>
      </w:r>
      <w:r>
        <w:t xml:space="preserve">.</w:t>
      </w:r>
    </w:p>
    <w:bookmarkEnd w:id="125"/>
    <w:bookmarkStart w:id="126" w:name="X66d88984b6a65c1d945ad7f2d9a8a2f5d816b7d"/>
    <w:p>
      <w:pPr>
        <w:pStyle w:val="Heading2"/>
      </w:pPr>
      <w:r>
        <w:t xml:space="preserve">A.4 Why Fewer Than D Shares Reveal Nothing</w:t>
      </w:r>
    </w:p>
    <w:p>
      <w:pPr>
        <w:pStyle w:val="Normal"/>
      </w:pPr>
      <w:r>
        <w:t xml:space="preserve">This is the part that separates SSS from</w:t>
      </w:r>
      <w:r>
        <w:t xml:space="preserve"> </w:t>
      </w:r>
      <w:r>
        <w:t xml:space="preserve">“</w:t>
      </w:r>
      <w:r>
        <w:t xml:space="preserve">encryption</w:t>
      </w:r>
      <w:r>
        <w:t xml:space="preserve">”</w:t>
      </w:r>
      <w:r>
        <w:t xml:space="preserve"> </w:t>
      </w:r>
      <w:r>
        <w:t xml:space="preserve">in the usual sense — it’s not computationally hard to break with fewer shares, it’s</w:t>
      </w:r>
      <w:r>
        <w:t xml:space="preserve"> </w:t>
      </w:r>
      <w:r>
        <w:rPr>
          <w:bCs/>
          <w:b/>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Cs/>
          <w:i/>
        </w:rPr>
        <w:t xml:space="preserve">every possible value</w:t>
      </w:r>
      <w:r>
        <w:t xml:space="preserve"> </w:t>
      </w:r>
      <w:r>
        <w:t xml:space="preserve">of</w:t>
      </w:r>
      <w:r>
        <w:t xml:space="preserve"> </w:t>
      </w:r>
      <w:r>
        <w:rPr>
          <w:rStyle w:val="DefaultParagraphFont"/>
        </w:rPr>
        <w:t xml:space="preserve">f(0)</w:t>
      </w:r>
      <w:r>
        <w:t xml:space="preserve">. Each candidate secret is equally consistent with the data you have. You haven’t narrowed the search space at all; you’ve learned literally zero bits about</w:t>
      </w:r>
      <w:r>
        <w:t xml:space="preserve"> </w:t>
      </w:r>
      <w:r>
        <w:rPr>
          <w:rStyle w:val="DefaultParagraphFont"/>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shares.</w:t>
      </w:r>
    </w:p>
    <w:p>
      <w:pPr>
        <w:pStyle w:val="BodyText"/>
      </w:pPr>
      <w:r>
        <w:t xml:space="preserve">It also means there’s no such thing as partial progress. A combination lock rewards partial knowledge — get two of three digits right and you are, in a real sense, close. A threshold secret share does not work that way. D−1 points together don’t narrow the secret down to a short list of likely candidates; they leave</w:t>
      </w:r>
      <w:r>
        <w:t xml:space="preserve"> </w:t>
      </w:r>
      <w:r>
        <w:rPr>
          <w:iCs/>
          <w:i/>
        </w:rPr>
        <w:t xml:space="preserve">every</w:t>
      </w:r>
      <w:r>
        <w:t xml:space="preserve"> </w:t>
      </w:r>
      <w:r>
        <w:t xml:space="preserve">possible value exactly as plausible as before. There’s no</w:t>
      </w:r>
      <w:r>
        <w:t xml:space="preserve"> </w:t>
      </w:r>
      <w:r>
        <w:t xml:space="preserve">“</w:t>
      </w:r>
      <w:r>
        <w:t xml:space="preserve">getting warmer,</w:t>
      </w:r>
      <w:r>
        <w:t xml:space="preserve">”</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126"/>
    <w:bookmarkStart w:id="127" w:name="a.5-why-gf256-instead-of-real-numbers"/>
    <w:p>
      <w:pPr>
        <w:pStyle w:val="Heading2"/>
      </w:pPr>
      <w:r>
        <w:t xml:space="preserve">A.5 Why GF(256) Instead of Real Numbers</w:t>
      </w:r>
    </w:p>
    <w:p>
      <w:pPr>
        <w:pStyle w:val="Normal"/>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Cs/>
          <w:b/>
        </w:rPr>
        <w:t xml:space="preserve">finite field</w:t>
      </w:r>
      <w:r>
        <w:t xml:space="preserve"> </w:t>
      </w:r>
      <w:r>
        <w:t xml:space="preserve">— a closed, exact number system with no rounding.</w:t>
      </w:r>
    </w:p>
    <w:p>
      <w:pPr>
        <w:pStyle w:val="BodyText"/>
      </w:pPr>
      <w:r>
        <w:t xml:space="preserve">Shardic uses</w:t>
      </w:r>
      <w:r>
        <w:t xml:space="preserve"> </w:t>
      </w:r>
      <w:r>
        <w:rPr>
          <w:bCs/>
          <w:b/>
        </w:rPr>
        <w:t xml:space="preserve">GF(256)</w:t>
      </w:r>
      <w:r>
        <w:t xml:space="preserve">, the finite field with 256 elements, which conveniently maps one field element to exactly one byte (2⁸ = 256). Every arithmetic operation — polynomial evaluation, interpolation — is closed within this system, so shares and reconstructed secrets are exact bytes with no precision loss. This is also</w:t>
      </w:r>
      <w:r>
        <w:t xml:space="preserve"> </w:t>
      </w:r>
      <w:r>
        <w:rPr>
          <w:iCs/>
          <w:i/>
        </w:rPr>
        <w:t xml:space="preserve">why</w:t>
      </w:r>
      <w:r>
        <w:t xml:space="preserve"> </w:t>
      </w:r>
      <w:r>
        <w:t xml:space="preserve">GF(256) has a hard structural ceiling: with only 256 possible nonzero x-coordinates (well, 255, since 0 is reserved for the secret’s evaluation point), you can’t hand out more than 255 distinct shares without either colliding x-values or moving to a bigger field (GF(2¹⁶)) or a prime-field construction. It’s not a tunable setting — it’s the size of the number system itself.</w:t>
      </w:r>
    </w:p>
    <w:bookmarkEnd w:id="127"/>
    <w:bookmarkStart w:id="128" w:name="a.6-how-this-becomes-shardic"/>
    <w:p>
      <w:pPr>
        <w:pStyle w:val="Heading2"/>
      </w:pPr>
      <w:r>
        <w:t xml:space="preserve">A.6 How This Becomes Shardic</w:t>
      </w:r>
    </w:p>
    <w:p>
      <w:pPr>
        <w:pStyle w:val="Normal"/>
      </w:pPr>
      <w:r>
        <w:t xml:space="preserve">Shardic doesn’t split your</w:t>
      </w:r>
      <w:r>
        <w:t xml:space="preserve"> </w:t>
      </w:r>
      <w:r>
        <w:rPr>
          <w:iCs/>
          <w:i/>
        </w:rPr>
        <w:t xml:space="preserve">file</w:t>
      </w:r>
      <w:r>
        <w:t xml:space="preserve"> </w:t>
      </w:r>
      <w:r>
        <w:t xml:space="preserve">with SSS — it splits the</w:t>
      </w:r>
      <w:r>
        <w:t xml:space="preserve"> </w:t>
      </w:r>
      <w:r>
        <w:rPr>
          <w:bCs/>
          <w:b/>
        </w:rPr>
        <w:t xml:space="preserve">encryption key</w:t>
      </w:r>
      <w:r>
        <w:t xml:space="preserve">.</w:t>
      </w:r>
    </w:p>
    <w:p>
      <w:pPr>
        <w:numPr>
          <w:ilvl w:val="0"/>
          <w:numId w:val="1028"/>
        </w:numPr>
        <w:pStyle w:val="Normal"/>
      </w:pPr>
      <w:r>
        <w:t xml:space="preserve">Your file is encrypted with</w:t>
      </w:r>
      <w:r>
        <w:t xml:space="preserve"> </w:t>
      </w:r>
      <w:r>
        <w:rPr>
          <w:bCs/>
          <w:b/>
        </w:rPr>
        <w:t xml:space="preserve">AES-256-GCM</w:t>
      </w:r>
      <w:r>
        <w:t xml:space="preserve"> </w:t>
      </w:r>
      <w:r>
        <w:t xml:space="preserve">under a randomly generated</w:t>
      </w:r>
      <w:r>
        <w:t xml:space="preserve"> </w:t>
      </w:r>
      <w:r>
        <w:rPr>
          <w:bCs/>
          <w:b/>
        </w:rPr>
        <w:t xml:space="preserve">Data Encryption Key (DEK)</w:t>
      </w:r>
      <w:r>
        <w:t xml:space="preserve">. This is fast, standard symmetric encryption — SSS is never applied to bulk data because polynomial math over GF(256) doesn’t scale to megabytes efficiently.</w:t>
      </w:r>
    </w:p>
    <w:p>
      <w:pPr>
        <w:numPr>
          <w:ilvl w:val="0"/>
          <w:numId w:val="1028"/>
        </w:numPr>
        <w:pStyle w:val="Normal"/>
      </w:pPr>
      <w:r>
        <w:t xml:space="preserve">That 256-bit DEK is the</w:t>
      </w:r>
      <w:r>
        <w:t xml:space="preserve"> </w:t>
      </w:r>
      <w:r>
        <w:t xml:space="preserve">“</w:t>
      </w:r>
      <w:r>
        <w:t xml:space="preserve">secret</w:t>
      </w:r>
      <w:r>
        <w:t xml:space="preserve">”</w:t>
      </w:r>
      <w:r>
        <w:t xml:space="preserve"> </w:t>
      </w:r>
      <w:r>
        <w:rPr>
          <w:rStyle w:val="DefaultParagraphFont"/>
        </w:rPr>
        <w:t xml:space="preserve">S</w:t>
      </w:r>
      <w:r>
        <w:t xml:space="preserve"> </w:t>
      </w:r>
      <w:r>
        <w:t xml:space="preserve">fed into Shamir’s construction, split into T shares under threshold D — i.e., any D trustees can reconstruct the DEK; fewer cannot, even in principle.</w:t>
      </w:r>
    </w:p>
    <w:p>
      <w:pPr>
        <w:numPr>
          <w:ilvl w:val="0"/>
          <w:numId w:val="1028"/>
        </w:numPr>
        <w:pStyle w:val="Normal"/>
      </w:pPr>
      <w:r>
        <w:t xml:space="preserve">Each share is further protected by a memorable</w:t>
      </w:r>
      <w:r>
        <w:t xml:space="preserve"> </w:t>
      </w:r>
      <w:r>
        <w:rPr>
          <w:bCs/>
          <w:b/>
        </w:rPr>
        <w:t xml:space="preserve">codeword</w:t>
      </w:r>
      <w:r>
        <w:t xml:space="preserve">, run through a KDF (Argon2id or PBKDF2) so that possessing the raw share bytes isn’t enough — you also need the human-memorized word.</w:t>
      </w:r>
    </w:p>
    <w:p>
      <w:pPr>
        <w:numPr>
          <w:ilvl w:val="0"/>
          <w:numId w:val="1028"/>
        </w:numPr>
        <w:pStyle w:val="Normal"/>
      </w:pPr>
      <w:r>
        <w:t xml:space="preserve">At recovery time, once D correct codewords unlock D shares, Lagrange interpolation reconstructs the DEK, and AES-GCM decrypts the file.</w:t>
      </w:r>
    </w:p>
    <w:p>
      <w:pPr>
        <w:pStyle w:val="Normal"/>
      </w:pPr>
      <w:r>
        <w:t xml:space="preserve">So the security model has two independent layers stacked:</w:t>
      </w:r>
      <w:r>
        <w:t xml:space="preserve"> </w:t>
      </w:r>
      <w:r>
        <w:rPr>
          <w:bCs/>
          <w:b/>
        </w:rPr>
        <w:t xml:space="preserve">AES-GCM</w:t>
      </w:r>
      <w:r>
        <w:t xml:space="preserve"> </w:t>
      </w:r>
      <w:r>
        <w:t xml:space="preserve">protects the bulk data computationally (hard to break, but not impossible in principle), while</w:t>
      </w:r>
      <w:r>
        <w:t xml:space="preserve"> </w:t>
      </w:r>
      <w:r>
        <w:rPr>
          <w:bCs/>
          <w:b/>
        </w:rPr>
        <w:t xml:space="preserve">Shamir’s Secret Sharing</w:t>
      </w:r>
      <w:r>
        <w:t xml:space="preserve"> </w:t>
      </w:r>
      <w:r>
        <w:t xml:space="preserve">protects the</w:t>
      </w:r>
      <w:r>
        <w:t xml:space="preserve"> </w:t>
      </w:r>
      <w:r>
        <w:rPr>
          <w:iCs/>
          <w:i/>
        </w:rPr>
        <w:t xml:space="preserve">key itself</w:t>
      </w:r>
      <w:r>
        <w:t xml:space="preserve"> </w:t>
      </w:r>
      <w:r>
        <w:t xml:space="preserve">information-theoretically (impossible to break with insufficient shares, full stop, regardless of computing power).</w:t>
      </w:r>
    </w:p>
    <w:bookmarkEnd w:id="128"/>
    <w:bookmarkStart w:id="129" w:name="Xa51ee8ffb13eb9c3a5a05a0704e792e2a790682"/>
    <w:p>
      <w:pPr>
        <w:pStyle w:val="Heading2"/>
      </w:pPr>
      <w:r>
        <w:t xml:space="preserve">A.7 Where Shardic Extends the Textbook Scheme</w:t>
      </w:r>
    </w:p>
    <w:p>
      <w:pPr>
        <w:pStyle w:val="Normal"/>
      </w:pPr>
      <w:r>
        <w:t xml:space="preserve">A few things shardic adds on top of vanilla SSS that are worth knowing, since they’re not part of Shamir’s original 1979 construction:</w:t>
      </w:r>
    </w:p>
    <w:p>
      <w:pPr>
        <w:numPr>
          <w:ilvl w:val="0"/>
          <w:numId w:val="1029"/>
        </w:numPr>
        <w:pStyle w:val="Normal"/>
      </w:pPr>
      <w:r>
        <w:rPr>
          <w:bCs/>
          <w:b/>
        </w:rPr>
        <w:t xml:space="preserve">Zero-leakage indexing</w:t>
      </w:r>
      <w:r>
        <w:t xml:space="preserve">: normally you’d store metadata mapping</w:t>
      </w:r>
      <w:r>
        <w:t xml:space="preserve"> </w:t>
      </w:r>
      <w:r>
        <w:t xml:space="preserve">“</w:t>
      </w:r>
      <w:r>
        <w:t xml:space="preserve">codeword A → share 3</w:t>
      </w:r>
      <w:r>
        <w:t xml:space="preserve">”</w:t>
      </w:r>
      <w:r>
        <w:t xml:space="preserve"> </w:t>
      </w:r>
      <w:r>
        <w:t xml:space="preserve">for lookup convenience. Shardic doesn’t — it brute-trials each entered codeword against all unmatched share records, using the AES-GCM authentication tag as a correctness oracle. This means the metadata file itself leaks no information about which codeword belongs to which share, closing a side-channel that a naive implementation would otherwise expose.</w:t>
      </w:r>
    </w:p>
    <w:p>
      <w:pPr>
        <w:numPr>
          <w:ilvl w:val="0"/>
          <w:numId w:val="1029"/>
        </w:numPr>
        <w:pStyle w:val="Normal"/>
      </w:pPr>
      <w:r>
        <w:rPr>
          <w:bCs/>
          <w:b/>
        </w:rPr>
        <w:t xml:space="preserve">shardic-prime</w:t>
      </w:r>
      <w:r>
        <w:t xml:space="preserve">: a variant that designates exactly one trustee as the</w:t>
      </w:r>
      <w:r>
        <w:t xml:space="preserve"> </w:t>
      </w:r>
      <w:r>
        <w:rPr>
          <w:iCs/>
          <w:i/>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numPr>
          <w:ilvl w:val="0"/>
          <w:numId w:val="1029"/>
        </w:numPr>
        <w:pStyle w:val="Normal"/>
      </w:pPr>
      <w:r>
        <w:rPr>
          <w:bCs/>
          <w:b/>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129"/>
    <w:bookmarkStart w:id="130" w:name="a.8-the-one-sentence-summary"/>
    <w:p>
      <w:pPr>
        <w:pStyle w:val="Heading2"/>
      </w:pPr>
      <w:r>
        <w:t xml:space="preserve">A.8 The One-Sentence Summary</w:t>
      </w:r>
    </w:p>
    <w:p>
      <w:pPr>
        <w:pStyle w:val="Normal"/>
      </w:pPr>
      <w:r>
        <w:t xml:space="preserve">Shamir’s Secret Sharing turns</w:t>
      </w:r>
      <w:r>
        <w:t xml:space="preserve"> </w:t>
      </w:r>
      <w:r>
        <w:t xml:space="preserve">“</w:t>
      </w:r>
      <w:r>
        <w:t xml:space="preserve">split a secret among T people, any D of whom can recover it</w:t>
      </w:r>
      <w:r>
        <w:t xml:space="preserve">”</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130"/>
    <w:bookmarkEnd w:id="131"/>
    <w:sectPr w:rsidR="00E2036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74776191" w:numId="1">
    <w:abstractNumId w:val="8"/>
  </w:num>
  <w:num w16cid:durableId="1335181296" w:numId="2">
    <w:abstractNumId w:val="6"/>
  </w:num>
  <w:num w16cid:durableId="1190529949" w:numId="3">
    <w:abstractNumId w:val="5"/>
  </w:num>
  <w:num w16cid:durableId="1133861858" w:numId="4">
    <w:abstractNumId w:val="4"/>
  </w:num>
  <w:num w16cid:durableId="1324118729" w:numId="5">
    <w:abstractNumId w:val="7"/>
  </w:num>
  <w:num w16cid:durableId="1400637882" w:numId="6">
    <w:abstractNumId w:val="3"/>
  </w:num>
  <w:num w16cid:durableId="689644449" w:numId="7">
    <w:abstractNumId w:val="2"/>
  </w:num>
  <w:num w16cid:durableId="2140687638" w:numId="8">
    <w:abstractNumId w:val="1"/>
  </w:num>
  <w:num w16cid:durableId="1532451062"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65" Target="media/rId65.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2026-08-17T17:12:15Z</dcterms:created>
  <dcterms:modified xsi:type="dcterms:W3CDTF">2026-08-17T17:12:15Z</dcterms:modified>
</cp:coreProperties>
</file>

<file path=docProps/custom.xml><?xml version="1.0" encoding="utf-8"?>
<Properties xmlns="http://schemas.openxmlformats.org/officeDocument/2006/custom-properties" xmlns:vt="http://schemas.openxmlformats.org/officeDocument/2006/docPropsVTypes"/>
</file>