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679" w:rsidRDefault="00E21679">
      <w:pPr>
        <w:rPr>
          <w:rFonts w:ascii="Garamond" w:hAnsi="Garamond"/>
          <w:b/>
        </w:rPr>
      </w:pPr>
      <w:r>
        <w:rPr>
          <w:rFonts w:ascii="Garamond" w:hAnsi="Garamond"/>
          <w:b/>
        </w:rPr>
        <w:t>Incident Wave Swath Method: Formulation and Limitations</w:t>
      </w:r>
    </w:p>
    <w:p w:rsidR="00E21679" w:rsidRPr="00E21679" w:rsidRDefault="00E21679">
      <w:pPr>
        <w:rPr>
          <w:rFonts w:ascii="Garamond" w:hAnsi="Garamond"/>
        </w:rPr>
      </w:pPr>
      <w:r>
        <w:rPr>
          <w:rFonts w:ascii="Garamond" w:hAnsi="Garamond"/>
        </w:rPr>
        <w:t>S. Jeanette Clark</w:t>
      </w:r>
    </w:p>
    <w:p w:rsidR="00E21679" w:rsidRDefault="00E21679">
      <w:pPr>
        <w:rPr>
          <w:rFonts w:ascii="Garamond" w:hAnsi="Garamond"/>
          <w:b/>
        </w:rPr>
      </w:pPr>
    </w:p>
    <w:p w:rsidR="00E21679" w:rsidRDefault="00E21679">
      <w:pPr>
        <w:rPr>
          <w:rFonts w:ascii="Garamond" w:hAnsi="Garamond"/>
          <w:b/>
        </w:rPr>
      </w:pPr>
    </w:p>
    <w:p w:rsidR="00E21679" w:rsidRDefault="00E21679">
      <w:pPr>
        <w:rPr>
          <w:rFonts w:ascii="Garamond" w:hAnsi="Garamond"/>
          <w:b/>
        </w:rPr>
      </w:pPr>
    </w:p>
    <w:p w:rsidR="003D34FF" w:rsidRPr="009D2E0E" w:rsidRDefault="009D2E0E">
      <w:pPr>
        <w:rPr>
          <w:rFonts w:ascii="Garamond" w:hAnsi="Garamond"/>
          <w:b/>
        </w:rPr>
      </w:pPr>
      <w:r w:rsidRPr="009D2E0E">
        <w:rPr>
          <w:rFonts w:ascii="Garamond" w:hAnsi="Garamond"/>
          <w:b/>
        </w:rPr>
        <w:t>Introduction</w:t>
      </w:r>
    </w:p>
    <w:p w:rsidR="009D2E0E" w:rsidRDefault="009D2E0E">
      <w:pPr>
        <w:rPr>
          <w:b/>
        </w:rPr>
      </w:pPr>
    </w:p>
    <w:p w:rsidR="00A138B9" w:rsidRDefault="00963DA5">
      <w:pPr>
        <w:rPr>
          <w:rFonts w:ascii="Garamond" w:hAnsi="Garamond"/>
        </w:rPr>
      </w:pPr>
      <w:r>
        <w:rPr>
          <w:rFonts w:ascii="Garamond" w:hAnsi="Garamond"/>
        </w:rPr>
        <w:tab/>
        <w:t>Wave forcing is a known driv</w:t>
      </w:r>
      <w:r w:rsidR="006252D5">
        <w:rPr>
          <w:rFonts w:ascii="Garamond" w:hAnsi="Garamond"/>
        </w:rPr>
        <w:t>er of community structure on coral reefs</w:t>
      </w:r>
      <w:r>
        <w:rPr>
          <w:rFonts w:ascii="Garamond" w:hAnsi="Garamond"/>
        </w:rPr>
        <w:t xml:space="preserve"> (Gove </w:t>
      </w:r>
      <w:r w:rsidR="00D1196D">
        <w:rPr>
          <w:rFonts w:ascii="Garamond" w:hAnsi="Garamond"/>
        </w:rPr>
        <w:t>et al 2013</w:t>
      </w:r>
      <w:r w:rsidR="00A538F0">
        <w:rPr>
          <w:rFonts w:ascii="Garamond" w:hAnsi="Garamond"/>
        </w:rPr>
        <w:t>;</w:t>
      </w:r>
      <w:r w:rsidR="006252D5">
        <w:rPr>
          <w:rFonts w:ascii="Garamond" w:hAnsi="Garamond"/>
        </w:rPr>
        <w:t xml:space="preserve"> </w:t>
      </w:r>
      <w:r w:rsidR="00D1196D">
        <w:rPr>
          <w:rFonts w:ascii="Garamond" w:hAnsi="Garamond"/>
        </w:rPr>
        <w:t>Gove et al 2015</w:t>
      </w:r>
      <w:r w:rsidR="00A538F0">
        <w:rPr>
          <w:rFonts w:ascii="Garamond" w:hAnsi="Garamond"/>
        </w:rPr>
        <w:t>;</w:t>
      </w:r>
      <w:r w:rsidR="006252D5">
        <w:rPr>
          <w:rFonts w:ascii="Garamond" w:hAnsi="Garamond"/>
        </w:rPr>
        <w:t xml:space="preserve"> Richards</w:t>
      </w:r>
      <w:r w:rsidR="00D1196D">
        <w:rPr>
          <w:rFonts w:ascii="Garamond" w:hAnsi="Garamond"/>
        </w:rPr>
        <w:t xml:space="preserve"> et al</w:t>
      </w:r>
      <w:r w:rsidR="006252D5">
        <w:rPr>
          <w:rFonts w:ascii="Garamond" w:hAnsi="Garamond"/>
        </w:rPr>
        <w:t xml:space="preserve"> 2012).</w:t>
      </w:r>
      <w:r>
        <w:rPr>
          <w:rFonts w:ascii="Garamond" w:hAnsi="Garamond"/>
        </w:rPr>
        <w:t xml:space="preserve"> </w:t>
      </w:r>
      <w:r w:rsidR="006252D5">
        <w:rPr>
          <w:rFonts w:ascii="Garamond" w:hAnsi="Garamond"/>
        </w:rPr>
        <w:t>To examine the effect of wave forcing, however, i</w:t>
      </w:r>
      <w:r w:rsidR="006A2A06">
        <w:rPr>
          <w:rFonts w:ascii="Garamond" w:hAnsi="Garamond"/>
        </w:rPr>
        <w:t xml:space="preserve">n the absence of direct observations at the site level, proxies for wave exposure must be developed utilizing satellite data, numerical models, or a combination of the two. </w:t>
      </w:r>
      <w:r w:rsidR="004F6562">
        <w:rPr>
          <w:rFonts w:ascii="Garamond" w:hAnsi="Garamond"/>
        </w:rPr>
        <w:t xml:space="preserve">Numerical models, while the most accurate, are computationally expensive and require complete, high resolution bathymetry data, which is not always available. </w:t>
      </w:r>
    </w:p>
    <w:p w:rsidR="00A138B9" w:rsidRDefault="004F6562" w:rsidP="00A50D40">
      <w:pPr>
        <w:ind w:firstLine="720"/>
        <w:rPr>
          <w:rFonts w:ascii="Garamond" w:hAnsi="Garamond"/>
        </w:rPr>
      </w:pPr>
      <w:r>
        <w:rPr>
          <w:rFonts w:ascii="Garamond" w:hAnsi="Garamond"/>
        </w:rPr>
        <w:t xml:space="preserve">In the absence of the ability to run a numerical model, methods have been developed for estimating wave exposure using a combination of fetch length and exposure angles. Commonly, the wave directions that a site is exposed to are calculated using coastline data and </w:t>
      </w:r>
      <w:proofErr w:type="spellStart"/>
      <w:r>
        <w:rPr>
          <w:rFonts w:ascii="Garamond" w:hAnsi="Garamond"/>
        </w:rPr>
        <w:t>geoprocessing</w:t>
      </w:r>
      <w:proofErr w:type="spellEnd"/>
      <w:r>
        <w:rPr>
          <w:rFonts w:ascii="Garamond" w:hAnsi="Garamond"/>
        </w:rPr>
        <w:t xml:space="preserve"> software.</w:t>
      </w:r>
      <w:r w:rsidR="00617456">
        <w:rPr>
          <w:rFonts w:ascii="Garamond" w:hAnsi="Garamond"/>
        </w:rPr>
        <w:t xml:space="preserve"> Fetch is estimated by calculating the distance between a site and wave blocking objects within its wave-exposure swa</w:t>
      </w:r>
      <w:r w:rsidR="006252D5">
        <w:rPr>
          <w:rFonts w:ascii="Garamond" w:hAnsi="Garamond"/>
        </w:rPr>
        <w:t>th. W</w:t>
      </w:r>
      <w:r w:rsidR="00617456">
        <w:rPr>
          <w:rFonts w:ascii="Garamond" w:hAnsi="Garamond"/>
        </w:rPr>
        <w:t xml:space="preserve">ind data </w:t>
      </w:r>
      <w:r w:rsidR="000D71D3">
        <w:rPr>
          <w:rFonts w:ascii="Garamond" w:hAnsi="Garamond"/>
        </w:rPr>
        <w:t>are then</w:t>
      </w:r>
      <w:r w:rsidR="00617456">
        <w:rPr>
          <w:rFonts w:ascii="Garamond" w:hAnsi="Garamond"/>
        </w:rPr>
        <w:t xml:space="preserve"> incorporated to calculate a wave exposure metric based on</w:t>
      </w:r>
      <w:r w:rsidR="006252D5">
        <w:rPr>
          <w:rFonts w:ascii="Garamond" w:hAnsi="Garamond"/>
        </w:rPr>
        <w:t xml:space="preserve"> a combination of wave direction exposure</w:t>
      </w:r>
      <w:r w:rsidR="00617456">
        <w:rPr>
          <w:rFonts w:ascii="Garamond" w:hAnsi="Garamond"/>
        </w:rPr>
        <w:t xml:space="preserve">, fetch, and local wind conditions (Burrows et al, 2008; </w:t>
      </w:r>
      <w:proofErr w:type="spellStart"/>
      <w:r w:rsidR="00617456">
        <w:rPr>
          <w:rFonts w:ascii="Garamond" w:hAnsi="Garamond"/>
        </w:rPr>
        <w:t>Malhotra</w:t>
      </w:r>
      <w:proofErr w:type="spellEnd"/>
      <w:r w:rsidR="00617456">
        <w:rPr>
          <w:rFonts w:ascii="Garamond" w:hAnsi="Garamond"/>
        </w:rPr>
        <w:t xml:space="preserve"> and </w:t>
      </w:r>
      <w:proofErr w:type="spellStart"/>
      <w:r w:rsidR="00617456">
        <w:rPr>
          <w:rFonts w:ascii="Garamond" w:hAnsi="Garamond"/>
        </w:rPr>
        <w:t>Fonesca</w:t>
      </w:r>
      <w:proofErr w:type="spellEnd"/>
      <w:r w:rsidR="00617456">
        <w:rPr>
          <w:rFonts w:ascii="Garamond" w:hAnsi="Garamond"/>
        </w:rPr>
        <w:t xml:space="preserve">, 2007; Pepper and </w:t>
      </w:r>
      <w:proofErr w:type="spellStart"/>
      <w:r w:rsidR="00617456">
        <w:rPr>
          <w:rFonts w:ascii="Garamond" w:hAnsi="Garamond"/>
        </w:rPr>
        <w:t>Puotinen</w:t>
      </w:r>
      <w:proofErr w:type="spellEnd"/>
      <w:r w:rsidR="00617456">
        <w:rPr>
          <w:rFonts w:ascii="Garamond" w:hAnsi="Garamond"/>
        </w:rPr>
        <w:t xml:space="preserve">, 2009; </w:t>
      </w:r>
      <w:proofErr w:type="spellStart"/>
      <w:r w:rsidR="00617456">
        <w:rPr>
          <w:rFonts w:ascii="Garamond" w:hAnsi="Garamond"/>
        </w:rPr>
        <w:t>Puotinen</w:t>
      </w:r>
      <w:proofErr w:type="spellEnd"/>
      <w:r w:rsidR="00617456">
        <w:rPr>
          <w:rFonts w:ascii="Garamond" w:hAnsi="Garamond"/>
        </w:rPr>
        <w:t xml:space="preserve"> 2005). </w:t>
      </w:r>
      <w:r w:rsidR="00A138B9">
        <w:rPr>
          <w:rFonts w:ascii="Garamond" w:hAnsi="Garamond"/>
        </w:rPr>
        <w:t xml:space="preserve">This method can be </w:t>
      </w:r>
      <w:r w:rsidR="006252D5">
        <w:rPr>
          <w:rFonts w:ascii="Garamond" w:hAnsi="Garamond"/>
        </w:rPr>
        <w:t>useful</w:t>
      </w:r>
      <w:r w:rsidR="00A50D40">
        <w:rPr>
          <w:rFonts w:ascii="Garamond" w:hAnsi="Garamond"/>
        </w:rPr>
        <w:t xml:space="preserve"> and relatively accurate</w:t>
      </w:r>
      <w:r w:rsidR="00A138B9">
        <w:rPr>
          <w:rFonts w:ascii="Garamond" w:hAnsi="Garamond"/>
        </w:rPr>
        <w:t xml:space="preserve"> in regions where locally generated wind-swell </w:t>
      </w:r>
      <w:r w:rsidR="00A50D40">
        <w:rPr>
          <w:rFonts w:ascii="Garamond" w:hAnsi="Garamond"/>
        </w:rPr>
        <w:t>is the dominant form of wave energy. However, remotely generated swell can account for a large portion of wave energy a site experiences in some regions, such as areas that are exposed to swells coming from the mid-latitude regions of t</w:t>
      </w:r>
      <w:r w:rsidR="006252D5">
        <w:rPr>
          <w:rFonts w:ascii="Garamond" w:hAnsi="Garamond"/>
        </w:rPr>
        <w:t>he Atlantic and Pacific oceans.</w:t>
      </w:r>
    </w:p>
    <w:p w:rsidR="002C13A8" w:rsidRDefault="002C13A8">
      <w:pPr>
        <w:rPr>
          <w:rFonts w:ascii="Garamond" w:hAnsi="Garamond"/>
        </w:rPr>
      </w:pPr>
      <w:r>
        <w:tab/>
      </w:r>
      <w:r>
        <w:rPr>
          <w:rFonts w:ascii="Garamond" w:hAnsi="Garamond"/>
        </w:rPr>
        <w:t>The Coral Reef Ecosystem Program</w:t>
      </w:r>
      <w:r w:rsidR="00282F43">
        <w:rPr>
          <w:rFonts w:ascii="Garamond" w:hAnsi="Garamond"/>
        </w:rPr>
        <w:t xml:space="preserve"> does long term ecological monitoring at more than 40 remote islands in the Pacific. These islands fall within four main regions, the Hawaiian archipelago, Guam and the Commonwealth of the Northern Marianas, the Pacific Remote Island Area, and American Samoa</w:t>
      </w:r>
      <w:r>
        <w:rPr>
          <w:rFonts w:ascii="Garamond" w:hAnsi="Garamond"/>
        </w:rPr>
        <w:t>. Given the number of islands and lack of sufficient bathymetry data at many of them, running numerical models a</w:t>
      </w:r>
      <w:r w:rsidR="00A50D40">
        <w:rPr>
          <w:rFonts w:ascii="Garamond" w:hAnsi="Garamond"/>
        </w:rPr>
        <w:t xml:space="preserve">t each island is not feasible. </w:t>
      </w:r>
      <w:r>
        <w:rPr>
          <w:rFonts w:ascii="Garamond" w:hAnsi="Garamond"/>
        </w:rPr>
        <w:t>Using the output for a global wave model such as Wave Watch III (WW3) is also not ideal, since the resolution o</w:t>
      </w:r>
      <w:r w:rsidR="001701E7">
        <w:rPr>
          <w:rFonts w:ascii="Garamond" w:hAnsi="Garamond"/>
        </w:rPr>
        <w:t>f this model is 0.4</w:t>
      </w:r>
      <w:r>
        <w:rPr>
          <w:rFonts w:ascii="Garamond" w:hAnsi="Garamond"/>
        </w:rPr>
        <w:t xml:space="preserve"> degrees, and</w:t>
      </w:r>
      <w:r w:rsidR="00A50D40">
        <w:rPr>
          <w:rFonts w:ascii="Garamond" w:hAnsi="Garamond"/>
        </w:rPr>
        <w:t xml:space="preserve"> most islands are substantially smaller than a single grid cell</w:t>
      </w:r>
      <w:r>
        <w:rPr>
          <w:rFonts w:ascii="Garamond" w:hAnsi="Garamond"/>
        </w:rPr>
        <w:t>.</w:t>
      </w:r>
      <w:r w:rsidR="00A50D40">
        <w:rPr>
          <w:rFonts w:ascii="Garamond" w:hAnsi="Garamond"/>
        </w:rPr>
        <w:t xml:space="preserve"> Because all islands are exposed, to some degree</w:t>
      </w:r>
      <w:r>
        <w:rPr>
          <w:rFonts w:ascii="Garamond" w:hAnsi="Garamond"/>
        </w:rPr>
        <w:t>,</w:t>
      </w:r>
      <w:r w:rsidR="00A50D40">
        <w:rPr>
          <w:rFonts w:ascii="Garamond" w:hAnsi="Garamond"/>
        </w:rPr>
        <w:t xml:space="preserve"> to remotely generated swell,</w:t>
      </w:r>
      <w:r>
        <w:rPr>
          <w:rFonts w:ascii="Garamond" w:hAnsi="Garamond"/>
        </w:rPr>
        <w:t xml:space="preserve"> using local wind as a proxy for wave exposure is not likely to be accurate.</w:t>
      </w:r>
      <w:r w:rsidR="00486E0A">
        <w:rPr>
          <w:rFonts w:ascii="Garamond" w:hAnsi="Garamond"/>
        </w:rPr>
        <w:t xml:space="preserve"> Therefore</w:t>
      </w:r>
      <w:r>
        <w:rPr>
          <w:rFonts w:ascii="Garamond" w:hAnsi="Garamond"/>
        </w:rPr>
        <w:t xml:space="preserve">, </w:t>
      </w:r>
      <w:r w:rsidR="00A50D40">
        <w:rPr>
          <w:rFonts w:ascii="Garamond" w:hAnsi="Garamond"/>
        </w:rPr>
        <w:t xml:space="preserve">here we </w:t>
      </w:r>
      <w:r w:rsidR="000D71D3">
        <w:rPr>
          <w:rFonts w:ascii="Garamond" w:hAnsi="Garamond"/>
        </w:rPr>
        <w:t>describe</w:t>
      </w:r>
      <w:r w:rsidR="00A50D40">
        <w:rPr>
          <w:rFonts w:ascii="Garamond" w:hAnsi="Garamond"/>
        </w:rPr>
        <w:t xml:space="preserve"> a method util</w:t>
      </w:r>
      <w:r w:rsidR="000C762F">
        <w:rPr>
          <w:rFonts w:ascii="Garamond" w:hAnsi="Garamond"/>
        </w:rPr>
        <w:t>izing both WW3 data and coastline analysis of wave exposure to</w:t>
      </w:r>
      <w:r>
        <w:rPr>
          <w:rFonts w:ascii="Garamond" w:hAnsi="Garamond"/>
        </w:rPr>
        <w:t xml:space="preserve"> </w:t>
      </w:r>
      <w:r w:rsidR="000C762F">
        <w:rPr>
          <w:rFonts w:ascii="Garamond" w:hAnsi="Garamond"/>
        </w:rPr>
        <w:t>derive</w:t>
      </w:r>
      <w:r>
        <w:rPr>
          <w:rFonts w:ascii="Garamond" w:hAnsi="Garamond"/>
        </w:rPr>
        <w:t xml:space="preserve"> </w:t>
      </w:r>
      <w:proofErr w:type="gramStart"/>
      <w:r>
        <w:rPr>
          <w:rFonts w:ascii="Garamond" w:hAnsi="Garamond"/>
        </w:rPr>
        <w:t>a wave metric relevant to ecological studies</w:t>
      </w:r>
      <w:proofErr w:type="gramEnd"/>
      <w:r>
        <w:rPr>
          <w:rFonts w:ascii="Garamond" w:hAnsi="Garamond"/>
        </w:rPr>
        <w:t xml:space="preserve"> at near-shore sites around islands in the Pacific.</w:t>
      </w:r>
    </w:p>
    <w:p w:rsidR="002C13A8" w:rsidRDefault="002C13A8">
      <w:pPr>
        <w:rPr>
          <w:rFonts w:ascii="Garamond" w:hAnsi="Garamond"/>
        </w:rPr>
      </w:pPr>
    </w:p>
    <w:p w:rsidR="002C13A8" w:rsidRDefault="00515D04">
      <w:pPr>
        <w:rPr>
          <w:rFonts w:ascii="Garamond" w:hAnsi="Garamond"/>
        </w:rPr>
      </w:pPr>
      <w:r>
        <w:rPr>
          <w:rFonts w:ascii="Garamond" w:hAnsi="Garamond"/>
          <w:b/>
        </w:rPr>
        <w:t>Procedure</w:t>
      </w:r>
    </w:p>
    <w:p w:rsidR="002C13A8" w:rsidRDefault="002C13A8">
      <w:pPr>
        <w:rPr>
          <w:rFonts w:ascii="Garamond" w:hAnsi="Garamond"/>
        </w:rPr>
      </w:pPr>
    </w:p>
    <w:p w:rsidR="002C13A8" w:rsidRDefault="002C13A8">
      <w:pPr>
        <w:rPr>
          <w:rFonts w:ascii="Garamond" w:hAnsi="Garamond"/>
        </w:rPr>
      </w:pPr>
      <w:r>
        <w:rPr>
          <w:rFonts w:ascii="Garamond" w:hAnsi="Garamond"/>
        </w:rPr>
        <w:tab/>
      </w:r>
      <w:r w:rsidR="0092611E">
        <w:rPr>
          <w:rFonts w:ascii="Garamond" w:hAnsi="Garamond"/>
        </w:rPr>
        <w:t>In order to calculate a wave exposure metric for a specific site at an island, first that site’s incident wave swath must be determined. This incident wave swath consists of all</w:t>
      </w:r>
      <w:r w:rsidR="00486E0A">
        <w:rPr>
          <w:rFonts w:ascii="Garamond" w:hAnsi="Garamond"/>
        </w:rPr>
        <w:t xml:space="preserve"> wave directions a site is exposed to without a wave blocking object, such as a headland or </w:t>
      </w:r>
      <w:r w:rsidR="000D71D3">
        <w:rPr>
          <w:rFonts w:ascii="Garamond" w:hAnsi="Garamond"/>
        </w:rPr>
        <w:t xml:space="preserve">another </w:t>
      </w:r>
      <w:r w:rsidR="00486E0A">
        <w:rPr>
          <w:rFonts w:ascii="Garamond" w:hAnsi="Garamond"/>
        </w:rPr>
        <w:t>island, in the way</w:t>
      </w:r>
      <w:r w:rsidR="0092611E">
        <w:rPr>
          <w:rFonts w:ascii="Garamond" w:hAnsi="Garamond"/>
        </w:rPr>
        <w:t xml:space="preserve">. To determine a site’s incident wave swath, a radial plot of 360, 100km long lines is created. Where these lines intersect land, whether it is on the island itself or a neighboring island, that degree bin is </w:t>
      </w:r>
      <w:r w:rsidR="00515D04">
        <w:rPr>
          <w:rFonts w:ascii="Garamond" w:hAnsi="Garamond"/>
        </w:rPr>
        <w:t>removed from the radial plot, leaving only the angles open to expos</w:t>
      </w:r>
      <w:r w:rsidR="00486E0A">
        <w:rPr>
          <w:rFonts w:ascii="Garamond" w:hAnsi="Garamond"/>
        </w:rPr>
        <w:t>ure in the incident wave swath. A visualization of the incident wave swaths for four sites on Maui is shown in Figure 1.</w:t>
      </w:r>
    </w:p>
    <w:p w:rsidR="00275888" w:rsidRDefault="00275888">
      <w:pPr>
        <w:rPr>
          <w:rFonts w:ascii="Garamond" w:hAnsi="Garamond"/>
        </w:rPr>
      </w:pPr>
      <w:r>
        <w:rPr>
          <w:rFonts w:ascii="Garamond" w:hAnsi="Garamond"/>
        </w:rPr>
        <w:tab/>
        <w:t xml:space="preserve">Many islands of interest for CREP are low lying atolls with very little land area above sea-level, but still with large, shallow shoals where waves break. Because of this, during coastline analysis the contour used to derive incident wave swaths is not consistent between islands. The contour used </w:t>
      </w:r>
      <w:r w:rsidR="000D71D3">
        <w:rPr>
          <w:rFonts w:ascii="Garamond" w:hAnsi="Garamond"/>
        </w:rPr>
        <w:t>is the one that best represents</w:t>
      </w:r>
      <w:r>
        <w:rPr>
          <w:rFonts w:ascii="Garamond" w:hAnsi="Garamond"/>
        </w:rPr>
        <w:t xml:space="preserve"> the shape of the wave-affecting (</w:t>
      </w:r>
      <w:proofErr w:type="spellStart"/>
      <w:r>
        <w:rPr>
          <w:rFonts w:ascii="Garamond" w:hAnsi="Garamond"/>
        </w:rPr>
        <w:t>ie</w:t>
      </w:r>
      <w:proofErr w:type="spellEnd"/>
      <w:r>
        <w:rPr>
          <w:rFonts w:ascii="Garamond" w:hAnsi="Garamond"/>
        </w:rPr>
        <w:t xml:space="preserve"> shallow enough for most waves to break on) region. In some cases, the choice of contour </w:t>
      </w:r>
      <w:r w:rsidR="000D71D3">
        <w:rPr>
          <w:rFonts w:ascii="Garamond" w:hAnsi="Garamond"/>
        </w:rPr>
        <w:t>is</w:t>
      </w:r>
      <w:r>
        <w:rPr>
          <w:rFonts w:ascii="Garamond" w:hAnsi="Garamond"/>
        </w:rPr>
        <w:t xml:space="preserve"> limited by the amount of bathymetry data available. Table 1 shows a list of bathymetri</w:t>
      </w:r>
      <w:r w:rsidR="002D77CB">
        <w:rPr>
          <w:rFonts w:ascii="Garamond" w:hAnsi="Garamond"/>
        </w:rPr>
        <w:t>c contours used for each island and the sources of bathymetry data.</w:t>
      </w:r>
    </w:p>
    <w:p w:rsidR="00515D04" w:rsidRDefault="00515D04" w:rsidP="00515D04">
      <w:pPr>
        <w:widowControl w:val="0"/>
        <w:autoSpaceDE w:val="0"/>
        <w:autoSpaceDN w:val="0"/>
        <w:adjustRightInd w:val="0"/>
        <w:rPr>
          <w:rFonts w:ascii="Garamond" w:hAnsi="Garamond"/>
        </w:rPr>
      </w:pPr>
      <w:r>
        <w:rPr>
          <w:rFonts w:ascii="Garamond" w:hAnsi="Garamond"/>
        </w:rPr>
        <w:tab/>
        <w:t>Next, the closest WW3 data pixel is selected and the time-series of significant wave height, peak period, an</w:t>
      </w:r>
      <w:r w:rsidR="001701E7">
        <w:rPr>
          <w:rFonts w:ascii="Garamond" w:hAnsi="Garamond"/>
        </w:rPr>
        <w:t>d peak direction are extracted. The WW3 model used is model version 4.08 forced with Climate Forecast System Reanalysis surface winds</w:t>
      </w:r>
      <w:r w:rsidR="000D71D3">
        <w:rPr>
          <w:rFonts w:ascii="Garamond" w:hAnsi="Garamond"/>
        </w:rPr>
        <w:t xml:space="preserve">, developed by the Commonwealth Scientific and Industrial Research </w:t>
      </w:r>
      <w:proofErr w:type="spellStart"/>
      <w:r w:rsidR="000D71D3">
        <w:rPr>
          <w:rFonts w:ascii="Garamond" w:hAnsi="Garamond"/>
        </w:rPr>
        <w:t>Organisation</w:t>
      </w:r>
      <w:proofErr w:type="spellEnd"/>
      <w:r w:rsidR="001701E7">
        <w:rPr>
          <w:rFonts w:ascii="Garamond" w:hAnsi="Garamond"/>
        </w:rPr>
        <w:t xml:space="preserve"> (Durant et al, 2013). </w:t>
      </w:r>
      <w:r>
        <w:rPr>
          <w:rFonts w:ascii="Garamond" w:hAnsi="Garamond"/>
        </w:rPr>
        <w:t xml:space="preserve">Wave power is then calculated from the significant wave height </w:t>
      </w:r>
      <w:r>
        <w:rPr>
          <w:rFonts w:ascii="Garamond" w:hAnsi="Garamond"/>
        </w:rPr>
        <w:lastRenderedPageBreak/>
        <w:t xml:space="preserve">and peak period by the following equation: </w:t>
      </w:r>
    </w:p>
    <w:p w:rsidR="00515D04" w:rsidRDefault="00515D04" w:rsidP="00515D04">
      <w:pPr>
        <w:widowControl w:val="0"/>
        <w:autoSpaceDE w:val="0"/>
        <w:autoSpaceDN w:val="0"/>
        <w:adjustRightInd w:val="0"/>
        <w:rPr>
          <w:rFonts w:ascii="Garamond" w:hAnsi="Garamond"/>
        </w:rPr>
      </w:pPr>
    </w:p>
    <w:p w:rsidR="00515D04" w:rsidRPr="00515D04" w:rsidRDefault="00515D04" w:rsidP="00515D04">
      <w:pPr>
        <w:widowControl w:val="0"/>
        <w:autoSpaceDE w:val="0"/>
        <w:autoSpaceDN w:val="0"/>
        <w:adjustRightInd w:val="0"/>
        <w:rPr>
          <w:rFonts w:ascii="Garamond" w:hAnsi="Garamond" w:cs="Times New Roman"/>
        </w:rPr>
      </w:pPr>
      <w:proofErr w:type="spellStart"/>
      <w:r w:rsidRPr="00515D04">
        <w:rPr>
          <w:rFonts w:ascii="Garamond" w:hAnsi="Garamond" w:cs="Helvetica"/>
          <w:i/>
        </w:rPr>
        <w:t>E</w:t>
      </w:r>
      <w:r w:rsidRPr="00515D04">
        <w:rPr>
          <w:rFonts w:ascii="Garamond" w:hAnsi="Garamond" w:cs="Helvetica"/>
          <w:i/>
          <w:vertAlign w:val="subscript"/>
        </w:rPr>
        <w:t>f</w:t>
      </w:r>
      <w:proofErr w:type="spellEnd"/>
      <w:r w:rsidRPr="00515D04">
        <w:rPr>
          <w:rFonts w:ascii="Garamond" w:hAnsi="Garamond" w:cs="Helvetica"/>
        </w:rPr>
        <w:t xml:space="preserve"> = (</w:t>
      </w:r>
      <w:r w:rsidRPr="00515D04">
        <w:rPr>
          <w:rFonts w:ascii="Garamond" w:hAnsi="Garamond" w:cs="Cambria"/>
          <w:i/>
          <w:iCs/>
        </w:rPr>
        <w:t>ρ</w:t>
      </w:r>
      <w:r w:rsidRPr="00515D04">
        <w:rPr>
          <w:rFonts w:ascii="Garamond" w:hAnsi="Garamond" w:cs="Courier"/>
          <w:color w:val="000000"/>
        </w:rPr>
        <w:t xml:space="preserve"> </w:t>
      </w:r>
      <w:r w:rsidRPr="00515D04">
        <w:rPr>
          <w:rFonts w:ascii="Garamond" w:hAnsi="Garamond" w:cs="Courier"/>
          <w:i/>
          <w:color w:val="000000"/>
        </w:rPr>
        <w:t>g</w:t>
      </w:r>
      <w:r w:rsidRPr="00515D04">
        <w:rPr>
          <w:rFonts w:ascii="Garamond" w:hAnsi="Garamond" w:cs="Courier"/>
          <w:i/>
          <w:color w:val="000000"/>
          <w:vertAlign w:val="superscript"/>
        </w:rPr>
        <w:t>2</w:t>
      </w:r>
      <w:r w:rsidRPr="00515D04">
        <w:rPr>
          <w:rFonts w:ascii="Garamond" w:hAnsi="Garamond" w:cs="Courier"/>
          <w:color w:val="000000"/>
        </w:rPr>
        <w:t>/ 64</w:t>
      </w:r>
      <w:r w:rsidRPr="00515D04">
        <w:rPr>
          <w:rFonts w:ascii="Garamond" w:hAnsi="Garamond" w:cs="Lucida Grande"/>
          <w:i/>
          <w:color w:val="000000"/>
        </w:rPr>
        <w:t>π</w:t>
      </w:r>
      <w:r w:rsidRPr="00515D04">
        <w:rPr>
          <w:rFonts w:ascii="Garamond" w:hAnsi="Garamond" w:cs="Courier"/>
          <w:color w:val="000000"/>
        </w:rPr>
        <w:t>)</w:t>
      </w:r>
      <w:r w:rsidRPr="00515D04">
        <w:rPr>
          <w:rFonts w:ascii="Garamond" w:hAnsi="Garamond" w:cs="Times New Roman"/>
        </w:rPr>
        <w:t xml:space="preserve"> ×</w:t>
      </w:r>
      <w:r w:rsidRPr="00515D04">
        <w:rPr>
          <w:rFonts w:ascii="Garamond" w:hAnsi="Garamond" w:cs="Helvetica"/>
        </w:rPr>
        <w:t xml:space="preserve"> </w:t>
      </w:r>
      <w:r w:rsidRPr="00515D04">
        <w:rPr>
          <w:rFonts w:ascii="Garamond" w:hAnsi="Garamond" w:cs="Helvetica"/>
          <w:i/>
        </w:rPr>
        <w:t>H</w:t>
      </w:r>
      <w:r w:rsidRPr="00515D04">
        <w:rPr>
          <w:rFonts w:ascii="Garamond" w:hAnsi="Garamond" w:cs="Cambria"/>
          <w:i/>
          <w:iCs/>
          <w:vertAlign w:val="subscript"/>
        </w:rPr>
        <w:t>s</w:t>
      </w:r>
      <w:r w:rsidRPr="00515D04">
        <w:rPr>
          <w:rFonts w:ascii="Garamond" w:hAnsi="Garamond" w:cs="Helvetica"/>
        </w:rPr>
        <w:softHyphen/>
      </w:r>
      <w:r w:rsidRPr="00515D04">
        <w:rPr>
          <w:rFonts w:ascii="Garamond" w:hAnsi="Garamond" w:cs="Helvetica"/>
        </w:rPr>
        <w:softHyphen/>
      </w:r>
      <w:r w:rsidRPr="00515D04">
        <w:rPr>
          <w:rFonts w:ascii="Garamond" w:hAnsi="Garamond" w:cs="Helvetica"/>
        </w:rPr>
        <w:softHyphen/>
      </w:r>
      <w:r w:rsidRPr="00515D04">
        <w:rPr>
          <w:rFonts w:ascii="Garamond" w:hAnsi="Garamond" w:cs="Helvetica"/>
          <w:vertAlign w:val="superscript"/>
        </w:rPr>
        <w:t>2</w:t>
      </w:r>
      <w:r w:rsidRPr="00515D04">
        <w:rPr>
          <w:rFonts w:ascii="Garamond" w:hAnsi="Garamond" w:cs="Helvetica"/>
        </w:rPr>
        <w:t xml:space="preserve"> </w:t>
      </w:r>
      <w:r w:rsidRPr="00515D04">
        <w:rPr>
          <w:rFonts w:ascii="Garamond" w:hAnsi="Garamond" w:cs="Times New Roman"/>
        </w:rPr>
        <w:t>×</w:t>
      </w:r>
      <w:r w:rsidRPr="00515D04">
        <w:rPr>
          <w:rFonts w:ascii="Garamond" w:hAnsi="Garamond" w:cs="Helvetica"/>
        </w:rPr>
        <w:t xml:space="preserve"> </w:t>
      </w:r>
      <w:proofErr w:type="spellStart"/>
      <w:proofErr w:type="gramStart"/>
      <w:r w:rsidRPr="00515D04">
        <w:rPr>
          <w:rFonts w:ascii="Garamond" w:hAnsi="Garamond" w:cs="Cambria"/>
          <w:i/>
          <w:iCs/>
        </w:rPr>
        <w:t>T</w:t>
      </w:r>
      <w:r w:rsidRPr="00515D04">
        <w:rPr>
          <w:rFonts w:ascii="Garamond" w:hAnsi="Garamond" w:cs="Cambria"/>
          <w:i/>
          <w:iCs/>
          <w:vertAlign w:val="subscript"/>
        </w:rPr>
        <w:t>p</w:t>
      </w:r>
      <w:proofErr w:type="spellEnd"/>
      <w:r w:rsidRPr="00515D04">
        <w:rPr>
          <w:rFonts w:ascii="Garamond" w:hAnsi="Garamond" w:cs="Cambria"/>
          <w:i/>
          <w:iCs/>
          <w:vertAlign w:val="subscript"/>
        </w:rPr>
        <w:t xml:space="preserve"> </w:t>
      </w:r>
      <w:r w:rsidRPr="00515D04">
        <w:rPr>
          <w:rFonts w:ascii="Garamond" w:hAnsi="Garamond" w:cs="Cambria"/>
          <w:i/>
          <w:iCs/>
          <w:vertAlign w:val="superscript"/>
        </w:rPr>
        <w:t xml:space="preserve"> </w:t>
      </w:r>
      <w:r w:rsidRPr="00515D04">
        <w:rPr>
          <w:rFonts w:ascii="Garamond" w:hAnsi="Garamond" w:cs="Cambria"/>
          <w:i/>
          <w:iCs/>
        </w:rPr>
        <w:t>/</w:t>
      </w:r>
      <w:proofErr w:type="gramEnd"/>
      <w:r w:rsidRPr="00515D04">
        <w:rPr>
          <w:rFonts w:ascii="Garamond" w:hAnsi="Garamond" w:cs="Cambria"/>
          <w:i/>
          <w:iCs/>
        </w:rPr>
        <w:t xml:space="preserve"> 1000</w:t>
      </w:r>
    </w:p>
    <w:p w:rsidR="00515D04" w:rsidRPr="00515D04" w:rsidRDefault="00515D04"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cs="Cambria"/>
        </w:rPr>
      </w:pPr>
    </w:p>
    <w:p w:rsidR="00515D04" w:rsidRDefault="00515D04"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cs="Helvetica"/>
        </w:rPr>
      </w:pPr>
      <w:r w:rsidRPr="00515D04">
        <w:rPr>
          <w:rFonts w:ascii="Garamond" w:hAnsi="Garamond" w:cs="Cambria"/>
        </w:rPr>
        <w:t xml:space="preserve">Where </w:t>
      </w:r>
      <w:r w:rsidRPr="00515D04">
        <w:rPr>
          <w:rFonts w:ascii="Garamond" w:hAnsi="Garamond" w:cs="Cambria"/>
          <w:i/>
          <w:iCs/>
        </w:rPr>
        <w:t>ρ</w:t>
      </w:r>
      <w:r w:rsidRPr="00515D04">
        <w:rPr>
          <w:rFonts w:ascii="Garamond" w:hAnsi="Garamond" w:cs="Cambria"/>
        </w:rPr>
        <w:t xml:space="preserve"> is the density of seawater (1024 kg m</w:t>
      </w:r>
      <w:r w:rsidRPr="00515D04">
        <w:rPr>
          <w:rFonts w:ascii="Garamond" w:hAnsi="Garamond" w:cs="Cambria"/>
          <w:vertAlign w:val="superscript"/>
        </w:rPr>
        <w:t>-3</w:t>
      </w:r>
      <w:r w:rsidRPr="00515D04">
        <w:rPr>
          <w:rFonts w:ascii="Garamond" w:hAnsi="Garamond" w:cs="Cambria"/>
        </w:rPr>
        <w:t xml:space="preserve">) </w:t>
      </w:r>
      <w:r w:rsidRPr="00515D04">
        <w:rPr>
          <w:rFonts w:ascii="Garamond" w:hAnsi="Garamond" w:cs="Cambria"/>
          <w:i/>
        </w:rPr>
        <w:t>g</w:t>
      </w:r>
      <w:r w:rsidRPr="00515D04">
        <w:rPr>
          <w:rFonts w:ascii="Garamond" w:hAnsi="Garamond" w:cs="Cambria"/>
        </w:rPr>
        <w:t> is the acceleration of gravity (9.8 m s</w:t>
      </w:r>
      <w:r w:rsidRPr="00515D04">
        <w:rPr>
          <w:rFonts w:ascii="Garamond" w:hAnsi="Garamond" w:cs="Cambria"/>
          <w:vertAlign w:val="superscript"/>
        </w:rPr>
        <w:t>-2</w:t>
      </w:r>
      <w:r w:rsidRPr="00515D04">
        <w:rPr>
          <w:rFonts w:ascii="Garamond" w:hAnsi="Garamond" w:cs="Cambria"/>
        </w:rPr>
        <w:t xml:space="preserve">), </w:t>
      </w:r>
      <w:r w:rsidRPr="00515D04">
        <w:rPr>
          <w:rFonts w:ascii="Garamond" w:hAnsi="Garamond" w:cs="Cambria"/>
          <w:i/>
          <w:iCs/>
        </w:rPr>
        <w:t>H</w:t>
      </w:r>
      <w:r w:rsidRPr="00515D04">
        <w:rPr>
          <w:rFonts w:ascii="Garamond" w:hAnsi="Garamond" w:cs="Cambria"/>
          <w:i/>
          <w:iCs/>
          <w:vertAlign w:val="subscript"/>
        </w:rPr>
        <w:t>s</w:t>
      </w:r>
      <w:r w:rsidRPr="00515D04">
        <w:rPr>
          <w:rFonts w:ascii="Garamond" w:hAnsi="Garamond" w:cs="Cambria"/>
          <w:i/>
          <w:iCs/>
        </w:rPr>
        <w:t xml:space="preserve"> </w:t>
      </w:r>
      <w:r w:rsidRPr="00515D04">
        <w:rPr>
          <w:rFonts w:ascii="Garamond" w:hAnsi="Garamond" w:cs="Cambria"/>
        </w:rPr>
        <w:t xml:space="preserve">is offshore significant wave height, and </w:t>
      </w:r>
      <w:proofErr w:type="spellStart"/>
      <w:r w:rsidRPr="00515D04">
        <w:rPr>
          <w:rFonts w:ascii="Garamond" w:hAnsi="Garamond" w:cs="Cambria"/>
          <w:i/>
          <w:iCs/>
        </w:rPr>
        <w:t>T</w:t>
      </w:r>
      <w:r w:rsidRPr="00515D04">
        <w:rPr>
          <w:rFonts w:ascii="Garamond" w:hAnsi="Garamond" w:cs="Cambria"/>
          <w:i/>
          <w:iCs/>
          <w:vertAlign w:val="subscript"/>
        </w:rPr>
        <w:t>p</w:t>
      </w:r>
      <w:proofErr w:type="spellEnd"/>
      <w:r w:rsidRPr="00515D04">
        <w:rPr>
          <w:rFonts w:ascii="Garamond" w:hAnsi="Garamond" w:cs="Cambria"/>
        </w:rPr>
        <w:t xml:space="preserve"> is the dominant wave period, (1/wavelength).  </w:t>
      </w:r>
      <w:r w:rsidRPr="00515D04">
        <w:rPr>
          <w:rFonts w:ascii="Garamond" w:hAnsi="Garamond" w:cs="Helvetica"/>
        </w:rPr>
        <w:t>Units are in kilowatts per meter of wave front</w:t>
      </w:r>
      <w:r w:rsidRPr="00515D04">
        <w:rPr>
          <w:rFonts w:ascii="Garamond" w:hAnsi="Garamond" w:cs="Helvetica"/>
          <w:vertAlign w:val="superscript"/>
        </w:rPr>
        <w:t xml:space="preserve"> </w:t>
      </w:r>
      <w:r w:rsidRPr="00515D04">
        <w:rPr>
          <w:rFonts w:ascii="Garamond" w:hAnsi="Garamond" w:cs="Helvetica"/>
        </w:rPr>
        <w:t>(kW m</w:t>
      </w:r>
      <w:r w:rsidRPr="00515D04">
        <w:rPr>
          <w:rFonts w:ascii="Garamond" w:hAnsi="Garamond" w:cs="Helvetica"/>
          <w:vertAlign w:val="superscript"/>
        </w:rPr>
        <w:t>-1</w:t>
      </w:r>
      <w:r w:rsidRPr="00515D04">
        <w:rPr>
          <w:rFonts w:ascii="Garamond" w:hAnsi="Garamond" w:cs="Helvetica"/>
        </w:rPr>
        <w:t xml:space="preserve">). </w:t>
      </w:r>
      <w:r>
        <w:rPr>
          <w:rFonts w:ascii="Garamond" w:hAnsi="Garamond" w:cs="Helvetica"/>
        </w:rPr>
        <w:t>The annual wave power data are then sorted into degree bins according to the peak direction. Then, data that do not fall within the incident wave swath are removed. The remaining wave power data are then summed to give a single number for wave power at that site. Because this number is quite large, it is reported in units of M</w:t>
      </w:r>
      <w:r w:rsidRPr="00515D04">
        <w:rPr>
          <w:rFonts w:ascii="Garamond" w:hAnsi="Garamond" w:cs="Helvetica"/>
        </w:rPr>
        <w:t>W m</w:t>
      </w:r>
      <w:r w:rsidRPr="00515D04">
        <w:rPr>
          <w:rFonts w:ascii="Garamond" w:hAnsi="Garamond" w:cs="Helvetica"/>
          <w:vertAlign w:val="superscript"/>
        </w:rPr>
        <w:t>-1</w:t>
      </w:r>
      <w:r>
        <w:rPr>
          <w:rFonts w:ascii="Garamond" w:hAnsi="Garamond" w:cs="Helvetica"/>
        </w:rPr>
        <w:t>. This number represents the cumulative wave power a site is exposed to over the course of one year.</w:t>
      </w:r>
    </w:p>
    <w:p w:rsidR="00486E0A" w:rsidRDefault="00486E0A"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cs="Helvetica"/>
        </w:rPr>
      </w:pPr>
    </w:p>
    <w:p w:rsidR="00486E0A" w:rsidRDefault="00486E0A"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cs="Helvetica"/>
        </w:rPr>
      </w:pPr>
    </w:p>
    <w:p w:rsidR="00486E0A" w:rsidRDefault="00486E0A"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cs="Helvetica"/>
        </w:rPr>
      </w:pPr>
    </w:p>
    <w:p w:rsidR="00486E0A" w:rsidRDefault="00486E0A"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cs="Helvetica"/>
        </w:rPr>
      </w:pPr>
      <w:r w:rsidRPr="00486E0A">
        <w:rPr>
          <w:rFonts w:ascii="Garamond" w:hAnsi="Garamond" w:cs="Helvetica"/>
          <w:noProof/>
        </w:rPr>
        <w:drawing>
          <wp:inline distT="0" distB="0" distL="0" distR="0">
            <wp:extent cx="4682067" cy="3617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_Example2.pdf"/>
                    <pic:cNvPicPr/>
                  </pic:nvPicPr>
                  <pic:blipFill>
                    <a:blip r:embed="rId5"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82523" cy="3618117"/>
                    </a:xfrm>
                    <a:prstGeom prst="rect">
                      <a:avLst/>
                    </a:prstGeom>
                  </pic:spPr>
                </pic:pic>
              </a:graphicData>
            </a:graphic>
          </wp:inline>
        </w:drawing>
      </w:r>
    </w:p>
    <w:p w:rsidR="00486E0A" w:rsidRDefault="00486E0A"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cs="Helvetica"/>
        </w:rPr>
      </w:pPr>
      <w:r>
        <w:rPr>
          <w:rFonts w:ascii="Garamond" w:hAnsi="Garamond" w:cs="Helvetica"/>
        </w:rPr>
        <w:t>Figure 1: Incident wave swaths for four sites on Maui.</w:t>
      </w:r>
    </w:p>
    <w:p w:rsidR="00486E0A" w:rsidRDefault="00486E0A"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cs="Helvetica"/>
        </w:rPr>
      </w:pPr>
    </w:p>
    <w:p w:rsidR="00486E0A" w:rsidRDefault="00486E0A"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cs="Helvetica"/>
        </w:rPr>
      </w:pPr>
    </w:p>
    <w:p w:rsidR="00902D9E" w:rsidRDefault="00902D9E"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r>
        <w:rPr>
          <w:rFonts w:ascii="Garamond" w:hAnsi="Garamond"/>
        </w:rPr>
        <w:tab/>
        <w:t xml:space="preserve">Although the WW3 grid size is not large enough to resolve most islands, it is large enough to account for the main Hawaiian Islands archipelago. This makes the pixel choice to represent the islands an important one, since a pixel </w:t>
      </w:r>
      <w:r w:rsidR="00486E0A">
        <w:rPr>
          <w:rFonts w:ascii="Garamond" w:hAnsi="Garamond"/>
        </w:rPr>
        <w:t>north</w:t>
      </w:r>
      <w:r>
        <w:rPr>
          <w:rFonts w:ascii="Garamond" w:hAnsi="Garamond"/>
        </w:rPr>
        <w:t xml:space="preserve"> of the islands will be blocked from South swell by the archipelago, and vice-versa. To solve this problem, a combination of the North and South pixels surrounding the main Hawaiian Islands is created by taking the maximum wave power</w:t>
      </w:r>
      <w:r w:rsidR="00D33F87">
        <w:rPr>
          <w:rFonts w:ascii="Garamond" w:hAnsi="Garamond"/>
        </w:rPr>
        <w:t xml:space="preserve"> between the two pixels for each time-step.</w:t>
      </w:r>
    </w:p>
    <w:p w:rsidR="00902D9E" w:rsidRDefault="00902D9E"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275888" w:rsidRDefault="00275888"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275888" w:rsidRDefault="00275888"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275888" w:rsidRDefault="00275888"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275888" w:rsidRDefault="00275888"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275888" w:rsidRDefault="00275888"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275888" w:rsidRDefault="00275888"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275888" w:rsidRDefault="00275888"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275888" w:rsidRDefault="00275888"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275888" w:rsidRDefault="00275888"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275888" w:rsidRDefault="00275888"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275888" w:rsidRDefault="00275888"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275888" w:rsidRDefault="00275888"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275888" w:rsidRDefault="00275888"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275888" w:rsidRPr="00275888" w:rsidRDefault="00275888"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b/>
          <w:lang w:val="en-GB"/>
        </w:rPr>
      </w:pPr>
      <w:proofErr w:type="gramStart"/>
      <w:r w:rsidRPr="00275888">
        <w:rPr>
          <w:rFonts w:ascii="Garamond" w:hAnsi="Garamond"/>
          <w:b/>
          <w:lang w:val="en-GB"/>
        </w:rPr>
        <w:t>Table 1.</w:t>
      </w:r>
      <w:proofErr w:type="gramEnd"/>
      <w:r w:rsidRPr="00275888">
        <w:rPr>
          <w:rFonts w:ascii="Garamond" w:hAnsi="Garamond"/>
          <w:b/>
          <w:lang w:val="en-GB"/>
        </w:rPr>
        <w:t xml:space="preserve"> Bathymetric contour used for each island/atoll to derive Incident Wave Swaths</w:t>
      </w:r>
    </w:p>
    <w:tbl>
      <w:tblPr>
        <w:tblStyle w:val="TableGrid"/>
        <w:tblW w:w="0" w:type="auto"/>
        <w:tblLook w:val="04A0"/>
      </w:tblPr>
      <w:tblGrid>
        <w:gridCol w:w="910"/>
        <w:gridCol w:w="1369"/>
        <w:gridCol w:w="1329"/>
        <w:gridCol w:w="851"/>
        <w:gridCol w:w="245"/>
        <w:gridCol w:w="990"/>
        <w:gridCol w:w="1369"/>
        <w:gridCol w:w="1329"/>
        <w:gridCol w:w="851"/>
      </w:tblGrid>
      <w:tr w:rsidR="00275888" w:rsidRPr="00275888" w:rsidTr="00275888">
        <w:tc>
          <w:tcPr>
            <w:tcW w:w="910" w:type="dxa"/>
          </w:tcPr>
          <w:p w:rsidR="00275888" w:rsidRPr="00275888" w:rsidRDefault="00275888"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Region Code</w:t>
            </w:r>
          </w:p>
        </w:tc>
        <w:tc>
          <w:tcPr>
            <w:tcW w:w="1369" w:type="dxa"/>
          </w:tcPr>
          <w:p w:rsidR="00275888" w:rsidRPr="00275888" w:rsidRDefault="00275888"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Island/Atoll Code</w:t>
            </w:r>
          </w:p>
        </w:tc>
        <w:tc>
          <w:tcPr>
            <w:tcW w:w="1329" w:type="dxa"/>
          </w:tcPr>
          <w:p w:rsidR="00275888" w:rsidRPr="00275888" w:rsidRDefault="00275888"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Depth of Contour(m)</w:t>
            </w:r>
          </w:p>
        </w:tc>
        <w:tc>
          <w:tcPr>
            <w:tcW w:w="851" w:type="dxa"/>
          </w:tcPr>
          <w:p w:rsidR="00275888" w:rsidRPr="00275888" w:rsidRDefault="00275888"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Source</w:t>
            </w:r>
          </w:p>
        </w:tc>
        <w:tc>
          <w:tcPr>
            <w:tcW w:w="245" w:type="dxa"/>
            <w:shd w:val="solid" w:color="595959" w:themeColor="text1" w:themeTint="A6" w:fill="7F7F7F" w:themeFill="text1" w:themeFillTint="80"/>
          </w:tcPr>
          <w:p w:rsidR="00275888" w:rsidRPr="00275888" w:rsidRDefault="00275888"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p>
        </w:tc>
        <w:tc>
          <w:tcPr>
            <w:tcW w:w="990" w:type="dxa"/>
          </w:tcPr>
          <w:p w:rsidR="00275888" w:rsidRPr="00275888" w:rsidRDefault="00275888"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Region Code</w:t>
            </w:r>
          </w:p>
        </w:tc>
        <w:tc>
          <w:tcPr>
            <w:tcW w:w="1369" w:type="dxa"/>
          </w:tcPr>
          <w:p w:rsidR="00275888" w:rsidRPr="00275888" w:rsidRDefault="00275888"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Island/Atoll Code</w:t>
            </w:r>
          </w:p>
        </w:tc>
        <w:tc>
          <w:tcPr>
            <w:tcW w:w="1329" w:type="dxa"/>
          </w:tcPr>
          <w:p w:rsidR="00275888" w:rsidRPr="00275888" w:rsidRDefault="00275888"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Depth of Contour(m)</w:t>
            </w:r>
          </w:p>
        </w:tc>
        <w:tc>
          <w:tcPr>
            <w:tcW w:w="851" w:type="dxa"/>
          </w:tcPr>
          <w:p w:rsidR="00275888" w:rsidRPr="00275888" w:rsidRDefault="00275888"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Source</w:t>
            </w:r>
          </w:p>
        </w:tc>
      </w:tr>
      <w:tr w:rsidR="002D77CB" w:rsidRPr="00275888" w:rsidTr="00275888">
        <w:tc>
          <w:tcPr>
            <w:tcW w:w="91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Pr>
                <w:rFonts w:ascii="Garamond" w:hAnsi="Garamond"/>
                <w:sz w:val="22"/>
                <w:szCs w:val="22"/>
                <w:lang w:val="en-GB"/>
              </w:rPr>
              <w:t>MHI</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NII</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w:t>
            </w:r>
          </w:p>
        </w:tc>
        <w:tc>
          <w:tcPr>
            <w:tcW w:w="245" w:type="dxa"/>
            <w:shd w:val="solid" w:color="595959" w:themeColor="text1" w:themeTint="A6" w:fill="7F7F7F" w:themeFill="text1" w:themeFillTint="80"/>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p>
        </w:tc>
        <w:tc>
          <w:tcPr>
            <w:tcW w:w="99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NWHI</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FFS</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6</w:t>
            </w:r>
          </w:p>
        </w:tc>
      </w:tr>
      <w:tr w:rsidR="002D77CB" w:rsidRPr="00275888" w:rsidTr="00275888">
        <w:tc>
          <w:tcPr>
            <w:tcW w:w="91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Pr>
                <w:rFonts w:ascii="Garamond" w:hAnsi="Garamond"/>
                <w:sz w:val="22"/>
                <w:szCs w:val="22"/>
                <w:lang w:val="en-GB"/>
              </w:rPr>
              <w:t>MHI</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OAH</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w:t>
            </w:r>
          </w:p>
        </w:tc>
        <w:tc>
          <w:tcPr>
            <w:tcW w:w="245" w:type="dxa"/>
            <w:shd w:val="solid" w:color="595959" w:themeColor="text1" w:themeTint="A6" w:fill="7F7F7F" w:themeFill="text1" w:themeFillTint="80"/>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p>
        </w:tc>
        <w:tc>
          <w:tcPr>
            <w:tcW w:w="99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NWHI</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GAR</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7</w:t>
            </w:r>
          </w:p>
        </w:tc>
      </w:tr>
      <w:tr w:rsidR="002D77CB" w:rsidRPr="00275888" w:rsidTr="00275888">
        <w:tc>
          <w:tcPr>
            <w:tcW w:w="91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Pr>
                <w:rFonts w:ascii="Garamond" w:hAnsi="Garamond"/>
                <w:sz w:val="22"/>
                <w:szCs w:val="22"/>
                <w:lang w:val="en-GB"/>
              </w:rPr>
              <w:t>MHI</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MOL</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w:t>
            </w:r>
          </w:p>
        </w:tc>
        <w:tc>
          <w:tcPr>
            <w:tcW w:w="245" w:type="dxa"/>
            <w:shd w:val="solid" w:color="595959" w:themeColor="text1" w:themeTint="A6" w:fill="7F7F7F" w:themeFill="text1" w:themeFillTint="80"/>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p>
        </w:tc>
        <w:tc>
          <w:tcPr>
            <w:tcW w:w="99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NWHI</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KUR</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8</w:t>
            </w:r>
          </w:p>
        </w:tc>
      </w:tr>
      <w:tr w:rsidR="002D77CB" w:rsidRPr="00275888" w:rsidTr="00275888">
        <w:tc>
          <w:tcPr>
            <w:tcW w:w="91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Pr>
                <w:rFonts w:ascii="Garamond" w:hAnsi="Garamond"/>
                <w:sz w:val="22"/>
                <w:szCs w:val="22"/>
                <w:lang w:val="en-GB"/>
              </w:rPr>
              <w:t>MHI</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MOI</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w:t>
            </w:r>
          </w:p>
        </w:tc>
        <w:tc>
          <w:tcPr>
            <w:tcW w:w="245" w:type="dxa"/>
            <w:shd w:val="solid" w:color="595959" w:themeColor="text1" w:themeTint="A6" w:fill="7F7F7F" w:themeFill="text1" w:themeFillTint="80"/>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p>
        </w:tc>
        <w:tc>
          <w:tcPr>
            <w:tcW w:w="99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NWHI</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LAY</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Pr>
                <w:rFonts w:ascii="Garamond" w:hAnsi="Garamond"/>
                <w:sz w:val="22"/>
                <w:szCs w:val="22"/>
                <w:lang w:val="en-GB"/>
              </w:rPr>
              <w:t>-10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9</w:t>
            </w:r>
          </w:p>
        </w:tc>
      </w:tr>
      <w:tr w:rsidR="002D77CB" w:rsidRPr="00275888" w:rsidTr="00275888">
        <w:tc>
          <w:tcPr>
            <w:tcW w:w="91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Pr>
                <w:rFonts w:ascii="Garamond" w:hAnsi="Garamond"/>
                <w:sz w:val="22"/>
                <w:szCs w:val="22"/>
                <w:lang w:val="en-GB"/>
              </w:rPr>
              <w:t>MHI</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MAI</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w:t>
            </w:r>
          </w:p>
        </w:tc>
        <w:tc>
          <w:tcPr>
            <w:tcW w:w="245" w:type="dxa"/>
            <w:shd w:val="solid" w:color="595959" w:themeColor="text1" w:themeTint="A6" w:fill="7F7F7F" w:themeFill="text1" w:themeFillTint="80"/>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p>
        </w:tc>
        <w:tc>
          <w:tcPr>
            <w:tcW w:w="99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NWHI</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MID</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10</w:t>
            </w:r>
          </w:p>
        </w:tc>
      </w:tr>
      <w:tr w:rsidR="002D77CB" w:rsidRPr="00275888" w:rsidTr="00275888">
        <w:tc>
          <w:tcPr>
            <w:tcW w:w="91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Pr>
                <w:rFonts w:ascii="Garamond" w:hAnsi="Garamond"/>
                <w:sz w:val="22"/>
                <w:szCs w:val="22"/>
                <w:lang w:val="en-GB"/>
              </w:rPr>
              <w:t>MHI</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HAW</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w:t>
            </w:r>
          </w:p>
        </w:tc>
        <w:tc>
          <w:tcPr>
            <w:tcW w:w="245" w:type="dxa"/>
            <w:shd w:val="solid" w:color="595959" w:themeColor="text1" w:themeTint="A6" w:fill="7F7F7F" w:themeFill="text1" w:themeFillTint="80"/>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p>
        </w:tc>
        <w:tc>
          <w:tcPr>
            <w:tcW w:w="99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NWHI</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NEC</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9</w:t>
            </w:r>
          </w:p>
        </w:tc>
      </w:tr>
      <w:tr w:rsidR="002D77CB" w:rsidRPr="00275888" w:rsidTr="00275888">
        <w:tc>
          <w:tcPr>
            <w:tcW w:w="91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Pr>
                <w:rFonts w:ascii="Garamond" w:hAnsi="Garamond"/>
                <w:sz w:val="22"/>
                <w:szCs w:val="22"/>
                <w:lang w:val="en-GB"/>
              </w:rPr>
              <w:t>MHI</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KAH</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w:t>
            </w:r>
          </w:p>
        </w:tc>
        <w:tc>
          <w:tcPr>
            <w:tcW w:w="245" w:type="dxa"/>
            <w:shd w:val="solid" w:color="595959" w:themeColor="text1" w:themeTint="A6" w:fill="7F7F7F" w:themeFill="text1" w:themeFillTint="80"/>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p>
        </w:tc>
        <w:tc>
          <w:tcPr>
            <w:tcW w:w="99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NWHI</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NIH</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9</w:t>
            </w:r>
          </w:p>
        </w:tc>
      </w:tr>
      <w:tr w:rsidR="002D77CB" w:rsidRPr="00275888" w:rsidTr="00275888">
        <w:tc>
          <w:tcPr>
            <w:tcW w:w="91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Pr>
                <w:rFonts w:ascii="Garamond" w:hAnsi="Garamond"/>
                <w:sz w:val="22"/>
                <w:szCs w:val="22"/>
                <w:lang w:val="en-GB"/>
              </w:rPr>
              <w:t>MHI</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KAU</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w:t>
            </w:r>
          </w:p>
        </w:tc>
        <w:tc>
          <w:tcPr>
            <w:tcW w:w="245" w:type="dxa"/>
            <w:shd w:val="solid" w:color="595959" w:themeColor="text1" w:themeTint="A6" w:fill="7F7F7F" w:themeFill="text1" w:themeFillTint="80"/>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p>
        </w:tc>
        <w:tc>
          <w:tcPr>
            <w:tcW w:w="99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NWHI</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PHR</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11</w:t>
            </w:r>
          </w:p>
        </w:tc>
      </w:tr>
      <w:tr w:rsidR="002D77CB" w:rsidRPr="00275888" w:rsidTr="00275888">
        <w:tc>
          <w:tcPr>
            <w:tcW w:w="91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Pr>
                <w:rFonts w:ascii="Garamond" w:hAnsi="Garamond"/>
                <w:sz w:val="22"/>
                <w:szCs w:val="22"/>
                <w:lang w:val="en-GB"/>
              </w:rPr>
              <w:t>MHI</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LAN</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w:t>
            </w:r>
          </w:p>
        </w:tc>
        <w:tc>
          <w:tcPr>
            <w:tcW w:w="245" w:type="dxa"/>
            <w:shd w:val="solid" w:color="595959" w:themeColor="text1" w:themeTint="A6" w:fill="7F7F7F" w:themeFill="text1" w:themeFillTint="80"/>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p>
        </w:tc>
        <w:tc>
          <w:tcPr>
            <w:tcW w:w="99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NWHI</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MAR</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 xml:space="preserve">12 </w:t>
            </w:r>
          </w:p>
        </w:tc>
      </w:tr>
      <w:tr w:rsidR="002D77CB" w:rsidRPr="00275888" w:rsidTr="00275888">
        <w:tc>
          <w:tcPr>
            <w:tcW w:w="91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AMSM</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OFU</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2</w:t>
            </w:r>
          </w:p>
        </w:tc>
        <w:tc>
          <w:tcPr>
            <w:tcW w:w="245" w:type="dxa"/>
            <w:shd w:val="solid" w:color="595959" w:themeColor="text1" w:themeTint="A6" w:fill="7F7F7F" w:themeFill="text1" w:themeFillTint="80"/>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p>
        </w:tc>
        <w:tc>
          <w:tcPr>
            <w:tcW w:w="99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NWHI</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LIS</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-5</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13</w:t>
            </w:r>
          </w:p>
        </w:tc>
      </w:tr>
      <w:tr w:rsidR="002D77CB" w:rsidRPr="00275888" w:rsidTr="00275888">
        <w:tc>
          <w:tcPr>
            <w:tcW w:w="91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AMSM</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OLO</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2</w:t>
            </w:r>
          </w:p>
        </w:tc>
        <w:tc>
          <w:tcPr>
            <w:tcW w:w="245" w:type="dxa"/>
            <w:shd w:val="solid" w:color="595959" w:themeColor="text1" w:themeTint="A6" w:fill="7F7F7F" w:themeFill="text1" w:themeFillTint="80"/>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p>
        </w:tc>
        <w:tc>
          <w:tcPr>
            <w:tcW w:w="99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PRIA</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BAK</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14</w:t>
            </w:r>
          </w:p>
        </w:tc>
      </w:tr>
      <w:tr w:rsidR="002D77CB" w:rsidRPr="00275888" w:rsidTr="00275888">
        <w:tc>
          <w:tcPr>
            <w:tcW w:w="91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AMSM</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ROS</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Pr>
                <w:rFonts w:ascii="Garamond" w:hAnsi="Garamond"/>
                <w:sz w:val="22"/>
                <w:szCs w:val="22"/>
                <w:lang w:val="en-GB"/>
              </w:rPr>
              <w:t>-5</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3</w:t>
            </w:r>
          </w:p>
        </w:tc>
        <w:tc>
          <w:tcPr>
            <w:tcW w:w="245" w:type="dxa"/>
            <w:shd w:val="solid" w:color="595959" w:themeColor="text1" w:themeTint="A6" w:fill="7F7F7F" w:themeFill="text1" w:themeFillTint="80"/>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p>
        </w:tc>
        <w:tc>
          <w:tcPr>
            <w:tcW w:w="99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PRIA</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HOW</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14</w:t>
            </w:r>
          </w:p>
        </w:tc>
      </w:tr>
      <w:tr w:rsidR="002D77CB" w:rsidRPr="00275888" w:rsidTr="00275888">
        <w:tc>
          <w:tcPr>
            <w:tcW w:w="91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AMSM</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SWA</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w:t>
            </w:r>
          </w:p>
        </w:tc>
        <w:tc>
          <w:tcPr>
            <w:tcW w:w="245" w:type="dxa"/>
            <w:shd w:val="solid" w:color="595959" w:themeColor="text1" w:themeTint="A6" w:fill="7F7F7F" w:themeFill="text1" w:themeFillTint="80"/>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p>
        </w:tc>
        <w:tc>
          <w:tcPr>
            <w:tcW w:w="99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PRIA</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JAR</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14</w:t>
            </w:r>
          </w:p>
        </w:tc>
      </w:tr>
      <w:tr w:rsidR="002D77CB" w:rsidRPr="00275888" w:rsidTr="00275888">
        <w:tc>
          <w:tcPr>
            <w:tcW w:w="91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AMSM</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TAU</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w:t>
            </w:r>
          </w:p>
        </w:tc>
        <w:tc>
          <w:tcPr>
            <w:tcW w:w="245" w:type="dxa"/>
            <w:shd w:val="solid" w:color="595959" w:themeColor="text1" w:themeTint="A6" w:fill="7F7F7F" w:themeFill="text1" w:themeFillTint="80"/>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p>
        </w:tc>
        <w:tc>
          <w:tcPr>
            <w:tcW w:w="99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PRIA</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JOH</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15</w:t>
            </w:r>
          </w:p>
        </w:tc>
      </w:tr>
      <w:tr w:rsidR="002D77CB" w:rsidRPr="00275888" w:rsidTr="00275888">
        <w:tc>
          <w:tcPr>
            <w:tcW w:w="91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AMSM</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TUT</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w:t>
            </w:r>
          </w:p>
        </w:tc>
        <w:tc>
          <w:tcPr>
            <w:tcW w:w="245" w:type="dxa"/>
            <w:shd w:val="solid" w:color="595959" w:themeColor="text1" w:themeTint="A6" w:fill="7F7F7F" w:themeFill="text1" w:themeFillTint="80"/>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p>
        </w:tc>
        <w:tc>
          <w:tcPr>
            <w:tcW w:w="99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PRIA</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KIN</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16</w:t>
            </w:r>
          </w:p>
        </w:tc>
      </w:tr>
      <w:tr w:rsidR="002D77CB" w:rsidRPr="00275888" w:rsidTr="00275888">
        <w:tc>
          <w:tcPr>
            <w:tcW w:w="91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CNMI</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AGR</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4</w:t>
            </w:r>
          </w:p>
        </w:tc>
        <w:tc>
          <w:tcPr>
            <w:tcW w:w="245" w:type="dxa"/>
            <w:shd w:val="solid" w:color="595959" w:themeColor="text1" w:themeTint="A6" w:fill="7F7F7F" w:themeFill="text1" w:themeFillTint="80"/>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p>
        </w:tc>
        <w:tc>
          <w:tcPr>
            <w:tcW w:w="99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PRIA</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PAL</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17</w:t>
            </w:r>
          </w:p>
        </w:tc>
      </w:tr>
      <w:tr w:rsidR="002D77CB" w:rsidRPr="00275888" w:rsidTr="00275888">
        <w:tc>
          <w:tcPr>
            <w:tcW w:w="91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CNMI</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AGU</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4</w:t>
            </w:r>
          </w:p>
        </w:tc>
        <w:tc>
          <w:tcPr>
            <w:tcW w:w="245" w:type="dxa"/>
            <w:shd w:val="solid" w:color="595959" w:themeColor="text1" w:themeTint="A6" w:fill="7F7F7F" w:themeFill="text1" w:themeFillTint="80"/>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p>
        </w:tc>
        <w:tc>
          <w:tcPr>
            <w:tcW w:w="99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PRIA</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WAK</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Pr>
                <w:rFonts w:ascii="Garamond" w:hAnsi="Garamond"/>
                <w:sz w:val="22"/>
                <w:szCs w:val="22"/>
                <w:lang w:val="en-GB"/>
              </w:rPr>
              <w:t>-5</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7</w:t>
            </w:r>
          </w:p>
        </w:tc>
      </w:tr>
      <w:tr w:rsidR="002D77CB" w:rsidRPr="00275888" w:rsidTr="00275888">
        <w:tc>
          <w:tcPr>
            <w:tcW w:w="91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CNMI</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ALA</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4</w:t>
            </w:r>
          </w:p>
        </w:tc>
        <w:tc>
          <w:tcPr>
            <w:tcW w:w="245" w:type="dxa"/>
            <w:shd w:val="solid" w:color="595959" w:themeColor="text1" w:themeTint="A6" w:fill="7F7F7F" w:themeFill="text1" w:themeFillTint="80"/>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p>
        </w:tc>
        <w:tc>
          <w:tcPr>
            <w:tcW w:w="990"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CNMI</w:t>
            </w:r>
          </w:p>
        </w:tc>
        <w:tc>
          <w:tcPr>
            <w:tcW w:w="1369"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GUG</w:t>
            </w:r>
          </w:p>
        </w:tc>
        <w:tc>
          <w:tcPr>
            <w:tcW w:w="1329"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4</w:t>
            </w:r>
          </w:p>
        </w:tc>
      </w:tr>
      <w:tr w:rsidR="002D77CB" w:rsidRPr="00275888" w:rsidTr="00275888">
        <w:tc>
          <w:tcPr>
            <w:tcW w:w="91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CNMI</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ANA</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4</w:t>
            </w:r>
          </w:p>
        </w:tc>
        <w:tc>
          <w:tcPr>
            <w:tcW w:w="245" w:type="dxa"/>
            <w:shd w:val="solid" w:color="595959" w:themeColor="text1" w:themeTint="A6" w:fill="7F7F7F" w:themeFill="text1" w:themeFillTint="80"/>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p>
        </w:tc>
        <w:tc>
          <w:tcPr>
            <w:tcW w:w="990"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CNMI</w:t>
            </w:r>
          </w:p>
        </w:tc>
        <w:tc>
          <w:tcPr>
            <w:tcW w:w="1369"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MAU</w:t>
            </w:r>
          </w:p>
        </w:tc>
        <w:tc>
          <w:tcPr>
            <w:tcW w:w="1329"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4</w:t>
            </w:r>
          </w:p>
        </w:tc>
      </w:tr>
      <w:tr w:rsidR="002D77CB" w:rsidRPr="00275888" w:rsidTr="00275888">
        <w:tc>
          <w:tcPr>
            <w:tcW w:w="91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CNMI</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ASC</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4</w:t>
            </w:r>
          </w:p>
        </w:tc>
        <w:tc>
          <w:tcPr>
            <w:tcW w:w="245" w:type="dxa"/>
            <w:shd w:val="solid" w:color="595959" w:themeColor="text1" w:themeTint="A6" w:fill="7F7F7F" w:themeFill="text1" w:themeFillTint="80"/>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p>
        </w:tc>
        <w:tc>
          <w:tcPr>
            <w:tcW w:w="990"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CNMI</w:t>
            </w:r>
          </w:p>
        </w:tc>
        <w:tc>
          <w:tcPr>
            <w:tcW w:w="1369"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PAG</w:t>
            </w:r>
          </w:p>
        </w:tc>
        <w:tc>
          <w:tcPr>
            <w:tcW w:w="1329"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4</w:t>
            </w:r>
          </w:p>
        </w:tc>
      </w:tr>
      <w:tr w:rsidR="002D77CB" w:rsidRPr="00275888" w:rsidTr="00275888">
        <w:tc>
          <w:tcPr>
            <w:tcW w:w="91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CNMI</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FDP</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4</w:t>
            </w:r>
          </w:p>
        </w:tc>
        <w:tc>
          <w:tcPr>
            <w:tcW w:w="245" w:type="dxa"/>
            <w:shd w:val="solid" w:color="595959" w:themeColor="text1" w:themeTint="A6" w:fill="7F7F7F" w:themeFill="text1" w:themeFillTint="80"/>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p>
        </w:tc>
        <w:tc>
          <w:tcPr>
            <w:tcW w:w="990"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CNMI</w:t>
            </w:r>
          </w:p>
        </w:tc>
        <w:tc>
          <w:tcPr>
            <w:tcW w:w="1369"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ROT</w:t>
            </w:r>
          </w:p>
        </w:tc>
        <w:tc>
          <w:tcPr>
            <w:tcW w:w="1329"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4</w:t>
            </w:r>
          </w:p>
        </w:tc>
      </w:tr>
      <w:tr w:rsidR="002D77CB" w:rsidRPr="00275888" w:rsidTr="00275888">
        <w:tc>
          <w:tcPr>
            <w:tcW w:w="910"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CNMI</w:t>
            </w:r>
          </w:p>
        </w:tc>
        <w:tc>
          <w:tcPr>
            <w:tcW w:w="136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GUA</w:t>
            </w:r>
          </w:p>
        </w:tc>
        <w:tc>
          <w:tcPr>
            <w:tcW w:w="1329"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-1</w:t>
            </w:r>
          </w:p>
        </w:tc>
        <w:tc>
          <w:tcPr>
            <w:tcW w:w="851" w:type="dxa"/>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5</w:t>
            </w:r>
          </w:p>
        </w:tc>
        <w:tc>
          <w:tcPr>
            <w:tcW w:w="245" w:type="dxa"/>
            <w:shd w:val="solid" w:color="595959" w:themeColor="text1" w:themeTint="A6" w:fill="7F7F7F" w:themeFill="text1" w:themeFillTint="80"/>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p>
        </w:tc>
        <w:tc>
          <w:tcPr>
            <w:tcW w:w="990"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CNMI</w:t>
            </w:r>
          </w:p>
        </w:tc>
        <w:tc>
          <w:tcPr>
            <w:tcW w:w="1369"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SAI</w:t>
            </w:r>
          </w:p>
        </w:tc>
        <w:tc>
          <w:tcPr>
            <w:tcW w:w="1329"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Pr>
                <w:rFonts w:ascii="Garamond" w:hAnsi="Garamond"/>
                <w:sz w:val="22"/>
                <w:szCs w:val="22"/>
                <w:lang w:val="en-GB"/>
              </w:rPr>
              <w:t>-5</w:t>
            </w:r>
          </w:p>
        </w:tc>
        <w:tc>
          <w:tcPr>
            <w:tcW w:w="851"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4</w:t>
            </w:r>
          </w:p>
        </w:tc>
      </w:tr>
      <w:tr w:rsidR="002D77CB" w:rsidRPr="00275888" w:rsidTr="00275888">
        <w:tc>
          <w:tcPr>
            <w:tcW w:w="910"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CNMI</w:t>
            </w:r>
          </w:p>
        </w:tc>
        <w:tc>
          <w:tcPr>
            <w:tcW w:w="1369"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TIN</w:t>
            </w:r>
          </w:p>
        </w:tc>
        <w:tc>
          <w:tcPr>
            <w:tcW w:w="1329"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4</w:t>
            </w:r>
          </w:p>
        </w:tc>
        <w:tc>
          <w:tcPr>
            <w:tcW w:w="245" w:type="dxa"/>
            <w:shd w:val="solid" w:color="595959" w:themeColor="text1" w:themeTint="A6" w:fill="7F7F7F" w:themeFill="text1" w:themeFillTint="80"/>
          </w:tcPr>
          <w:p w:rsidR="002D77CB" w:rsidRPr="00275888" w:rsidRDefault="002D77CB"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p>
        </w:tc>
        <w:tc>
          <w:tcPr>
            <w:tcW w:w="990"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CNMI</w:t>
            </w:r>
          </w:p>
        </w:tc>
        <w:tc>
          <w:tcPr>
            <w:tcW w:w="1369"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SAR</w:t>
            </w:r>
          </w:p>
        </w:tc>
        <w:tc>
          <w:tcPr>
            <w:tcW w:w="1329"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0</w:t>
            </w:r>
          </w:p>
        </w:tc>
        <w:tc>
          <w:tcPr>
            <w:tcW w:w="851" w:type="dxa"/>
          </w:tcPr>
          <w:p w:rsidR="002D77CB" w:rsidRPr="00275888" w:rsidRDefault="002D77CB" w:rsidP="008D6B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sz w:val="22"/>
                <w:szCs w:val="22"/>
                <w:lang w:val="en-GB"/>
              </w:rPr>
            </w:pPr>
            <w:r w:rsidRPr="00275888">
              <w:rPr>
                <w:rFonts w:ascii="Garamond" w:hAnsi="Garamond"/>
                <w:sz w:val="22"/>
                <w:szCs w:val="22"/>
                <w:lang w:val="en-GB"/>
              </w:rPr>
              <w:t>4</w:t>
            </w:r>
          </w:p>
        </w:tc>
      </w:tr>
    </w:tbl>
    <w:p w:rsidR="00275888" w:rsidRPr="00275888" w:rsidRDefault="00275888" w:rsidP="002758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lang w:val="en-GB"/>
        </w:rPr>
      </w:pPr>
    </w:p>
    <w:p w:rsidR="00275888" w:rsidRPr="00275888" w:rsidRDefault="00275888" w:rsidP="00275888">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lang w:val="en-GB"/>
        </w:rPr>
      </w:pPr>
      <w:r w:rsidRPr="00275888">
        <w:rPr>
          <w:rFonts w:ascii="Garamond" w:hAnsi="Garamond"/>
          <w:lang w:val="en-GB"/>
        </w:rPr>
        <w:t xml:space="preserve">Benthic Habitats of the Main Hawaiian Islands prepared form IKONOS and Quick Bird (2007), </w:t>
      </w:r>
      <w:proofErr w:type="spellStart"/>
      <w:r w:rsidRPr="00275888">
        <w:rPr>
          <w:rFonts w:ascii="Garamond" w:hAnsi="Garamond"/>
          <w:lang w:val="en-GB"/>
        </w:rPr>
        <w:t>Center</w:t>
      </w:r>
      <w:proofErr w:type="spellEnd"/>
      <w:r w:rsidRPr="00275888">
        <w:rPr>
          <w:rFonts w:ascii="Garamond" w:hAnsi="Garamond"/>
          <w:lang w:val="en-GB"/>
        </w:rPr>
        <w:t xml:space="preserve"> for Coastal Monitoring and Assessment (CCMA), Biogeography Branch</w:t>
      </w:r>
    </w:p>
    <w:p w:rsidR="00275888" w:rsidRPr="00275888" w:rsidRDefault="00275888" w:rsidP="00275888">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lang w:val="en-GB"/>
        </w:rPr>
      </w:pPr>
      <w:r w:rsidRPr="00275888">
        <w:rPr>
          <w:rFonts w:ascii="Garamond" w:hAnsi="Garamond"/>
          <w:lang w:val="en-GB"/>
        </w:rPr>
        <w:t xml:space="preserve">Benthic Habitats of American Samoa Derived from IKONOS Imagery, 2001-2003, </w:t>
      </w:r>
      <w:proofErr w:type="spellStart"/>
      <w:r w:rsidRPr="00275888">
        <w:rPr>
          <w:rFonts w:ascii="Garamond" w:hAnsi="Garamond"/>
          <w:lang w:val="en-GB"/>
        </w:rPr>
        <w:t>Center</w:t>
      </w:r>
      <w:proofErr w:type="spellEnd"/>
      <w:r w:rsidRPr="00275888">
        <w:rPr>
          <w:rFonts w:ascii="Garamond" w:hAnsi="Garamond"/>
          <w:lang w:val="en-GB"/>
        </w:rPr>
        <w:t xml:space="preserve"> for Coastal Monitoring and Assessment (CCMA), Biogeography Branch</w:t>
      </w:r>
    </w:p>
    <w:p w:rsidR="00275888" w:rsidRPr="00275888" w:rsidRDefault="00275888" w:rsidP="00275888">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lang w:val="en-GB"/>
        </w:rPr>
      </w:pPr>
      <w:r w:rsidRPr="00275888">
        <w:rPr>
          <w:rFonts w:ascii="Garamond" w:hAnsi="Garamond"/>
          <w:lang w:val="en-GB"/>
        </w:rPr>
        <w:t xml:space="preserve">Mosaic of gridded </w:t>
      </w:r>
      <w:proofErr w:type="spellStart"/>
      <w:r w:rsidRPr="00275888">
        <w:rPr>
          <w:rFonts w:ascii="Garamond" w:hAnsi="Garamond"/>
          <w:lang w:val="en-GB"/>
        </w:rPr>
        <w:t>multibeam</w:t>
      </w:r>
      <w:proofErr w:type="spellEnd"/>
      <w:r w:rsidRPr="00275888">
        <w:rPr>
          <w:rFonts w:ascii="Garamond" w:hAnsi="Garamond"/>
          <w:lang w:val="en-GB"/>
        </w:rPr>
        <w:t xml:space="preserve"> bathymetry and bathymetry derived from multispectral IKONOS satellite imagery of Rose Atoll, American Samoa, </w:t>
      </w:r>
      <w:proofErr w:type="gramStart"/>
      <w:r w:rsidRPr="00275888">
        <w:rPr>
          <w:rFonts w:ascii="Garamond" w:hAnsi="Garamond"/>
          <w:lang w:val="en-GB"/>
        </w:rPr>
        <w:t>USA</w:t>
      </w:r>
      <w:proofErr w:type="gramEnd"/>
      <w:r w:rsidRPr="00275888">
        <w:rPr>
          <w:rFonts w:ascii="Garamond" w:hAnsi="Garamond"/>
          <w:lang w:val="en-GB"/>
        </w:rPr>
        <w:t xml:space="preserve">. NOAA PIFSC CRED, the Pacific Islands Benthic Habitat Mapping </w:t>
      </w:r>
      <w:proofErr w:type="spellStart"/>
      <w:r w:rsidRPr="00275888">
        <w:rPr>
          <w:rFonts w:ascii="Garamond" w:hAnsi="Garamond"/>
          <w:lang w:val="en-GB"/>
        </w:rPr>
        <w:t>Center</w:t>
      </w:r>
      <w:proofErr w:type="spellEnd"/>
      <w:r w:rsidRPr="00275888">
        <w:rPr>
          <w:rFonts w:ascii="Garamond" w:hAnsi="Garamond"/>
          <w:lang w:val="en-GB"/>
        </w:rPr>
        <w:t xml:space="preserve"> and Davey Jones Locker GIS Laboratory Oregon State University</w:t>
      </w:r>
    </w:p>
    <w:p w:rsidR="00275888" w:rsidRPr="00275888" w:rsidRDefault="00275888" w:rsidP="00275888">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lang w:val="en-GB"/>
        </w:rPr>
      </w:pPr>
      <w:r w:rsidRPr="00275888">
        <w:rPr>
          <w:rFonts w:ascii="Garamond" w:hAnsi="Garamond"/>
          <w:lang w:val="en-GB"/>
        </w:rPr>
        <w:t xml:space="preserve">Benthic Habitats of Northern Mariana Archipelago Derived from IKONOS Imagery, 2001-2003, </w:t>
      </w:r>
      <w:proofErr w:type="spellStart"/>
      <w:r w:rsidRPr="00275888">
        <w:rPr>
          <w:rFonts w:ascii="Garamond" w:hAnsi="Garamond"/>
          <w:lang w:val="en-GB"/>
        </w:rPr>
        <w:t>Center</w:t>
      </w:r>
      <w:proofErr w:type="spellEnd"/>
      <w:r w:rsidRPr="00275888">
        <w:rPr>
          <w:rFonts w:ascii="Garamond" w:hAnsi="Garamond"/>
          <w:lang w:val="en-GB"/>
        </w:rPr>
        <w:t xml:space="preserve"> for Coastal Monitoring and Assessment (CCMA), Biogeography Branch</w:t>
      </w:r>
    </w:p>
    <w:p w:rsidR="00275888" w:rsidRPr="00275888" w:rsidRDefault="00275888" w:rsidP="00275888">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lang w:val="en-GB"/>
        </w:rPr>
      </w:pPr>
      <w:r w:rsidRPr="00275888">
        <w:rPr>
          <w:rFonts w:ascii="Garamond" w:hAnsi="Garamond"/>
          <w:lang w:val="en-GB"/>
        </w:rPr>
        <w:t>Chamberlin, C., 2008. A digital elevation model of Guam for tsunami inundation modelling, NOAA Pacific Marine Environmental Laboratory technical report, Seattle, WA, 7pp.</w:t>
      </w:r>
    </w:p>
    <w:p w:rsidR="00275888" w:rsidRPr="00275888" w:rsidRDefault="00275888" w:rsidP="00275888">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lang w:val="en-GB"/>
        </w:rPr>
      </w:pPr>
      <w:r w:rsidRPr="00275888">
        <w:rPr>
          <w:rFonts w:ascii="Garamond" w:hAnsi="Garamond"/>
          <w:lang w:val="en-GB"/>
        </w:rPr>
        <w:t xml:space="preserve">Gridded bathymetry of French Frigate Shoals, Hawaii, USA.  NOAA PIFSC CRED, the Pacific Islands Benthic Habitat Mapping </w:t>
      </w:r>
      <w:proofErr w:type="spellStart"/>
      <w:r w:rsidRPr="00275888">
        <w:rPr>
          <w:rFonts w:ascii="Garamond" w:hAnsi="Garamond"/>
          <w:lang w:val="en-GB"/>
        </w:rPr>
        <w:t>Center</w:t>
      </w:r>
      <w:proofErr w:type="spellEnd"/>
      <w:r w:rsidRPr="00275888">
        <w:rPr>
          <w:rFonts w:ascii="Garamond" w:hAnsi="Garamond"/>
          <w:lang w:val="en-GB"/>
        </w:rPr>
        <w:t xml:space="preserve">. Bathymetry derived from multispectral IKONOS satellite imagery of French Frigate Shoals, Hawaii, </w:t>
      </w:r>
      <w:proofErr w:type="gramStart"/>
      <w:r w:rsidRPr="00275888">
        <w:rPr>
          <w:rFonts w:ascii="Garamond" w:hAnsi="Garamond"/>
          <w:lang w:val="en-GB"/>
        </w:rPr>
        <w:t>USA</w:t>
      </w:r>
      <w:proofErr w:type="gramEnd"/>
      <w:r w:rsidRPr="00275888">
        <w:rPr>
          <w:rFonts w:ascii="Garamond" w:hAnsi="Garamond"/>
          <w:lang w:val="en-GB"/>
        </w:rPr>
        <w:t>. NOAA NOS NCCOS CCMA Remote Sensing Team.</w:t>
      </w:r>
    </w:p>
    <w:p w:rsidR="00275888" w:rsidRPr="00275888" w:rsidRDefault="00275888" w:rsidP="00275888">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lang w:val="en-GB"/>
        </w:rPr>
      </w:pPr>
      <w:r w:rsidRPr="00275888">
        <w:rPr>
          <w:rFonts w:ascii="Garamond" w:hAnsi="Garamond"/>
          <w:lang w:val="en-GB"/>
        </w:rPr>
        <w:t xml:space="preserve">Island </w:t>
      </w:r>
      <w:proofErr w:type="spellStart"/>
      <w:r w:rsidRPr="00275888">
        <w:rPr>
          <w:rFonts w:ascii="Garamond" w:hAnsi="Garamond"/>
          <w:lang w:val="en-GB"/>
        </w:rPr>
        <w:t>shapefile</w:t>
      </w:r>
      <w:proofErr w:type="spellEnd"/>
      <w:r w:rsidRPr="00275888">
        <w:rPr>
          <w:rFonts w:ascii="Garamond" w:hAnsi="Garamond"/>
          <w:lang w:val="en-GB"/>
        </w:rPr>
        <w:t xml:space="preserve"> digitized from IKONOS collected in 2003</w:t>
      </w:r>
    </w:p>
    <w:p w:rsidR="00275888" w:rsidRPr="00275888" w:rsidRDefault="00275888" w:rsidP="00275888">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lang w:val="en-GB"/>
        </w:rPr>
      </w:pPr>
      <w:r w:rsidRPr="00275888">
        <w:rPr>
          <w:rFonts w:ascii="Garamond" w:hAnsi="Garamond"/>
          <w:lang w:val="en-GB"/>
        </w:rPr>
        <w:t xml:space="preserve">Gridded bathymetry and IKONOS estimated depths of Kure Atoll, Hawaii, </w:t>
      </w:r>
      <w:proofErr w:type="gramStart"/>
      <w:r w:rsidRPr="00275888">
        <w:rPr>
          <w:rFonts w:ascii="Garamond" w:hAnsi="Garamond"/>
          <w:lang w:val="en-GB"/>
        </w:rPr>
        <w:t>USA</w:t>
      </w:r>
      <w:proofErr w:type="gramEnd"/>
      <w:r w:rsidRPr="00275888">
        <w:rPr>
          <w:rFonts w:ascii="Garamond" w:hAnsi="Garamond"/>
          <w:lang w:val="en-GB"/>
        </w:rPr>
        <w:t xml:space="preserve">. NOAA PIFSC </w:t>
      </w:r>
      <w:r w:rsidRPr="00275888">
        <w:rPr>
          <w:rFonts w:ascii="Garamond" w:hAnsi="Garamond"/>
          <w:lang w:val="en-GB"/>
        </w:rPr>
        <w:lastRenderedPageBreak/>
        <w:t xml:space="preserve">CRED, the Pacific Islands Benthic Habitat Mapping </w:t>
      </w:r>
      <w:proofErr w:type="spellStart"/>
      <w:r w:rsidRPr="00275888">
        <w:rPr>
          <w:rFonts w:ascii="Garamond" w:hAnsi="Garamond"/>
          <w:lang w:val="en-GB"/>
        </w:rPr>
        <w:t>Center</w:t>
      </w:r>
      <w:proofErr w:type="spellEnd"/>
    </w:p>
    <w:p w:rsidR="00275888" w:rsidRPr="00275888" w:rsidRDefault="00275888" w:rsidP="00275888">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lang w:val="en-GB"/>
        </w:rPr>
      </w:pPr>
      <w:r w:rsidRPr="00275888">
        <w:rPr>
          <w:rFonts w:ascii="Garamond" w:hAnsi="Garamond"/>
          <w:lang w:val="en-GB"/>
        </w:rPr>
        <w:t xml:space="preserve">Atlas of the Shallow-Water Benthic Habitats of the </w:t>
      </w:r>
      <w:proofErr w:type="spellStart"/>
      <w:r w:rsidRPr="00275888">
        <w:rPr>
          <w:rFonts w:ascii="Garamond" w:hAnsi="Garamond"/>
          <w:lang w:val="en-GB"/>
        </w:rPr>
        <w:t>Northwestern</w:t>
      </w:r>
      <w:proofErr w:type="spellEnd"/>
      <w:r w:rsidRPr="00275888">
        <w:rPr>
          <w:rFonts w:ascii="Garamond" w:hAnsi="Garamond"/>
          <w:lang w:val="en-GB"/>
        </w:rPr>
        <w:t xml:space="preserve"> Hawaiian </w:t>
      </w:r>
      <w:proofErr w:type="spellStart"/>
      <w:r w:rsidRPr="00275888">
        <w:rPr>
          <w:rFonts w:ascii="Garamond" w:hAnsi="Garamond"/>
          <w:lang w:val="en-GB"/>
        </w:rPr>
        <w:t>Isalnds</w:t>
      </w:r>
      <w:proofErr w:type="spellEnd"/>
      <w:r w:rsidRPr="00275888">
        <w:rPr>
          <w:rFonts w:ascii="Garamond" w:hAnsi="Garamond"/>
          <w:lang w:val="en-GB"/>
        </w:rPr>
        <w:t xml:space="preserve"> (2003). National Oceanic and Atmospheric Administration, </w:t>
      </w:r>
      <w:proofErr w:type="spellStart"/>
      <w:r w:rsidRPr="00275888">
        <w:rPr>
          <w:rFonts w:ascii="Garamond" w:hAnsi="Garamond"/>
          <w:lang w:val="en-GB"/>
        </w:rPr>
        <w:t>Center</w:t>
      </w:r>
      <w:proofErr w:type="spellEnd"/>
      <w:r w:rsidRPr="00275888">
        <w:rPr>
          <w:rFonts w:ascii="Garamond" w:hAnsi="Garamond"/>
          <w:lang w:val="en-GB"/>
        </w:rPr>
        <w:t xml:space="preserve"> for Coastal Monitoring and Assessment, Silver Spring, MD. 160pp.</w:t>
      </w:r>
    </w:p>
    <w:p w:rsidR="00275888" w:rsidRPr="00275888" w:rsidRDefault="00275888" w:rsidP="00275888">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lang w:val="en-GB"/>
        </w:rPr>
      </w:pPr>
      <w:proofErr w:type="spellStart"/>
      <w:r w:rsidRPr="00275888">
        <w:rPr>
          <w:rFonts w:ascii="Garamond" w:hAnsi="Garamond"/>
          <w:lang w:val="en-GB"/>
        </w:rPr>
        <w:t>Grothe</w:t>
      </w:r>
      <w:proofErr w:type="spellEnd"/>
      <w:r w:rsidRPr="00275888">
        <w:rPr>
          <w:rFonts w:ascii="Garamond" w:hAnsi="Garamond"/>
          <w:lang w:val="en-GB"/>
        </w:rPr>
        <w:t xml:space="preserve">, P.R., L.A. Taylor, B.W. Eakins, K.S. </w:t>
      </w:r>
      <w:proofErr w:type="spellStart"/>
      <w:r w:rsidRPr="00275888">
        <w:rPr>
          <w:rFonts w:ascii="Garamond" w:hAnsi="Garamond"/>
          <w:lang w:val="en-GB"/>
        </w:rPr>
        <w:t>Carignan</w:t>
      </w:r>
      <w:proofErr w:type="spellEnd"/>
      <w:r w:rsidRPr="00275888">
        <w:rPr>
          <w:rFonts w:ascii="Garamond" w:hAnsi="Garamond"/>
          <w:lang w:val="en-GB"/>
        </w:rPr>
        <w:t xml:space="preserve">, E. Lim, P.R. </w:t>
      </w:r>
      <w:proofErr w:type="spellStart"/>
      <w:r w:rsidRPr="00275888">
        <w:rPr>
          <w:rFonts w:ascii="Garamond" w:hAnsi="Garamond"/>
          <w:lang w:val="en-GB"/>
        </w:rPr>
        <w:t>Wamken</w:t>
      </w:r>
      <w:proofErr w:type="spellEnd"/>
      <w:r w:rsidRPr="00275888">
        <w:rPr>
          <w:rFonts w:ascii="Garamond" w:hAnsi="Garamond"/>
          <w:lang w:val="en-GB"/>
        </w:rPr>
        <w:t>, and R. J. Caldwell, 2010. Digital Elevation Models of Midway Atoll: Procedures, Data Sources and Analysis, NOAA Technical Memorandum NESDIS NGDC-33, Dept. of Commerce, Boulder, CO, 24 pp.</w:t>
      </w:r>
    </w:p>
    <w:p w:rsidR="00275888" w:rsidRPr="00275888" w:rsidRDefault="00275888" w:rsidP="00275888">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lang w:val="en-GB"/>
        </w:rPr>
      </w:pPr>
      <w:r w:rsidRPr="00275888">
        <w:rPr>
          <w:rFonts w:ascii="Garamond" w:hAnsi="Garamond"/>
          <w:lang w:val="en-GB"/>
        </w:rPr>
        <w:t xml:space="preserve">Gridded bathymetry and IKONOS estimated depths of Pearl and Hermes Atoll, Hawaii, USA. NOAA PIFSC CRED, the Pacific Islands Benthic Habitat Mapping </w:t>
      </w:r>
      <w:proofErr w:type="spellStart"/>
      <w:r w:rsidRPr="00275888">
        <w:rPr>
          <w:rFonts w:ascii="Garamond" w:hAnsi="Garamond"/>
          <w:lang w:val="en-GB"/>
        </w:rPr>
        <w:t>Center</w:t>
      </w:r>
      <w:proofErr w:type="spellEnd"/>
    </w:p>
    <w:p w:rsidR="00275888" w:rsidRPr="00275888" w:rsidRDefault="00275888" w:rsidP="00275888">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lang w:val="en-GB"/>
        </w:rPr>
      </w:pPr>
      <w:r w:rsidRPr="00275888">
        <w:rPr>
          <w:rFonts w:ascii="Garamond" w:hAnsi="Garamond"/>
          <w:lang w:val="en-GB"/>
        </w:rPr>
        <w:t xml:space="preserve">Gridded bathymetry and IKONOS estimated depths of </w:t>
      </w:r>
      <w:proofErr w:type="spellStart"/>
      <w:r w:rsidRPr="00275888">
        <w:rPr>
          <w:rFonts w:ascii="Garamond" w:hAnsi="Garamond"/>
          <w:lang w:val="en-GB"/>
        </w:rPr>
        <w:t>Maro</w:t>
      </w:r>
      <w:proofErr w:type="spellEnd"/>
      <w:r w:rsidRPr="00275888">
        <w:rPr>
          <w:rFonts w:ascii="Garamond" w:hAnsi="Garamond"/>
          <w:lang w:val="en-GB"/>
        </w:rPr>
        <w:t xml:space="preserve"> Reef, Hawaii, USA (2007). NOAA PIFSC CRED, the Pacific Islands Benthic Habitat Mapping </w:t>
      </w:r>
      <w:proofErr w:type="spellStart"/>
      <w:r w:rsidRPr="00275888">
        <w:rPr>
          <w:rFonts w:ascii="Garamond" w:hAnsi="Garamond"/>
          <w:lang w:val="en-GB"/>
        </w:rPr>
        <w:t>Center</w:t>
      </w:r>
      <w:proofErr w:type="spellEnd"/>
    </w:p>
    <w:p w:rsidR="00275888" w:rsidRPr="00275888" w:rsidRDefault="00275888" w:rsidP="00275888">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lang w:val="en-GB"/>
        </w:rPr>
      </w:pPr>
      <w:r w:rsidRPr="00275888">
        <w:rPr>
          <w:rFonts w:ascii="Garamond" w:hAnsi="Garamond"/>
          <w:lang w:val="en-GB"/>
        </w:rPr>
        <w:t xml:space="preserve">Gridded bathymetry and IKONOS estimated depths of </w:t>
      </w:r>
      <w:proofErr w:type="spellStart"/>
      <w:r w:rsidRPr="00275888">
        <w:rPr>
          <w:rFonts w:ascii="Garamond" w:hAnsi="Garamond"/>
          <w:lang w:val="en-GB"/>
        </w:rPr>
        <w:t>Lisianski</w:t>
      </w:r>
      <w:proofErr w:type="spellEnd"/>
      <w:r w:rsidRPr="00275888">
        <w:rPr>
          <w:rFonts w:ascii="Garamond" w:hAnsi="Garamond"/>
          <w:lang w:val="en-GB"/>
        </w:rPr>
        <w:t xml:space="preserve"> Island, Hawaii, USA. NOAA PIFSC CRED, the Pacific Islands Benthic Habitat Mapping </w:t>
      </w:r>
      <w:proofErr w:type="spellStart"/>
      <w:r w:rsidRPr="00275888">
        <w:rPr>
          <w:rFonts w:ascii="Garamond" w:hAnsi="Garamond"/>
          <w:lang w:val="en-GB"/>
        </w:rPr>
        <w:t>Center</w:t>
      </w:r>
      <w:proofErr w:type="spellEnd"/>
    </w:p>
    <w:p w:rsidR="00275888" w:rsidRPr="00275888" w:rsidRDefault="00275888" w:rsidP="00275888">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lang w:val="en-GB"/>
        </w:rPr>
      </w:pPr>
      <w:r w:rsidRPr="00275888">
        <w:rPr>
          <w:rFonts w:ascii="Garamond" w:hAnsi="Garamond"/>
          <w:lang w:val="en-GB"/>
        </w:rPr>
        <w:t xml:space="preserve">Island </w:t>
      </w:r>
      <w:proofErr w:type="spellStart"/>
      <w:r w:rsidRPr="00275888">
        <w:rPr>
          <w:rFonts w:ascii="Garamond" w:hAnsi="Garamond"/>
          <w:lang w:val="en-GB"/>
        </w:rPr>
        <w:t>shapefile</w:t>
      </w:r>
      <w:proofErr w:type="spellEnd"/>
      <w:r w:rsidRPr="00275888">
        <w:rPr>
          <w:rFonts w:ascii="Garamond" w:hAnsi="Garamond"/>
          <w:lang w:val="en-GB"/>
        </w:rPr>
        <w:t xml:space="preserve"> digitized from IKONOS collected in 2000</w:t>
      </w:r>
    </w:p>
    <w:p w:rsidR="00275888" w:rsidRPr="00275888" w:rsidRDefault="00275888" w:rsidP="00275888">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lang w:val="en-GB"/>
        </w:rPr>
      </w:pPr>
      <w:r w:rsidRPr="00275888">
        <w:rPr>
          <w:rFonts w:ascii="Garamond" w:hAnsi="Garamond"/>
          <w:lang w:val="en-GB"/>
        </w:rPr>
        <w:t xml:space="preserve">Mosaic of gridded </w:t>
      </w:r>
      <w:proofErr w:type="spellStart"/>
      <w:r w:rsidRPr="00275888">
        <w:rPr>
          <w:rFonts w:ascii="Garamond" w:hAnsi="Garamond"/>
          <w:lang w:val="en-GB"/>
        </w:rPr>
        <w:t>multibeam</w:t>
      </w:r>
      <w:proofErr w:type="spellEnd"/>
      <w:r w:rsidRPr="00275888">
        <w:rPr>
          <w:rFonts w:ascii="Garamond" w:hAnsi="Garamond"/>
          <w:lang w:val="en-GB"/>
        </w:rPr>
        <w:t xml:space="preserve"> bathymetry and bathymetry derived from multispectral IKONOS satellite imagery of Johnston Atoll, Pacific Remote Island Area, USA (2009). NOAA PIFSC CRED, the Pacific Islands Benthic Habitat Mapping </w:t>
      </w:r>
      <w:proofErr w:type="spellStart"/>
      <w:r w:rsidRPr="00275888">
        <w:rPr>
          <w:rFonts w:ascii="Garamond" w:hAnsi="Garamond"/>
          <w:lang w:val="en-GB"/>
        </w:rPr>
        <w:t>Center</w:t>
      </w:r>
      <w:proofErr w:type="spellEnd"/>
      <w:r w:rsidRPr="00275888">
        <w:rPr>
          <w:rFonts w:ascii="Garamond" w:hAnsi="Garamond"/>
          <w:lang w:val="en-GB"/>
        </w:rPr>
        <w:t xml:space="preserve"> and Davey Jones Locker GIS Laboratory Oregon State University</w:t>
      </w:r>
    </w:p>
    <w:p w:rsidR="00275888" w:rsidRPr="00275888" w:rsidRDefault="00275888" w:rsidP="00275888">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lang w:val="en-GB"/>
        </w:rPr>
      </w:pPr>
      <w:r w:rsidRPr="00275888">
        <w:rPr>
          <w:rFonts w:ascii="Garamond" w:hAnsi="Garamond"/>
          <w:lang w:val="en-GB"/>
        </w:rPr>
        <w:t xml:space="preserve">Mosaic of gridded </w:t>
      </w:r>
      <w:proofErr w:type="spellStart"/>
      <w:r w:rsidRPr="00275888">
        <w:rPr>
          <w:rFonts w:ascii="Garamond" w:hAnsi="Garamond"/>
          <w:lang w:val="en-GB"/>
        </w:rPr>
        <w:t>multibeam</w:t>
      </w:r>
      <w:proofErr w:type="spellEnd"/>
      <w:r w:rsidRPr="00275888">
        <w:rPr>
          <w:rFonts w:ascii="Garamond" w:hAnsi="Garamond"/>
          <w:lang w:val="en-GB"/>
        </w:rPr>
        <w:t xml:space="preserve"> bathymetry and bathymetry derived from multispectral IKONOS satellite imagery of Kingman Reef, Pacific Remote Island Area, USA (2009). NOAA PIFSC CRED, the Pacific Islands Benthic Habitat Mapping </w:t>
      </w:r>
      <w:proofErr w:type="spellStart"/>
      <w:r w:rsidRPr="00275888">
        <w:rPr>
          <w:rFonts w:ascii="Garamond" w:hAnsi="Garamond"/>
          <w:lang w:val="en-GB"/>
        </w:rPr>
        <w:t>Center</w:t>
      </w:r>
      <w:proofErr w:type="spellEnd"/>
      <w:r w:rsidRPr="00275888">
        <w:rPr>
          <w:rFonts w:ascii="Garamond" w:hAnsi="Garamond"/>
          <w:lang w:val="en-GB"/>
        </w:rPr>
        <w:t xml:space="preserve"> and Davey Jones Locker GIS Laboratory Oregon State University</w:t>
      </w:r>
    </w:p>
    <w:p w:rsidR="00275888" w:rsidRPr="00275888" w:rsidRDefault="00275888" w:rsidP="00275888">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lang w:val="en-GB"/>
        </w:rPr>
      </w:pPr>
      <w:r w:rsidRPr="00275888">
        <w:rPr>
          <w:rFonts w:ascii="Garamond" w:hAnsi="Garamond"/>
          <w:lang w:val="en-GB"/>
        </w:rPr>
        <w:t xml:space="preserve">Mosaic of gridded </w:t>
      </w:r>
      <w:proofErr w:type="spellStart"/>
      <w:r w:rsidRPr="00275888">
        <w:rPr>
          <w:rFonts w:ascii="Garamond" w:hAnsi="Garamond"/>
          <w:lang w:val="en-GB"/>
        </w:rPr>
        <w:t>multibeam</w:t>
      </w:r>
      <w:proofErr w:type="spellEnd"/>
      <w:r w:rsidRPr="00275888">
        <w:rPr>
          <w:rFonts w:ascii="Garamond" w:hAnsi="Garamond"/>
          <w:lang w:val="en-GB"/>
        </w:rPr>
        <w:t xml:space="preserve"> bathymetry and bathymetry derived from multispectral IKONOS satellite imagery of Palmyra Atoll, Pacific Remote Island Area, USA (2009). NOAA PIFSC CRED, the Pacific Islands Benthic Habitat Mapping </w:t>
      </w:r>
      <w:proofErr w:type="spellStart"/>
      <w:r w:rsidRPr="00275888">
        <w:rPr>
          <w:rFonts w:ascii="Garamond" w:hAnsi="Garamond"/>
          <w:lang w:val="en-GB"/>
        </w:rPr>
        <w:t>Center</w:t>
      </w:r>
      <w:proofErr w:type="spellEnd"/>
      <w:r w:rsidRPr="00275888">
        <w:rPr>
          <w:rFonts w:ascii="Garamond" w:hAnsi="Garamond"/>
          <w:lang w:val="en-GB"/>
        </w:rPr>
        <w:t xml:space="preserve"> and Davey Jones Locker GIS Laboratory Oregon State University</w:t>
      </w:r>
    </w:p>
    <w:p w:rsidR="00275888" w:rsidRDefault="00275888"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902D9E" w:rsidRDefault="00902D9E"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515D04" w:rsidRDefault="00515D04"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b/>
        </w:rPr>
      </w:pPr>
      <w:r>
        <w:rPr>
          <w:rFonts w:ascii="Garamond" w:hAnsi="Garamond"/>
          <w:b/>
        </w:rPr>
        <w:t>Limitations</w:t>
      </w:r>
    </w:p>
    <w:p w:rsidR="00515D04" w:rsidRDefault="00515D04"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FF28A8" w:rsidRDefault="00515D04"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r>
        <w:rPr>
          <w:rFonts w:ascii="Garamond" w:hAnsi="Garamond"/>
        </w:rPr>
        <w:tab/>
      </w:r>
      <w:r w:rsidR="00863D94">
        <w:rPr>
          <w:rFonts w:ascii="Garamond" w:hAnsi="Garamond"/>
        </w:rPr>
        <w:t xml:space="preserve">There are several unavoidable limitations and biases that arise when using this method. </w:t>
      </w:r>
      <w:r w:rsidR="00FF28A8">
        <w:rPr>
          <w:rFonts w:ascii="Garamond" w:hAnsi="Garamond"/>
        </w:rPr>
        <w:t xml:space="preserve">This method is not meant to replace </w:t>
      </w:r>
      <w:proofErr w:type="spellStart"/>
      <w:r w:rsidR="00FF28A8">
        <w:rPr>
          <w:rFonts w:ascii="Garamond" w:hAnsi="Garamond"/>
        </w:rPr>
        <w:t>nearshore</w:t>
      </w:r>
      <w:proofErr w:type="spellEnd"/>
      <w:r w:rsidR="00FF28A8">
        <w:rPr>
          <w:rFonts w:ascii="Garamond" w:hAnsi="Garamond"/>
        </w:rPr>
        <w:t xml:space="preserve"> wave modeling or equal it in accuracy; it is meant to provide an improved site-level estimation of wave exposure in regions where remotely generated swells are known to contribute to local wave energy. </w:t>
      </w:r>
    </w:p>
    <w:p w:rsidR="00D75DC7" w:rsidRDefault="00FF28A8"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r>
        <w:rPr>
          <w:rFonts w:ascii="Garamond" w:hAnsi="Garamond"/>
        </w:rPr>
        <w:tab/>
      </w:r>
      <w:r w:rsidR="00863D94">
        <w:rPr>
          <w:rFonts w:ascii="Garamond" w:hAnsi="Garamond"/>
        </w:rPr>
        <w:t>The first, and most significant</w:t>
      </w:r>
      <w:r>
        <w:rPr>
          <w:rFonts w:ascii="Garamond" w:hAnsi="Garamond"/>
        </w:rPr>
        <w:t xml:space="preserve"> limitation</w:t>
      </w:r>
      <w:r w:rsidR="00863D94">
        <w:rPr>
          <w:rFonts w:ascii="Garamond" w:hAnsi="Garamond"/>
        </w:rPr>
        <w:t xml:space="preserve">, is that this </w:t>
      </w:r>
      <w:r>
        <w:rPr>
          <w:rFonts w:ascii="Garamond" w:hAnsi="Garamond"/>
        </w:rPr>
        <w:t>metric</w:t>
      </w:r>
      <w:r w:rsidR="00863D94">
        <w:rPr>
          <w:rFonts w:ascii="Garamond" w:hAnsi="Garamond"/>
        </w:rPr>
        <w:t xml:space="preserve"> </w:t>
      </w:r>
      <w:r w:rsidR="00282F43">
        <w:rPr>
          <w:rFonts w:ascii="Garamond" w:hAnsi="Garamond"/>
        </w:rPr>
        <w:t>can</w:t>
      </w:r>
      <w:r w:rsidR="00863D94">
        <w:rPr>
          <w:rFonts w:ascii="Garamond" w:hAnsi="Garamond"/>
        </w:rPr>
        <w:t xml:space="preserve"> underestimate the true wave power at a site because it does not utilize spectral data. WW3 data outputs the peak period swell, so even though at any given time there may be multiple swell directions, </w:t>
      </w:r>
      <w:r w:rsidR="00486E0A">
        <w:rPr>
          <w:rFonts w:ascii="Garamond" w:hAnsi="Garamond"/>
        </w:rPr>
        <w:t>WW3 output will only reflect the swell with the longest period. F</w:t>
      </w:r>
      <w:r w:rsidR="00863D94">
        <w:rPr>
          <w:rFonts w:ascii="Garamond" w:hAnsi="Garamond"/>
        </w:rPr>
        <w:t>or example</w:t>
      </w:r>
      <w:r w:rsidR="00486E0A">
        <w:rPr>
          <w:rFonts w:ascii="Garamond" w:hAnsi="Garamond"/>
        </w:rPr>
        <w:t>, if</w:t>
      </w:r>
      <w:r w:rsidR="00863D94">
        <w:rPr>
          <w:rFonts w:ascii="Garamond" w:hAnsi="Garamond"/>
        </w:rPr>
        <w:t xml:space="preserve"> a long period south swell and a short period northeast wind swell</w:t>
      </w:r>
      <w:r w:rsidR="00486E0A">
        <w:rPr>
          <w:rFonts w:ascii="Garamond" w:hAnsi="Garamond"/>
        </w:rPr>
        <w:t xml:space="preserve"> coexist</w:t>
      </w:r>
      <w:r w:rsidR="00863D94">
        <w:rPr>
          <w:rFonts w:ascii="Garamond" w:hAnsi="Garamond"/>
        </w:rPr>
        <w:t xml:space="preserve">, the WW3 output will only </w:t>
      </w:r>
      <w:r w:rsidR="00282F43">
        <w:rPr>
          <w:rFonts w:ascii="Garamond" w:hAnsi="Garamond"/>
        </w:rPr>
        <w:t xml:space="preserve">reflect the </w:t>
      </w:r>
      <w:r w:rsidR="00FD5325">
        <w:rPr>
          <w:rFonts w:ascii="Garamond" w:hAnsi="Garamond"/>
        </w:rPr>
        <w:t>south</w:t>
      </w:r>
      <w:r w:rsidR="00863D94">
        <w:rPr>
          <w:rFonts w:ascii="Garamond" w:hAnsi="Garamond"/>
        </w:rPr>
        <w:t xml:space="preserve"> swell. Therefore, for a site only exposed to northeast swells, by this method, the wave power will be zero at</w:t>
      </w:r>
      <w:r w:rsidR="00FD5325">
        <w:rPr>
          <w:rFonts w:ascii="Garamond" w:hAnsi="Garamond"/>
        </w:rPr>
        <w:t xml:space="preserve"> that time-step, de</w:t>
      </w:r>
      <w:r w:rsidR="00282F43">
        <w:rPr>
          <w:rFonts w:ascii="Garamond" w:hAnsi="Garamond"/>
        </w:rPr>
        <w:t xml:space="preserve">spite being exposed to a </w:t>
      </w:r>
      <w:r w:rsidR="00486E0A">
        <w:rPr>
          <w:rFonts w:ascii="Garamond" w:hAnsi="Garamond"/>
        </w:rPr>
        <w:t>small</w:t>
      </w:r>
      <w:r w:rsidR="00282F43">
        <w:rPr>
          <w:rFonts w:ascii="Garamond" w:hAnsi="Garamond"/>
        </w:rPr>
        <w:t xml:space="preserve"> swell</w:t>
      </w:r>
      <w:r w:rsidR="00863D94">
        <w:rPr>
          <w:rFonts w:ascii="Garamond" w:hAnsi="Garamond"/>
        </w:rPr>
        <w:t>.</w:t>
      </w:r>
      <w:r w:rsidR="00D75DC7">
        <w:rPr>
          <w:rFonts w:ascii="Garamond" w:hAnsi="Garamond"/>
        </w:rPr>
        <w:t xml:space="preserve"> Unfortunately, although it is clear that the incident wave swath method </w:t>
      </w:r>
      <w:r w:rsidR="00486E0A">
        <w:rPr>
          <w:rFonts w:ascii="Garamond" w:hAnsi="Garamond"/>
        </w:rPr>
        <w:t>can</w:t>
      </w:r>
      <w:r w:rsidR="00D75DC7">
        <w:rPr>
          <w:rFonts w:ascii="Garamond" w:hAnsi="Garamond"/>
        </w:rPr>
        <w:t xml:space="preserve"> underestimate wave power, </w:t>
      </w:r>
      <w:r w:rsidR="00486E0A">
        <w:rPr>
          <w:rFonts w:ascii="Garamond" w:hAnsi="Garamond"/>
        </w:rPr>
        <w:t>the underestimation is not easily predictable without full spectral data</w:t>
      </w:r>
      <w:r w:rsidR="00D75DC7">
        <w:rPr>
          <w:rFonts w:ascii="Garamond" w:hAnsi="Garamond"/>
        </w:rPr>
        <w:t>.</w:t>
      </w:r>
    </w:p>
    <w:p w:rsidR="00DF1742" w:rsidRDefault="00D75DC7"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r>
        <w:rPr>
          <w:rFonts w:ascii="Garamond" w:hAnsi="Garamond"/>
        </w:rPr>
        <w:tab/>
        <w:t>The second major limitation of this method is that it does not include shallow water processes such as refraction or shoaling. This becomes important in some areas where offshor</w:t>
      </w:r>
      <w:r w:rsidR="00282F43">
        <w:rPr>
          <w:rFonts w:ascii="Garamond" w:hAnsi="Garamond"/>
        </w:rPr>
        <w:t>e shoals can reduce wave energy.</w:t>
      </w:r>
      <w:r>
        <w:rPr>
          <w:rFonts w:ascii="Garamond" w:hAnsi="Garamond"/>
        </w:rPr>
        <w:t xml:space="preserve"> </w:t>
      </w:r>
      <w:r w:rsidR="00282F43">
        <w:rPr>
          <w:rFonts w:ascii="Garamond" w:hAnsi="Garamond"/>
        </w:rPr>
        <w:t>Since this shoaling</w:t>
      </w:r>
      <w:r>
        <w:rPr>
          <w:rFonts w:ascii="Garamond" w:hAnsi="Garamond"/>
        </w:rPr>
        <w:t xml:space="preserve"> is not reflected in the wave power metric, the energy on the south shore of Tutuila, for example, is overestimated relative to other areas of the island.</w:t>
      </w:r>
      <w:r w:rsidR="00863D94">
        <w:rPr>
          <w:rFonts w:ascii="Garamond" w:hAnsi="Garamond"/>
        </w:rPr>
        <w:t xml:space="preserve"> </w:t>
      </w:r>
      <w:r w:rsidR="006D7CFC">
        <w:rPr>
          <w:rFonts w:ascii="Garamond" w:hAnsi="Garamond"/>
        </w:rPr>
        <w:t>Due to t</w:t>
      </w:r>
      <w:r w:rsidR="00282F43">
        <w:rPr>
          <w:rFonts w:ascii="Garamond" w:hAnsi="Garamond"/>
        </w:rPr>
        <w:t xml:space="preserve">he combination of this in addition to the limitations induced by not using spectral data, </w:t>
      </w:r>
      <w:r w:rsidR="00902D9E">
        <w:rPr>
          <w:rFonts w:ascii="Garamond" w:hAnsi="Garamond"/>
        </w:rPr>
        <w:t>it</w:t>
      </w:r>
      <w:r w:rsidR="00FD5325">
        <w:rPr>
          <w:rFonts w:ascii="Garamond" w:hAnsi="Garamond"/>
        </w:rPr>
        <w:t xml:space="preserve"> </w:t>
      </w:r>
      <w:r w:rsidR="00282F43">
        <w:rPr>
          <w:rFonts w:ascii="Garamond" w:hAnsi="Garamond"/>
        </w:rPr>
        <w:t xml:space="preserve">is </w:t>
      </w:r>
      <w:r w:rsidR="00FD5325">
        <w:rPr>
          <w:rFonts w:ascii="Garamond" w:hAnsi="Garamond"/>
        </w:rPr>
        <w:t>difficult to predict whether</w:t>
      </w:r>
      <w:r w:rsidR="00282F43">
        <w:rPr>
          <w:rFonts w:ascii="Garamond" w:hAnsi="Garamond"/>
        </w:rPr>
        <w:t xml:space="preserve"> wave exposure is likely to be over or under-estimated at a site. </w:t>
      </w:r>
      <w:r w:rsidR="006D7CFC">
        <w:rPr>
          <w:rFonts w:ascii="Garamond" w:hAnsi="Garamond"/>
        </w:rPr>
        <w:t>Although m</w:t>
      </w:r>
      <w:r w:rsidR="00282F43">
        <w:rPr>
          <w:rFonts w:ascii="Garamond" w:hAnsi="Garamond"/>
        </w:rPr>
        <w:t>odel validation exists in the form of high-resolution SWAN runs in the main Hawaiian Islands and Tutuila, validation</w:t>
      </w:r>
      <w:r w:rsidR="006D7CFC">
        <w:rPr>
          <w:rFonts w:ascii="Garamond" w:hAnsi="Garamond"/>
        </w:rPr>
        <w:t xml:space="preserve"> at other islands is impossible without running a complete model.</w:t>
      </w:r>
    </w:p>
    <w:p w:rsidR="00FF28A8" w:rsidRDefault="00680334"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r>
        <w:rPr>
          <w:rFonts w:ascii="Garamond" w:hAnsi="Garamond"/>
        </w:rPr>
        <w:tab/>
        <w:t xml:space="preserve">Finally, although WW3 is a very accurate model, its coarse spatial resolution can cause it to miss important wave events, such as typhoons. Because typhoons are smaller than the </w:t>
      </w:r>
      <w:r w:rsidR="00275888">
        <w:rPr>
          <w:rFonts w:ascii="Garamond" w:hAnsi="Garamond"/>
        </w:rPr>
        <w:t xml:space="preserve">resolution of the model, in </w:t>
      </w:r>
      <w:r w:rsidR="00275888">
        <w:rPr>
          <w:rFonts w:ascii="Garamond" w:hAnsi="Garamond"/>
        </w:rPr>
        <w:lastRenderedPageBreak/>
        <w:t>particular the direction of the waves from typhoons is represented poorly, resulting in poor representation of these episodic events in the final wave metric.</w:t>
      </w:r>
      <w:r w:rsidR="000D71D3">
        <w:rPr>
          <w:rFonts w:ascii="Garamond" w:hAnsi="Garamond"/>
        </w:rPr>
        <w:t xml:space="preserve"> Despite these limitations, the incident wave swath exposure metric can be a useful tool in studies where site-specific wave exposure is expected to be an important variable, but numerical modeling is not an option.</w:t>
      </w:r>
    </w:p>
    <w:p w:rsidR="00DF1742" w:rsidRDefault="00DF1742"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DF1742" w:rsidRDefault="00DF1742"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DF1742" w:rsidRPr="00DF1742" w:rsidRDefault="00DF1742"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b/>
        </w:rPr>
      </w:pPr>
      <w:r w:rsidRPr="00DF1742">
        <w:rPr>
          <w:rFonts w:ascii="Garamond" w:hAnsi="Garamond"/>
          <w:b/>
        </w:rPr>
        <w:t xml:space="preserve">References </w:t>
      </w:r>
    </w:p>
    <w:p w:rsidR="007D4321" w:rsidRDefault="00685288"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r>
        <w:rPr>
          <w:rFonts w:ascii="Garamond" w:hAnsi="Garamond"/>
        </w:rPr>
        <w:tab/>
      </w:r>
    </w:p>
    <w:p w:rsidR="00685288" w:rsidRDefault="00685288"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roofErr w:type="gramStart"/>
      <w:r w:rsidRPr="00685288">
        <w:rPr>
          <w:rFonts w:ascii="Garamond" w:hAnsi="Garamond"/>
        </w:rPr>
        <w:t>Burrows, Michael T., Robin Harvey, and Linda Robb.</w:t>
      </w:r>
      <w:proofErr w:type="gramEnd"/>
      <w:r w:rsidRPr="00685288">
        <w:rPr>
          <w:rFonts w:ascii="Garamond" w:hAnsi="Garamond"/>
        </w:rPr>
        <w:t xml:space="preserve"> </w:t>
      </w:r>
      <w:proofErr w:type="gramStart"/>
      <w:r w:rsidRPr="00685288">
        <w:rPr>
          <w:rFonts w:ascii="Garamond" w:hAnsi="Garamond"/>
        </w:rPr>
        <w:t>"Wave exposure indices from digital coastlines and the prediction of rocky shore community structure."</w:t>
      </w:r>
      <w:proofErr w:type="gramEnd"/>
      <w:r w:rsidRPr="00685288">
        <w:rPr>
          <w:rFonts w:ascii="Garamond" w:hAnsi="Garamond"/>
        </w:rPr>
        <w:t> </w:t>
      </w:r>
      <w:r w:rsidRPr="00685288">
        <w:rPr>
          <w:rFonts w:ascii="Garamond" w:hAnsi="Garamond"/>
          <w:i/>
          <w:iCs/>
        </w:rPr>
        <w:t>M</w:t>
      </w:r>
      <w:r>
        <w:rPr>
          <w:rFonts w:ascii="Garamond" w:hAnsi="Garamond"/>
          <w:i/>
          <w:iCs/>
        </w:rPr>
        <w:t>arine</w:t>
      </w:r>
      <w:r w:rsidRPr="00685288">
        <w:rPr>
          <w:rFonts w:ascii="Garamond" w:hAnsi="Garamond"/>
          <w:i/>
          <w:iCs/>
        </w:rPr>
        <w:t xml:space="preserve"> </w:t>
      </w:r>
      <w:r w:rsidRPr="00FD5D01">
        <w:rPr>
          <w:rFonts w:ascii="Garamond" w:hAnsi="Garamond"/>
          <w:i/>
          <w:iCs/>
        </w:rPr>
        <w:t>Ecology Progress Series</w:t>
      </w:r>
      <w:r w:rsidRPr="00685288">
        <w:rPr>
          <w:rFonts w:ascii="Garamond" w:hAnsi="Garamond"/>
          <w:i/>
          <w:iCs/>
        </w:rPr>
        <w:t xml:space="preserve"> -</w:t>
      </w:r>
      <w:r w:rsidRPr="00685288">
        <w:rPr>
          <w:rFonts w:ascii="Garamond" w:hAnsi="Garamond"/>
        </w:rPr>
        <w:t> 353 (2008): 1.</w:t>
      </w:r>
    </w:p>
    <w:p w:rsidR="00685288" w:rsidRDefault="00685288"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1701E7" w:rsidRDefault="001701E7"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roofErr w:type="gramStart"/>
      <w:r>
        <w:rPr>
          <w:rFonts w:ascii="Garamond" w:hAnsi="Garamond"/>
        </w:rPr>
        <w:t xml:space="preserve">Durant, Thomas, Mark </w:t>
      </w:r>
      <w:proofErr w:type="spellStart"/>
      <w:r>
        <w:rPr>
          <w:rFonts w:ascii="Garamond" w:hAnsi="Garamond"/>
        </w:rPr>
        <w:t>Hemer</w:t>
      </w:r>
      <w:proofErr w:type="spellEnd"/>
      <w:r>
        <w:rPr>
          <w:rFonts w:ascii="Garamond" w:hAnsi="Garamond"/>
        </w:rPr>
        <w:t xml:space="preserve">, and Claire </w:t>
      </w:r>
      <w:proofErr w:type="spellStart"/>
      <w:r>
        <w:rPr>
          <w:rFonts w:ascii="Garamond" w:hAnsi="Garamond"/>
        </w:rPr>
        <w:t>Trenham</w:t>
      </w:r>
      <w:proofErr w:type="spellEnd"/>
      <w:r>
        <w:rPr>
          <w:rFonts w:ascii="Garamond" w:hAnsi="Garamond"/>
        </w:rPr>
        <w:t>.</w:t>
      </w:r>
      <w:proofErr w:type="gramEnd"/>
      <w:r>
        <w:rPr>
          <w:rFonts w:ascii="Garamond" w:hAnsi="Garamond"/>
        </w:rPr>
        <w:t xml:space="preserve"> “CAWCR Wave </w:t>
      </w:r>
      <w:proofErr w:type="spellStart"/>
      <w:r>
        <w:rPr>
          <w:rFonts w:ascii="Garamond" w:hAnsi="Garamond"/>
        </w:rPr>
        <w:t>Hindcast</w:t>
      </w:r>
      <w:proofErr w:type="spellEnd"/>
      <w:r>
        <w:rPr>
          <w:rFonts w:ascii="Garamond" w:hAnsi="Garamond"/>
        </w:rPr>
        <w:t xml:space="preserve"> 1979-2010. v7. </w:t>
      </w:r>
      <w:proofErr w:type="spellStart"/>
      <w:proofErr w:type="gramStart"/>
      <w:r>
        <w:rPr>
          <w:rFonts w:ascii="Garamond" w:hAnsi="Garamond"/>
        </w:rPr>
        <w:t>CSIRO.Data</w:t>
      </w:r>
      <w:proofErr w:type="spellEnd"/>
      <w:r>
        <w:rPr>
          <w:rFonts w:ascii="Garamond" w:hAnsi="Garamond"/>
        </w:rPr>
        <w:t xml:space="preserve"> Collection.</w:t>
      </w:r>
      <w:proofErr w:type="gramEnd"/>
      <w:r>
        <w:rPr>
          <w:rFonts w:ascii="Garamond" w:hAnsi="Garamond"/>
        </w:rPr>
        <w:t xml:space="preserve"> </w:t>
      </w:r>
      <w:hyperlink r:id="rId6" w:history="1">
        <w:r w:rsidRPr="00670805">
          <w:rPr>
            <w:rStyle w:val="Hyperlink"/>
            <w:rFonts w:ascii="Garamond" w:hAnsi="Garamond"/>
          </w:rPr>
          <w:t>http://doi.org/10.4225/08/523168703DCC5</w:t>
        </w:r>
      </w:hyperlink>
      <w:r>
        <w:rPr>
          <w:rFonts w:ascii="Garamond" w:hAnsi="Garamond"/>
        </w:rPr>
        <w:t>. (2013).</w:t>
      </w:r>
    </w:p>
    <w:p w:rsidR="001701E7" w:rsidRDefault="001701E7"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1701E7" w:rsidRDefault="001701E7" w:rsidP="001701E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roofErr w:type="gramStart"/>
      <w:r>
        <w:rPr>
          <w:rFonts w:ascii="Garamond" w:hAnsi="Garamond"/>
        </w:rPr>
        <w:t xml:space="preserve">Durant, Thomas, Mark </w:t>
      </w:r>
      <w:proofErr w:type="spellStart"/>
      <w:r>
        <w:rPr>
          <w:rFonts w:ascii="Garamond" w:hAnsi="Garamond"/>
        </w:rPr>
        <w:t>Hemer</w:t>
      </w:r>
      <w:proofErr w:type="spellEnd"/>
      <w:r>
        <w:rPr>
          <w:rFonts w:ascii="Garamond" w:hAnsi="Garamond"/>
        </w:rPr>
        <w:t xml:space="preserve">, and Claire </w:t>
      </w:r>
      <w:proofErr w:type="spellStart"/>
      <w:r>
        <w:rPr>
          <w:rFonts w:ascii="Garamond" w:hAnsi="Garamond"/>
        </w:rPr>
        <w:t>Trenham</w:t>
      </w:r>
      <w:proofErr w:type="spellEnd"/>
      <w:r>
        <w:rPr>
          <w:rFonts w:ascii="Garamond" w:hAnsi="Garamond"/>
        </w:rPr>
        <w:t>.</w:t>
      </w:r>
      <w:proofErr w:type="gramEnd"/>
      <w:r>
        <w:rPr>
          <w:rFonts w:ascii="Garamond" w:hAnsi="Garamond"/>
        </w:rPr>
        <w:t xml:space="preserve"> “CAWCR Wave </w:t>
      </w:r>
      <w:proofErr w:type="spellStart"/>
      <w:r>
        <w:rPr>
          <w:rFonts w:ascii="Garamond" w:hAnsi="Garamond"/>
        </w:rPr>
        <w:t>Hindcast</w:t>
      </w:r>
      <w:proofErr w:type="spellEnd"/>
      <w:r>
        <w:rPr>
          <w:rFonts w:ascii="Garamond" w:hAnsi="Garamond"/>
        </w:rPr>
        <w:t xml:space="preserve"> Extension Jan 2011 – May 2013. V4. </w:t>
      </w:r>
      <w:proofErr w:type="spellStart"/>
      <w:proofErr w:type="gramStart"/>
      <w:r>
        <w:rPr>
          <w:rFonts w:ascii="Garamond" w:hAnsi="Garamond"/>
        </w:rPr>
        <w:t>CSIRO.Data</w:t>
      </w:r>
      <w:proofErr w:type="spellEnd"/>
      <w:r>
        <w:rPr>
          <w:rFonts w:ascii="Garamond" w:hAnsi="Garamond"/>
        </w:rPr>
        <w:t xml:space="preserve"> Collection.</w:t>
      </w:r>
      <w:proofErr w:type="gramEnd"/>
      <w:r>
        <w:rPr>
          <w:rFonts w:ascii="Garamond" w:hAnsi="Garamond"/>
        </w:rPr>
        <w:t xml:space="preserve"> </w:t>
      </w:r>
      <w:r w:rsidRPr="001701E7">
        <w:rPr>
          <w:rFonts w:ascii="Garamond" w:hAnsi="Garamond"/>
        </w:rPr>
        <w:t>http://</w:t>
      </w:r>
      <w:r>
        <w:rPr>
          <w:rFonts w:ascii="Garamond" w:hAnsi="Garamond"/>
        </w:rPr>
        <w:t>doi.org/10.4225/08/52817E2858340. (2013).</w:t>
      </w:r>
    </w:p>
    <w:p w:rsidR="001701E7" w:rsidRDefault="001701E7"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7D4321" w:rsidRDefault="007D4321"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roofErr w:type="gramStart"/>
      <w:r w:rsidRPr="007D4321">
        <w:rPr>
          <w:rFonts w:ascii="Garamond" w:hAnsi="Garamond"/>
        </w:rPr>
        <w:t xml:space="preserve">Gove, Jamison M., et al. "Quantifying </w:t>
      </w:r>
      <w:proofErr w:type="spellStart"/>
      <w:r w:rsidRPr="007D4321">
        <w:rPr>
          <w:rFonts w:ascii="Garamond" w:hAnsi="Garamond"/>
        </w:rPr>
        <w:t>climatological</w:t>
      </w:r>
      <w:proofErr w:type="spellEnd"/>
      <w:r w:rsidRPr="007D4321">
        <w:rPr>
          <w:rFonts w:ascii="Garamond" w:hAnsi="Garamond"/>
        </w:rPr>
        <w:t xml:space="preserve"> ranges and anomalies for Pacific coral reef ecosystems."</w:t>
      </w:r>
      <w:proofErr w:type="gramEnd"/>
      <w:r w:rsidRPr="007D4321">
        <w:rPr>
          <w:rFonts w:ascii="Garamond" w:hAnsi="Garamond"/>
        </w:rPr>
        <w:t> </w:t>
      </w:r>
      <w:proofErr w:type="spellStart"/>
      <w:r w:rsidRPr="007D4321">
        <w:rPr>
          <w:rFonts w:ascii="Garamond" w:hAnsi="Garamond"/>
          <w:i/>
          <w:iCs/>
        </w:rPr>
        <w:t>PloS</w:t>
      </w:r>
      <w:proofErr w:type="spellEnd"/>
      <w:r w:rsidRPr="007D4321">
        <w:rPr>
          <w:rFonts w:ascii="Garamond" w:hAnsi="Garamond"/>
          <w:i/>
          <w:iCs/>
        </w:rPr>
        <w:t xml:space="preserve"> one</w:t>
      </w:r>
      <w:r w:rsidRPr="007D4321">
        <w:rPr>
          <w:rFonts w:ascii="Garamond" w:hAnsi="Garamond"/>
        </w:rPr>
        <w:t> 8.4 (2013): e61974.</w:t>
      </w:r>
    </w:p>
    <w:p w:rsidR="00685288" w:rsidRDefault="00685288"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FD5D01" w:rsidRDefault="00FD5D01"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r w:rsidRPr="00FD5D01">
        <w:rPr>
          <w:rFonts w:ascii="Garamond" w:hAnsi="Garamond"/>
        </w:rPr>
        <w:t>Gove, Jamison M., et al. "Coral reef benthic regimes exhibit non-linear threshold responses to natural physical drivers." </w:t>
      </w:r>
      <w:r w:rsidRPr="00FD5D01">
        <w:rPr>
          <w:rFonts w:ascii="Garamond" w:hAnsi="Garamond"/>
          <w:i/>
          <w:iCs/>
        </w:rPr>
        <w:t>Marine Ecology Progress Series</w:t>
      </w:r>
      <w:r w:rsidRPr="00FD5D01">
        <w:rPr>
          <w:rFonts w:ascii="Garamond" w:hAnsi="Garamond"/>
        </w:rPr>
        <w:t> 522 (2015): 33-48.</w:t>
      </w:r>
    </w:p>
    <w:p w:rsidR="00685288" w:rsidRDefault="00685288"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685288" w:rsidRDefault="00685288"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roofErr w:type="spellStart"/>
      <w:proofErr w:type="gramStart"/>
      <w:r w:rsidRPr="00685288">
        <w:rPr>
          <w:rFonts w:ascii="Garamond" w:hAnsi="Garamond"/>
        </w:rPr>
        <w:t>Malhotra</w:t>
      </w:r>
      <w:proofErr w:type="spellEnd"/>
      <w:r w:rsidRPr="00685288">
        <w:rPr>
          <w:rFonts w:ascii="Garamond" w:hAnsi="Garamond"/>
        </w:rPr>
        <w:t xml:space="preserve">, </w:t>
      </w:r>
      <w:proofErr w:type="spellStart"/>
      <w:r w:rsidRPr="00685288">
        <w:rPr>
          <w:rFonts w:ascii="Garamond" w:hAnsi="Garamond"/>
        </w:rPr>
        <w:t>Amit</w:t>
      </w:r>
      <w:proofErr w:type="spellEnd"/>
      <w:r w:rsidRPr="00685288">
        <w:rPr>
          <w:rFonts w:ascii="Garamond" w:hAnsi="Garamond"/>
        </w:rPr>
        <w:t>, and Mark S. Fonseca.</w:t>
      </w:r>
      <w:proofErr w:type="gramEnd"/>
      <w:r w:rsidRPr="00685288">
        <w:rPr>
          <w:rFonts w:ascii="Garamond" w:hAnsi="Garamond"/>
        </w:rPr>
        <w:t xml:space="preserve"> "</w:t>
      </w:r>
      <w:proofErr w:type="spellStart"/>
      <w:r w:rsidRPr="00685288">
        <w:rPr>
          <w:rFonts w:ascii="Garamond" w:hAnsi="Garamond"/>
        </w:rPr>
        <w:t>WEMo</w:t>
      </w:r>
      <w:proofErr w:type="spellEnd"/>
      <w:r w:rsidRPr="00685288">
        <w:rPr>
          <w:rFonts w:ascii="Garamond" w:hAnsi="Garamond"/>
        </w:rPr>
        <w:t xml:space="preserve"> (Wave Exposure Model): formulation, procedures and validation."</w:t>
      </w:r>
      <w:r>
        <w:rPr>
          <w:rFonts w:ascii="Garamond" w:hAnsi="Garamond"/>
        </w:rPr>
        <w:t xml:space="preserve"> </w:t>
      </w:r>
      <w:proofErr w:type="gramStart"/>
      <w:r>
        <w:rPr>
          <w:rFonts w:ascii="Garamond" w:hAnsi="Garamond"/>
        </w:rPr>
        <w:t>Technical Report, NOAA/National Ocean Service/National Centers for Coastal Ocean Science</w:t>
      </w:r>
      <w:r w:rsidRPr="00685288">
        <w:rPr>
          <w:rFonts w:ascii="Garamond" w:hAnsi="Garamond"/>
        </w:rPr>
        <w:t xml:space="preserve"> (2007).</w:t>
      </w:r>
      <w:proofErr w:type="gramEnd"/>
    </w:p>
    <w:p w:rsidR="00685288" w:rsidRDefault="00685288"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685288" w:rsidRDefault="00685288"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roofErr w:type="gramStart"/>
      <w:r w:rsidRPr="00685288">
        <w:rPr>
          <w:rFonts w:ascii="Garamond" w:hAnsi="Garamond"/>
        </w:rPr>
        <w:t xml:space="preserve">Pepper, Austen, and </w:t>
      </w:r>
      <w:proofErr w:type="spellStart"/>
      <w:r w:rsidRPr="00685288">
        <w:rPr>
          <w:rFonts w:ascii="Garamond" w:hAnsi="Garamond"/>
        </w:rPr>
        <w:t>Marjetta</w:t>
      </w:r>
      <w:proofErr w:type="spellEnd"/>
      <w:r w:rsidRPr="00685288">
        <w:rPr>
          <w:rFonts w:ascii="Garamond" w:hAnsi="Garamond"/>
        </w:rPr>
        <w:t xml:space="preserve"> L. </w:t>
      </w:r>
      <w:proofErr w:type="spellStart"/>
      <w:r w:rsidRPr="00685288">
        <w:rPr>
          <w:rFonts w:ascii="Garamond" w:hAnsi="Garamond"/>
        </w:rPr>
        <w:t>Puotinen</w:t>
      </w:r>
      <w:proofErr w:type="spellEnd"/>
      <w:r w:rsidRPr="00685288">
        <w:rPr>
          <w:rFonts w:ascii="Garamond" w:hAnsi="Garamond"/>
        </w:rPr>
        <w:t>.</w:t>
      </w:r>
      <w:proofErr w:type="gramEnd"/>
      <w:r w:rsidRPr="00685288">
        <w:rPr>
          <w:rFonts w:ascii="Garamond" w:hAnsi="Garamond"/>
        </w:rPr>
        <w:t xml:space="preserve"> "GREMO: A GIS-based generic model for estimating relative wave exposure." </w:t>
      </w:r>
      <w:r w:rsidR="006C3C05">
        <w:rPr>
          <w:rFonts w:ascii="Garamond" w:hAnsi="Garamond"/>
        </w:rPr>
        <w:t xml:space="preserve">Conference Report, </w:t>
      </w:r>
      <w:proofErr w:type="gramStart"/>
      <w:r w:rsidR="006C3C05">
        <w:rPr>
          <w:rFonts w:ascii="Garamond" w:hAnsi="Garamond"/>
        </w:rPr>
        <w:t>The</w:t>
      </w:r>
      <w:proofErr w:type="gramEnd"/>
      <w:r w:rsidR="006C3C05">
        <w:rPr>
          <w:rFonts w:ascii="Garamond" w:hAnsi="Garamond"/>
        </w:rPr>
        <w:t xml:space="preserve"> 19</w:t>
      </w:r>
      <w:r w:rsidR="006C3C05" w:rsidRPr="006C3C05">
        <w:rPr>
          <w:rFonts w:ascii="Garamond" w:hAnsi="Garamond"/>
          <w:vertAlign w:val="superscript"/>
        </w:rPr>
        <w:t>th</w:t>
      </w:r>
      <w:r w:rsidR="006C3C05">
        <w:rPr>
          <w:rFonts w:ascii="Garamond" w:hAnsi="Garamond"/>
        </w:rPr>
        <w:t xml:space="preserve"> World IMACS Congress and MODISIM09 International Congress on </w:t>
      </w:r>
      <w:proofErr w:type="spellStart"/>
      <w:r w:rsidR="006C3C05">
        <w:rPr>
          <w:rFonts w:ascii="Garamond" w:hAnsi="Garamond"/>
        </w:rPr>
        <w:t>Modelling</w:t>
      </w:r>
      <w:proofErr w:type="spellEnd"/>
      <w:r w:rsidR="006C3C05">
        <w:rPr>
          <w:rFonts w:ascii="Garamond" w:hAnsi="Garamond"/>
        </w:rPr>
        <w:t xml:space="preserve"> and Simulation </w:t>
      </w:r>
      <w:r w:rsidRPr="00685288">
        <w:rPr>
          <w:rFonts w:ascii="Garamond" w:hAnsi="Garamond"/>
        </w:rPr>
        <w:t>(2009)</w:t>
      </w:r>
      <w:r w:rsidR="006C3C05">
        <w:rPr>
          <w:rFonts w:ascii="Garamond" w:hAnsi="Garamond"/>
        </w:rPr>
        <w:t>: 1964-1970</w:t>
      </w:r>
      <w:r w:rsidRPr="00685288">
        <w:rPr>
          <w:rFonts w:ascii="Garamond" w:hAnsi="Garamond"/>
        </w:rPr>
        <w:t>.</w:t>
      </w:r>
    </w:p>
    <w:p w:rsidR="006C3C05" w:rsidRDefault="006C3C05"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6C3C05" w:rsidRDefault="006C3C05"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roofErr w:type="spellStart"/>
      <w:r w:rsidRPr="006C3C05">
        <w:rPr>
          <w:rFonts w:ascii="Garamond" w:hAnsi="Garamond"/>
        </w:rPr>
        <w:t>Puotinen</w:t>
      </w:r>
      <w:proofErr w:type="spellEnd"/>
      <w:r w:rsidRPr="006C3C05">
        <w:rPr>
          <w:rFonts w:ascii="Garamond" w:hAnsi="Garamond"/>
        </w:rPr>
        <w:t xml:space="preserve">, </w:t>
      </w:r>
      <w:proofErr w:type="spellStart"/>
      <w:r w:rsidRPr="006C3C05">
        <w:rPr>
          <w:rFonts w:ascii="Garamond" w:hAnsi="Garamond"/>
        </w:rPr>
        <w:t>Marjetta</w:t>
      </w:r>
      <w:proofErr w:type="spellEnd"/>
      <w:r w:rsidRPr="006C3C05">
        <w:rPr>
          <w:rFonts w:ascii="Garamond" w:hAnsi="Garamond"/>
        </w:rPr>
        <w:t xml:space="preserve"> L. "An automated GIS method for modeling relative wave exposure within complex reef-island systems: a case study of the Great Barrier Reef." </w:t>
      </w:r>
      <w:r>
        <w:rPr>
          <w:rFonts w:ascii="Garamond" w:hAnsi="Garamond"/>
        </w:rPr>
        <w:t xml:space="preserve">Conference Paper, </w:t>
      </w:r>
      <w:r w:rsidRPr="006C3C05">
        <w:rPr>
          <w:rFonts w:ascii="Garamond" w:hAnsi="Garamond"/>
        </w:rPr>
        <w:t xml:space="preserve">Congress of the </w:t>
      </w:r>
      <w:proofErr w:type="spellStart"/>
      <w:r w:rsidRPr="006C3C05">
        <w:rPr>
          <w:rFonts w:ascii="Garamond" w:hAnsi="Garamond"/>
        </w:rPr>
        <w:t>Modelling</w:t>
      </w:r>
      <w:proofErr w:type="spellEnd"/>
      <w:r w:rsidRPr="006C3C05">
        <w:rPr>
          <w:rFonts w:ascii="Garamond" w:hAnsi="Garamond"/>
        </w:rPr>
        <w:t xml:space="preserve"> and Simulation Society of Australia and New Zealand (2005): 1437</w:t>
      </w:r>
      <w:r>
        <w:rPr>
          <w:rFonts w:ascii="Garamond" w:hAnsi="Garamond"/>
        </w:rPr>
        <w:t>-1433</w:t>
      </w:r>
      <w:r w:rsidRPr="006C3C05">
        <w:rPr>
          <w:rFonts w:ascii="Garamond" w:hAnsi="Garamond"/>
        </w:rPr>
        <w:t>.</w:t>
      </w:r>
    </w:p>
    <w:p w:rsidR="00FD5D01" w:rsidRDefault="00FD5D01"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FD5D01" w:rsidRDefault="00FD5D01"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r w:rsidRPr="00FD5D01">
        <w:rPr>
          <w:rFonts w:ascii="Garamond" w:hAnsi="Garamond"/>
        </w:rPr>
        <w:t>Richards, Benjamin L., et al. "Environmental factors affecting large-bodied coral reef fish assemblages in the Mariana Archipelago." </w:t>
      </w:r>
      <w:proofErr w:type="spellStart"/>
      <w:r w:rsidRPr="00FD5D01">
        <w:rPr>
          <w:rFonts w:ascii="Garamond" w:hAnsi="Garamond"/>
          <w:i/>
          <w:iCs/>
        </w:rPr>
        <w:t>PLoS</w:t>
      </w:r>
      <w:proofErr w:type="spellEnd"/>
      <w:r w:rsidRPr="00FD5D01">
        <w:rPr>
          <w:rFonts w:ascii="Garamond" w:hAnsi="Garamond"/>
          <w:i/>
          <w:iCs/>
        </w:rPr>
        <w:t xml:space="preserve"> One</w:t>
      </w:r>
      <w:r w:rsidRPr="00FD5D01">
        <w:rPr>
          <w:rFonts w:ascii="Garamond" w:hAnsi="Garamond"/>
        </w:rPr>
        <w:t> 7.2 (2012): e31374.</w:t>
      </w:r>
    </w:p>
    <w:p w:rsidR="00FD5D01" w:rsidRDefault="00FD5D01"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p w:rsidR="00DF1742" w:rsidRPr="00515D04" w:rsidRDefault="00DF1742" w:rsidP="00515D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aramond" w:hAnsi="Garamond"/>
        </w:rPr>
      </w:pPr>
    </w:p>
    <w:sectPr w:rsidR="00DF1742" w:rsidRPr="00515D04" w:rsidSect="00150F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D4801"/>
    <w:multiLevelType w:val="hybridMultilevel"/>
    <w:tmpl w:val="0ADC0984"/>
    <w:lvl w:ilvl="0" w:tplc="D9E6DB56">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2E0E"/>
    <w:rsid w:val="000C762F"/>
    <w:rsid w:val="000D71D3"/>
    <w:rsid w:val="00150F82"/>
    <w:rsid w:val="001701E7"/>
    <w:rsid w:val="001C2A78"/>
    <w:rsid w:val="00210706"/>
    <w:rsid w:val="00275888"/>
    <w:rsid w:val="00282F43"/>
    <w:rsid w:val="002C13A8"/>
    <w:rsid w:val="002D1D97"/>
    <w:rsid w:val="002D77CB"/>
    <w:rsid w:val="00486E0A"/>
    <w:rsid w:val="00487C26"/>
    <w:rsid w:val="004F6562"/>
    <w:rsid w:val="00515D04"/>
    <w:rsid w:val="00617456"/>
    <w:rsid w:val="006252D5"/>
    <w:rsid w:val="00680334"/>
    <w:rsid w:val="00685288"/>
    <w:rsid w:val="006A2A06"/>
    <w:rsid w:val="006C3C05"/>
    <w:rsid w:val="006D7CFC"/>
    <w:rsid w:val="0076292F"/>
    <w:rsid w:val="007D4321"/>
    <w:rsid w:val="00842B5F"/>
    <w:rsid w:val="00863D94"/>
    <w:rsid w:val="00902D9E"/>
    <w:rsid w:val="0092611E"/>
    <w:rsid w:val="00963DA5"/>
    <w:rsid w:val="009D2E0E"/>
    <w:rsid w:val="00A138B9"/>
    <w:rsid w:val="00A50D40"/>
    <w:rsid w:val="00A538F0"/>
    <w:rsid w:val="00B234FD"/>
    <w:rsid w:val="00B74BC5"/>
    <w:rsid w:val="00C25ED5"/>
    <w:rsid w:val="00CB4E6A"/>
    <w:rsid w:val="00CE54FA"/>
    <w:rsid w:val="00D1196D"/>
    <w:rsid w:val="00D33F87"/>
    <w:rsid w:val="00D75DC7"/>
    <w:rsid w:val="00DF1742"/>
    <w:rsid w:val="00E21679"/>
    <w:rsid w:val="00ED4A43"/>
    <w:rsid w:val="00FD4286"/>
    <w:rsid w:val="00FD5325"/>
    <w:rsid w:val="00FD5D01"/>
    <w:rsid w:val="00FF28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F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E0A"/>
    <w:rPr>
      <w:rFonts w:ascii="Tahoma" w:hAnsi="Tahoma" w:cs="Tahoma"/>
      <w:sz w:val="16"/>
      <w:szCs w:val="16"/>
    </w:rPr>
  </w:style>
  <w:style w:type="character" w:customStyle="1" w:styleId="BalloonTextChar">
    <w:name w:val="Balloon Text Char"/>
    <w:basedOn w:val="DefaultParagraphFont"/>
    <w:link w:val="BalloonText"/>
    <w:uiPriority w:val="99"/>
    <w:semiHidden/>
    <w:rsid w:val="00486E0A"/>
    <w:rPr>
      <w:rFonts w:ascii="Tahoma" w:hAnsi="Tahoma" w:cs="Tahoma"/>
      <w:sz w:val="16"/>
      <w:szCs w:val="16"/>
    </w:rPr>
  </w:style>
  <w:style w:type="table" w:styleId="TableGrid">
    <w:name w:val="Table Grid"/>
    <w:basedOn w:val="TableNormal"/>
    <w:uiPriority w:val="59"/>
    <w:rsid w:val="00275888"/>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701E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i.org/10.4225/08/523168703DCC5"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3651</TotalTime>
  <Pages>5</Pages>
  <Words>2113</Words>
  <Characters>12047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14132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Jeanette Clark</dc:creator>
  <cp:lastModifiedBy>Jeanette Clark</cp:lastModifiedBy>
  <cp:revision>21</cp:revision>
  <dcterms:created xsi:type="dcterms:W3CDTF">2015-12-03T20:37:00Z</dcterms:created>
  <dcterms:modified xsi:type="dcterms:W3CDTF">2016-02-20T01:42:00Z</dcterms:modified>
</cp:coreProperties>
</file>