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FA8D3"/>
          <w:spacing w:val="20"/>
          <w:sz w:val="18"/>
          <w:szCs w:val="18"/>
        </w:rPr>
        <w:t xml:space="preserve">SKIN CANCER ANALYTICS</w:t>
      </w:r>
    </w:p>
    <w:p>
      <w:pPr>
        <w:spacing w:after="100"/>
      </w:pPr>
      <w:r>
        <w:rPr>
          <w:rFonts w:ascii="Cambria" w:cs="Cambria" w:eastAsia="Cambria" w:hAnsi="Cambria"/>
          <w:b/>
          <w:bCs/>
          <w:color w:val="0B4F6C"/>
          <w:sz w:val="44"/>
          <w:szCs w:val="44"/>
        </w:rPr>
        <w:t xml:space="preserve">Patient Risk Patterns &amp; Clinical Insights</w:t>
      </w:r>
    </w:p>
    <w:p>
      <w:pPr>
        <w:spacing w:after="60"/>
      </w:pPr>
      <w:r>
        <w:rPr>
          <w:rFonts w:ascii="Calibri" w:cs="Calibri" w:eastAsia="Calibri" w:hAnsi="Calibri"/>
          <w:i/>
          <w:iCs/>
          <w:color w:val="6B7B85"/>
          <w:sz w:val="20"/>
          <w:szCs w:val="20"/>
        </w:rPr>
        <w:t xml:space="preserve">A PostgreSQL-based analysis of 1,088 diagnosed lesion records from the PAD-UFES-20 diagnostic dataset, covering patient demographics, lesion behavior, environmental context, and lifestyle risk factors. Prepared for DORI (Dermalife Oncology &amp; Research Institute).</w:t>
      </w:r>
    </w:p>
    <w:p>
      <w:pPr>
        <w:spacing w:after="120" w:before="240"/>
      </w:pPr>
      <w:r>
        <w:rPr>
          <w:rFonts w:ascii="Calibri" w:cs="Calibri" w:eastAsia="Calibri" w:hAnsi="Calibri"/>
          <w:b/>
          <w:bCs/>
          <w:color w:val="0B4F6C"/>
          <w:spacing w:val="16"/>
          <w:sz w:val="17"/>
          <w:szCs w:val="17"/>
        </w:rP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pct" w:w="20%"/>
            <w:shd w:fill="F4F7F8" w:val="clear"/>
            <w:tcMar>
              <w:top w:type="dxa" w:w="160"/>
              <w:left w:type="dxa" w:w="120"/>
              <w:bottom w:type="dxa" w:w="160"/>
              <w:right w:type="dxa" w:w="120"/>
            </w:tcMar>
            <w:vAlign w:val="center"/>
          </w:tcPr>
          <w:p>
            <w:pPr>
              <w:spacing w:after="60"/>
              <w:jc w:val="center"/>
            </w:pPr>
            <w:r>
              <w:rPr>
                <w:rFonts w:ascii="Cambria" w:cs="Cambria" w:eastAsia="Cambria" w:hAnsi="Cambria"/>
                <w:b/>
                <w:bCs/>
                <w:color w:val="E4572E"/>
                <w:sz w:val="34"/>
                <w:szCs w:val="34"/>
              </w:rPr>
              <w:t xml:space="preserve">69%</w:t>
            </w:r>
          </w:p>
          <w:p>
            <w:pPr>
              <w:jc w:val="center"/>
            </w:pPr>
            <w:r>
              <w:rPr>
                <w:rFonts w:ascii="Calibri" w:cs="Calibri" w:eastAsia="Calibri" w:hAnsi="Calibri"/>
                <w:color w:val="2B2B2B"/>
                <w:sz w:val="15"/>
                <w:szCs w:val="15"/>
              </w:rPr>
              <w:t xml:space="preserve">Nose lesions are malignant — highest rate of any region</w:t>
            </w:r>
          </w:p>
        </w:tc>
        <w:tc>
          <w:tcPr>
            <w:tcW w:type="pct" w:w="20%"/>
            <w:shd w:fill="F4F7F8" w:val="clear"/>
            <w:tcMar>
              <w:top w:type="dxa" w:w="160"/>
              <w:left w:type="dxa" w:w="120"/>
              <w:bottom w:type="dxa" w:w="160"/>
              <w:right w:type="dxa" w:w="120"/>
            </w:tcMar>
            <w:vAlign w:val="center"/>
          </w:tcPr>
          <w:p>
            <w:pPr>
              <w:spacing w:after="60"/>
              <w:jc w:val="center"/>
            </w:pPr>
            <w:r>
              <w:rPr>
                <w:rFonts w:ascii="Cambria" w:cs="Cambria" w:eastAsia="Cambria" w:hAnsi="Cambria"/>
                <w:b/>
                <w:bCs/>
                <w:color w:val="E4572E"/>
                <w:sz w:val="34"/>
                <w:szCs w:val="34"/>
              </w:rPr>
              <w:t xml:space="preserve">82%</w:t>
            </w:r>
          </w:p>
          <w:p>
            <w:pPr>
              <w:jc w:val="center"/>
            </w:pPr>
            <w:r>
              <w:rPr>
                <w:rFonts w:ascii="Calibri" w:cs="Calibri" w:eastAsia="Calibri" w:hAnsi="Calibri"/>
                <w:color w:val="2B2B2B"/>
                <w:sz w:val="15"/>
                <w:szCs w:val="15"/>
              </w:rPr>
              <w:t xml:space="preserve">Malignant rate for smokers who also drink</w:t>
            </w:r>
          </w:p>
        </w:tc>
        <w:tc>
          <w:tcPr>
            <w:tcW w:type="pct" w:w="20%"/>
            <w:shd w:fill="F4F7F8" w:val="clear"/>
            <w:tcMar>
              <w:top w:type="dxa" w:w="160"/>
              <w:left w:type="dxa" w:w="120"/>
              <w:bottom w:type="dxa" w:w="160"/>
              <w:right w:type="dxa" w:w="120"/>
            </w:tcMar>
            <w:vAlign w:val="center"/>
          </w:tcPr>
          <w:p>
            <w:pPr>
              <w:spacing w:after="60"/>
              <w:jc w:val="center"/>
            </w:pPr>
            <w:r>
              <w:rPr>
                <w:rFonts w:ascii="Cambria" w:cs="Cambria" w:eastAsia="Cambria" w:hAnsi="Cambria"/>
                <w:b/>
                <w:bCs/>
                <w:color w:val="0B4F6C"/>
                <w:sz w:val="34"/>
                <w:szCs w:val="34"/>
              </w:rPr>
              <w:t xml:space="preserve">47%</w:t>
            </w:r>
          </w:p>
          <w:p>
            <w:pPr>
              <w:jc w:val="center"/>
            </w:pPr>
            <w:r>
              <w:rPr>
                <w:rFonts w:ascii="Calibri" w:cs="Calibri" w:eastAsia="Calibri" w:hAnsi="Calibri"/>
                <w:color w:val="2B2B2B"/>
                <w:sz w:val="15"/>
                <w:szCs w:val="15"/>
              </w:rPr>
              <w:t xml:space="preserve">Of lesions were actively growing</w:t>
            </w:r>
          </w:p>
        </w:tc>
        <w:tc>
          <w:tcPr>
            <w:tcW w:type="pct" w:w="20%"/>
            <w:shd w:fill="F4F7F8" w:val="clear"/>
            <w:tcMar>
              <w:top w:type="dxa" w:w="160"/>
              <w:left w:type="dxa" w:w="120"/>
              <w:bottom w:type="dxa" w:w="160"/>
              <w:right w:type="dxa" w:w="120"/>
            </w:tcMar>
            <w:vAlign w:val="center"/>
          </w:tcPr>
          <w:p>
            <w:pPr>
              <w:spacing w:after="60"/>
              <w:jc w:val="center"/>
            </w:pPr>
            <w:r>
              <w:rPr>
                <w:rFonts w:ascii="Cambria" w:cs="Cambria" w:eastAsia="Cambria" w:hAnsi="Cambria"/>
                <w:b/>
                <w:bCs/>
                <w:color w:val="0B4F6C"/>
                <w:sz w:val="34"/>
                <w:szCs w:val="34"/>
              </w:rPr>
              <w:t xml:space="preserve">62%</w:t>
            </w:r>
          </w:p>
          <w:p>
            <w:pPr>
              <w:jc w:val="center"/>
            </w:pPr>
            <w:r>
              <w:rPr>
                <w:rFonts w:ascii="Calibri" w:cs="Calibri" w:eastAsia="Calibri" w:hAnsi="Calibri"/>
                <w:color w:val="2B2B2B"/>
                <w:sz w:val="15"/>
                <w:szCs w:val="15"/>
              </w:rPr>
              <w:t xml:space="preserve">Of lesions presented with itching</w:t>
            </w:r>
          </w:p>
        </w:tc>
        <w:tc>
          <w:tcPr>
            <w:tcW w:type="pct" w:w="20%"/>
            <w:shd w:fill="F4F7F8" w:val="clear"/>
            <w:tcMar>
              <w:top w:type="dxa" w:w="160"/>
              <w:left w:type="dxa" w:w="120"/>
              <w:bottom w:type="dxa" w:w="160"/>
              <w:right w:type="dxa" w:w="120"/>
            </w:tcMar>
            <w:vAlign w:val="center"/>
          </w:tcPr>
          <w:p>
            <w:pPr>
              <w:spacing w:after="60"/>
              <w:jc w:val="center"/>
            </w:pPr>
            <w:r>
              <w:rPr>
                <w:rFonts w:ascii="Cambria" w:cs="Cambria" w:eastAsia="Cambria" w:hAnsi="Cambria"/>
                <w:b/>
                <w:bCs/>
                <w:color w:val="0B4F6C"/>
                <w:sz w:val="34"/>
                <w:szCs w:val="34"/>
              </w:rPr>
              <w:t xml:space="preserve">72%</w:t>
            </w:r>
          </w:p>
          <w:p>
            <w:pPr>
              <w:jc w:val="center"/>
            </w:pPr>
            <w:r>
              <w:rPr>
                <w:rFonts w:ascii="Calibri" w:cs="Calibri" w:eastAsia="Calibri" w:hAnsi="Calibri"/>
                <w:color w:val="2B2B2B"/>
                <w:sz w:val="15"/>
                <w:szCs w:val="15"/>
              </w:rPr>
              <w:t xml:space="preserve">Of patients lack piped water access</w:t>
            </w:r>
          </w:p>
        </w:tc>
      </w:tr>
    </w:tbl>
    <w:p>
      <w:pPr>
        <w:pStyle w:val="Heading1"/>
        <w:pBdr>
          <w:bottom w:val="single" w:color="0B4F6C" w:sz="6" w:space="4"/>
        </w:pBdr>
        <w:spacing w:after="140" w:before="320"/>
      </w:pPr>
      <w:r>
        <w:rPr>
          <w:rFonts w:ascii="Cambria" w:cs="Cambria" w:eastAsia="Cambria" w:hAnsi="Cambria"/>
          <w:b/>
          <w:bCs/>
          <w:color w:val="0B4F6C"/>
          <w:sz w:val="27"/>
          <w:szCs w:val="27"/>
        </w:rPr>
        <w:t xml:space="preserve">1. Who Is Most Affected</w:t>
      </w:r>
    </w:p>
    <w:p>
      <w:pPr>
        <w:spacing w:after="140" w:line="300"/>
      </w:pPr>
      <w:r>
        <w:rPr>
          <w:rFonts w:ascii="Calibri" w:cs="Calibri" w:eastAsia="Calibri" w:hAnsi="Calibri"/>
          <w:color w:val="2B2B2B"/>
          <w:sz w:val="21"/>
          <w:szCs w:val="21"/>
        </w:rPr>
        <w:t xml:space="preserve">Adults aged 60–77 carry the highest skin cancer history burden (96 of 224 patients, 43%), followed by Middle-Aged Adults 42–59 (83, 37%). Together these two age bands account for 80% of all documented skin cancer history. Male patients account for 67% of all diagnoses (726 of 1,088) versus 33% female (362) — roughly a 2:1 ratio.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2000"/>
      </w:tblGrid>
      <w:tr>
        <w:trPr>
          <w:tblHeader/>
        </w:trPr>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Age group</w:t>
            </w:r>
          </w:p>
        </w:tc>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Patients with history</w:t>
            </w:r>
          </w:p>
        </w:tc>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Share</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Adults (60–77)</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96</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43%</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Middle-Aged Adults (42–59)</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83</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37%</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Elderly Adults (78–94)</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29</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13%</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Young Adults (24–41)</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12</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5%</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Children &amp; Young Adults (6–23)</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4</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2%</w:t>
            </w:r>
          </w:p>
        </w:tc>
      </w:tr>
    </w:tbl>
    <w:p>
      <w:pPr>
        <w:pStyle w:val="Heading1"/>
        <w:pBdr>
          <w:bottom w:val="single" w:color="0B4F6C" w:sz="6" w:space="4"/>
        </w:pBdr>
        <w:spacing w:after="140" w:before="320"/>
      </w:pPr>
      <w:r>
        <w:rPr>
          <w:rFonts w:ascii="Cambria" w:cs="Cambria" w:eastAsia="Cambria" w:hAnsi="Cambria"/>
          <w:b/>
          <w:bCs/>
          <w:color w:val="0B4F6C"/>
          <w:sz w:val="27"/>
          <w:szCs w:val="27"/>
        </w:rPr>
        <w:t xml:space="preserve">2. Where It Strikes</w:t>
      </w:r>
    </w:p>
    <w:p>
      <w:pPr>
        <w:spacing w:after="140" w:line="300"/>
      </w:pPr>
      <w:r>
        <w:rPr>
          <w:rFonts w:ascii="Calibri" w:cs="Calibri" w:eastAsia="Calibri" w:hAnsi="Calibri"/>
          <w:color w:val="2B2B2B"/>
          <w:sz w:val="21"/>
          <w:szCs w:val="21"/>
        </w:rPr>
        <w:t xml:space="preserve">The Face has the highest raw count of malignant diagnoses (102), but raw count is not the same as risk. Weighting malignant count against total cases per region reveals the Nose carries the highest malignancy rate at 69.1%, followed by the Lip (57.1%) and Neck (54.1%) — despite far lower case volume than the Face (278 total cases) or Forearm (219). Nose and Lip also show the highest biopsy rates (79% and 86%), consistent with elevated clinical suspicion for these regions.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00"/>
      </w:tblGrid>
      <w:tr>
        <w:trPr>
          <w:tblHeader/>
        </w:trPr>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Region</w:t>
            </w:r>
          </w:p>
        </w:tc>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Total cases</w:t>
            </w:r>
          </w:p>
        </w:tc>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Malignant</w:t>
            </w:r>
          </w:p>
        </w:tc>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Malignant rate</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Nose</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68</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47</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69.1%</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Lip</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7</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4</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57.1%</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Neck</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37</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20</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54.1%</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Ear</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32</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17</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53.1%</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Chest</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124</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52</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41.9%</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Face</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278</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102</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36.7%</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Back</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105</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38</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36.2%</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Forearm</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219</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25</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11.4%</w:t>
            </w:r>
          </w:p>
        </w:tc>
      </w:tr>
    </w:tbl>
    <w:p>
      <w:pPr>
        <w:pStyle w:val="Heading1"/>
        <w:pBdr>
          <w:bottom w:val="single" w:color="0B4F6C" w:sz="6" w:space="4"/>
        </w:pBdr>
        <w:spacing w:after="140" w:before="320"/>
      </w:pPr>
      <w:r>
        <w:rPr>
          <w:rFonts w:ascii="Cambria" w:cs="Cambria" w:eastAsia="Cambria" w:hAnsi="Cambria"/>
          <w:b/>
          <w:bCs/>
          <w:color w:val="0B4F6C"/>
          <w:sz w:val="27"/>
          <w:szCs w:val="27"/>
        </w:rPr>
        <w:t xml:space="preserve">3. How It Presents</w:t>
      </w:r>
    </w:p>
    <w:p>
      <w:pPr>
        <w:spacing w:after="140" w:line="300"/>
      </w:pPr>
      <w:r>
        <w:rPr>
          <w:rFonts w:ascii="Calibri" w:cs="Calibri" w:eastAsia="Calibri" w:hAnsi="Calibri"/>
          <w:color w:val="2B2B2B"/>
          <w:sz w:val="21"/>
          <w:szCs w:val="21"/>
        </w:rPr>
        <w:t xml:space="preserve">ACK (pre-cancerous) is the single most common diagnosis (461 cases, 42% of all lesions), followed by BCC — a malignant type — at 273 cases. 47% of lesions (510) were reported as actively growing, and 42% (458) were biopsied. Among reported symptoms, itching (62%) and elevation (56%) dominate — far ahead of bleeding (20%), pain (14%), or visible change (9%), making them the most useful early self-check signals in this population rather than the more commonly assumed “bleeding” red flag.</w:t>
      </w:r>
    </w:p>
    <w:p>
      <w:pPr>
        <w:spacing w:after="140" w:line="300"/>
      </w:pPr>
      <w:r>
        <w:rPr>
          <w:rFonts w:ascii="Calibri" w:cs="Calibri" w:eastAsia="Calibri" w:hAnsi="Calibri"/>
          <w:i w:val="false"/>
          <w:iCs w:val="false"/>
          <w:color w:val="2B2B2B"/>
          <w:sz w:val="21"/>
          <w:szCs w:val="21"/>
        </w:rPr>
        <w:t xml:space="preserve">Lesion diameter at diagnosis is a strong severity signal: melanoma (MEL) averages 14.09mm, over 5x the average size of benign nevus lesions (0.67mm) and nearly 2x benign keratosis (0.80mm). SCC and BCC — also malignant — average 10.46mm and 9.97mm respectively.</w:t>
      </w:r>
    </w:p>
    <w:p>
      <w:pPr>
        <w:pStyle w:val="Heading1"/>
        <w:pBdr>
          <w:bottom w:val="single" w:color="0B4F6C" w:sz="6" w:space="4"/>
        </w:pBdr>
        <w:spacing w:after="140" w:before="320"/>
      </w:pPr>
      <w:r>
        <w:rPr>
          <w:rFonts w:ascii="Cambria" w:cs="Cambria" w:eastAsia="Cambria" w:hAnsi="Cambria"/>
          <w:b/>
          <w:bCs/>
          <w:color w:val="0B4F6C"/>
          <w:sz w:val="27"/>
          <w:szCs w:val="27"/>
        </w:rPr>
        <w:t xml:space="preserve">4. Environmental Context</w:t>
      </w:r>
    </w:p>
    <w:p>
      <w:pPr>
        <w:spacing w:after="140" w:line="300"/>
      </w:pPr>
      <w:r>
        <w:rPr>
          <w:rFonts w:ascii="Calibri" w:cs="Calibri" w:eastAsia="Calibri" w:hAnsi="Calibri"/>
          <w:color w:val="2B2B2B"/>
          <w:sz w:val="21"/>
          <w:szCs w:val="21"/>
        </w:rPr>
        <w:t xml:space="preserve">72% of patients (782) lack piped water access and 75% (815) lack sewage system access — this is a population with widespread infrastructure gaps. A more surprising result: patients with adequate sanitation show a higher malignant rate (61.8%, 162 of 262) than patients with poor sanitation (22.3%, 184 of 826) — the opposite of what a simple deprivation model would predict.</w:t>
      </w:r>
    </w:p>
    <w:p>
      <w:pPr>
        <w:pBdr>
          <w:top w:val="single" w:color="D8DEE2" w:sz="4" w:space="8"/>
          <w:bottom w:val="single" w:color="D8DEE2" w:sz="4" w:space="8"/>
          <w:left w:val="single" w:color="D8DEE2" w:sz="4" w:space="8"/>
          <w:right w:val="single" w:color="D8DEE2" w:sz="4" w:space="8"/>
        </w:pBdr>
        <w:shd w:fill="F4F7F8" w:val="clear"/>
        <w:spacing w:after="160" w:before="80"/>
      </w:pPr>
      <w:r>
        <w:rPr>
          <w:rFonts w:ascii="Calibri" w:cs="Calibri" w:eastAsia="Calibri" w:hAnsi="Calibri"/>
          <w:b/>
          <w:bCs/>
          <w:color w:val="E4572E"/>
          <w:sz w:val="20"/>
          <w:szCs w:val="20"/>
        </w:rPr>
        <w:t xml:space="preserve">Read with caution: </w:t>
      </w:r>
      <w:r>
        <w:rPr>
          <w:rFonts w:ascii="Calibri" w:cs="Calibri" w:eastAsia="Calibri" w:hAnsi="Calibri"/>
          <w:color w:val="2B2B2B"/>
          <w:sz w:val="20"/>
          <w:szCs w:val="20"/>
        </w:rPr>
        <w:t xml:space="preserve">this is most likely a detection-bias effect, not a biological one — patients with better infrastructure likely also have better healthcare access, so a larger share of their diagnoses get correctly confirmed as malignant. This should be validated against clinic-access data before it is used in any external-facing claim.</w:t>
      </w:r>
    </w:p>
    <w:p>
      <w:pPr>
        <w:pStyle w:val="Heading1"/>
        <w:pBdr>
          <w:bottom w:val="single" w:color="0B4F6C" w:sz="6" w:space="4"/>
        </w:pBdr>
        <w:spacing w:after="140" w:before="320"/>
      </w:pPr>
      <w:r>
        <w:rPr>
          <w:rFonts w:ascii="Cambria" w:cs="Cambria" w:eastAsia="Cambria" w:hAnsi="Cambria"/>
          <w:b/>
          <w:bCs/>
          <w:color w:val="0B4F6C"/>
          <w:sz w:val="27"/>
          <w:szCs w:val="27"/>
        </w:rPr>
        <w:t xml:space="preserve">5. Lifestyle Risk Factors</w:t>
      </w:r>
    </w:p>
    <w:p>
      <w:pPr>
        <w:spacing w:after="140" w:line="300"/>
      </w:pPr>
      <w:r>
        <w:rPr>
          <w:rFonts w:ascii="Calibri" w:cs="Calibri" w:eastAsia="Calibri" w:hAnsi="Calibri"/>
          <w:color w:val="2B2B2B"/>
          <w:sz w:val="21"/>
          <w:szCs w:val="21"/>
        </w:rPr>
        <w:t xml:space="preserve">Smokers make up 5.7% of patients (62) and regular alcohol consumers 12.7% (138); 45% of smokers also drink regularly. The compounding effect of combined smoking and drinking is the strongest signal in the dataset: patients who both smoke and drink show an 82.1% malignant rate — 3.4x the 24.5% baseline rate among patients with neither habit.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600"/>
      </w:tblGrid>
      <w:tr>
        <w:trPr>
          <w:tblHeader/>
        </w:trPr>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Lifestyle group</w:t>
            </w:r>
          </w:p>
        </w:tc>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N</w:t>
            </w:r>
          </w:p>
        </w:tc>
        <w:tc>
          <w:tcPr>
            <w:shd w:fill="0B4F6C"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Malignant rate</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Smokers &amp; drinkers</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28</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82.1%</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Smokers only</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34</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70.6%</w:t>
            </w:r>
          </w:p>
        </w:tc>
      </w:tr>
      <w:tr>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Drinkers only</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110</w:t>
            </w:r>
          </w:p>
        </w:tc>
        <w:tc>
          <w:tcPr>
            <w:shd w:fill="FFFFFF" w:val="clear"/>
            <w:tcMar>
              <w:top w:type="dxa" w:w="80"/>
              <w:left w:type="dxa" w:w="120"/>
              <w:bottom w:type="dxa" w:w="80"/>
              <w:right w:type="dxa" w:w="120"/>
            </w:tcMar>
            <w:vAlign w:val="center"/>
          </w:tcPr>
          <w:p>
            <w:r>
              <w:rPr>
                <w:rFonts w:ascii="Calibri" w:cs="Calibri" w:eastAsia="Calibri" w:hAnsi="Calibri"/>
                <w:color w:val="2B2B2B"/>
                <w:sz w:val="18"/>
                <w:szCs w:val="18"/>
              </w:rPr>
              <w:t xml:space="preserve">68.2%</w:t>
            </w:r>
          </w:p>
        </w:tc>
      </w:tr>
      <w:tr>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Neither</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916</w:t>
            </w:r>
          </w:p>
        </w:tc>
        <w:tc>
          <w:tcPr>
            <w:shd w:fill="F4F7F8" w:val="clear"/>
            <w:tcMar>
              <w:top w:type="dxa" w:w="80"/>
              <w:left w:type="dxa" w:w="120"/>
              <w:bottom w:type="dxa" w:w="80"/>
              <w:right w:type="dxa" w:w="120"/>
            </w:tcMar>
            <w:vAlign w:val="center"/>
          </w:tcPr>
          <w:p>
            <w:r>
              <w:rPr>
                <w:rFonts w:ascii="Calibri" w:cs="Calibri" w:eastAsia="Calibri" w:hAnsi="Calibri"/>
                <w:color w:val="2B2B2B"/>
                <w:sz w:val="18"/>
                <w:szCs w:val="18"/>
              </w:rPr>
              <w:t xml:space="preserve">24.5%</w:t>
            </w:r>
          </w:p>
        </w:tc>
      </w:tr>
    </w:tbl>
    <w:p>
      <w:pPr>
        <w:spacing w:after="140" w:line="300"/>
      </w:pPr>
      <w:r>
        <w:rPr>
          <w:rFonts w:ascii="Calibri" w:cs="Calibri" w:eastAsia="Calibri" w:hAnsi="Calibri"/>
          <w:color w:val="2B2B2B"/>
          <w:sz w:val="21"/>
          <w:szCs w:val="21"/>
        </w:rPr>
        <w:t xml:space="preserve">Individually, all four risk factors tested run close to 3x the baseline: smoking (75.8%), alcohol (71.0%), pesticide exposure (70.0%), and family cancer history (68.8%).</w:t>
      </w:r>
    </w:p>
    <w:p>
      <w:pPr>
        <w:pStyle w:val="Heading1"/>
        <w:pBdr>
          <w:bottom w:val="single" w:color="0B4F6C" w:sz="6" w:space="4"/>
        </w:pBdr>
        <w:spacing w:after="140" w:before="320"/>
      </w:pPr>
      <w:r>
        <w:rPr>
          <w:rFonts w:ascii="Cambria" w:cs="Cambria" w:eastAsia="Cambria" w:hAnsi="Cambria"/>
          <w:b/>
          <w:bCs/>
          <w:color w:val="0B4F6C"/>
          <w:sz w:val="27"/>
          <w:szCs w:val="27"/>
        </w:rPr>
        <w:t xml:space="preserve">Limitations</w:t>
      </w:r>
    </w:p>
    <w:p>
      <w:pPr>
        <w:pStyle w:val="ListParagraph"/>
        <w:numPr>
          <w:ilvl w:val="0"/>
          <w:numId w:val="1"/>
        </w:numPr>
        <w:spacing w:after="80" w:line="280"/>
      </w:pPr>
      <w:r>
        <w:rPr>
          <w:rFonts w:ascii="Calibri" w:cs="Calibri" w:eastAsia="Calibri" w:hAnsi="Calibri"/>
          <w:b/>
          <w:bCs/>
          <w:color w:val="2B2B2B"/>
          <w:sz w:val="20"/>
          <w:szCs w:val="20"/>
        </w:rPr>
        <w:t xml:space="preserve">Small lifestyle subgroups: </w:t>
      </w:r>
      <w:r>
        <w:rPr>
          <w:rFonts w:ascii="Calibri" w:cs="Calibri" w:eastAsia="Calibri" w:hAnsi="Calibri"/>
          <w:color w:val="2B2B2B"/>
          <w:sz w:val="20"/>
          <w:szCs w:val="20"/>
        </w:rPr>
        <w:t xml:space="preserve">only 28 patients fall into the smoker+drinker group; rates from small groups swing more with individual cases and should be read as directional, not definitive.</w:t>
      </w:r>
    </w:p>
    <w:p>
      <w:pPr>
        <w:pStyle w:val="ListParagraph"/>
        <w:numPr>
          <w:ilvl w:val="0"/>
          <w:numId w:val="1"/>
        </w:numPr>
        <w:spacing w:after="80" w:line="280"/>
      </w:pPr>
      <w:r>
        <w:rPr>
          <w:rFonts w:ascii="Calibri" w:cs="Calibri" w:eastAsia="Calibri" w:hAnsi="Calibri"/>
          <w:b/>
          <w:bCs/>
          <w:color w:val="2B2B2B"/>
          <w:sz w:val="20"/>
          <w:szCs w:val="20"/>
        </w:rPr>
        <w:t xml:space="preserve">Association, not causation: </w:t>
      </w:r>
      <w:r>
        <w:rPr>
          <w:rFonts w:ascii="Calibri" w:cs="Calibri" w:eastAsia="Calibri" w:hAnsi="Calibri"/>
          <w:color w:val="2B2B2B"/>
          <w:sz w:val="20"/>
          <w:szCs w:val="20"/>
        </w:rPr>
        <w:t xml:space="preserve">none of this controls for age, sun exposure, or skin type. The sanitation finding especially should be treated as a detection-bias hypothesis.</w:t>
      </w:r>
    </w:p>
    <w:p>
      <w:pPr>
        <w:pStyle w:val="ListParagraph"/>
        <w:numPr>
          <w:ilvl w:val="0"/>
          <w:numId w:val="1"/>
        </w:numPr>
        <w:spacing w:after="80" w:line="280"/>
      </w:pPr>
      <w:r>
        <w:rPr>
          <w:rFonts w:ascii="Calibri" w:cs="Calibri" w:eastAsia="Calibri" w:hAnsi="Calibri"/>
          <w:b/>
          <w:bCs/>
          <w:color w:val="2B2B2B"/>
          <w:sz w:val="20"/>
          <w:szCs w:val="20"/>
        </w:rPr>
        <w:t xml:space="preserve">Detection bias likely runs throughout: </w:t>
      </w:r>
      <w:r>
        <w:rPr>
          <w:rFonts w:ascii="Calibri" w:cs="Calibri" w:eastAsia="Calibri" w:hAnsi="Calibri"/>
          <w:color w:val="2B2B2B"/>
          <w:sz w:val="20"/>
          <w:szCs w:val="20"/>
        </w:rPr>
        <w:t xml:space="preserve">patients who are diagnosed have already passed through some point of healthcare access, shaping every cut of the data.</w:t>
      </w:r>
    </w:p>
    <w:p>
      <w:pPr>
        <w:pStyle w:val="ListParagraph"/>
        <w:numPr>
          <w:ilvl w:val="0"/>
          <w:numId w:val="1"/>
        </w:numPr>
        <w:spacing w:after="80" w:line="280"/>
      </w:pPr>
      <w:r>
        <w:rPr>
          <w:rFonts w:ascii="Calibri" w:cs="Calibri" w:eastAsia="Calibri" w:hAnsi="Calibri"/>
          <w:b/>
          <w:bCs/>
          <w:color w:val="2B2B2B"/>
          <w:sz w:val="20"/>
          <w:szCs w:val="20"/>
        </w:rPr>
        <w:t xml:space="preserve">Region counts mix lesion and patient level: </w:t>
      </w:r>
      <w:r>
        <w:rPr>
          <w:rFonts w:ascii="Calibri" w:cs="Calibri" w:eastAsia="Calibri" w:hAnsi="Calibri"/>
          <w:color w:val="2B2B2B"/>
          <w:sz w:val="20"/>
          <w:szCs w:val="20"/>
        </w:rPr>
        <w:t xml:space="preserve">a patient with multiple lesions on the same region is counted multiple times.</w:t>
      </w:r>
    </w:p>
    <w:p>
      <w:pPr>
        <w:pStyle w:val="ListParagraph"/>
        <w:numPr>
          <w:ilvl w:val="0"/>
          <w:numId w:val="1"/>
        </w:numPr>
        <w:spacing w:after="80" w:line="280"/>
      </w:pPr>
      <w:r>
        <w:rPr>
          <w:rFonts w:ascii="Calibri" w:cs="Calibri" w:eastAsia="Calibri" w:hAnsi="Calibri"/>
          <w:b/>
          <w:bCs/>
          <w:color w:val="2B2B2B"/>
          <w:sz w:val="20"/>
          <w:szCs w:val="20"/>
        </w:rPr>
        <w:t xml:space="preserve">Single-population dataset: </w:t>
      </w:r>
      <w:r>
        <w:rPr>
          <w:rFonts w:ascii="Calibri" w:cs="Calibri" w:eastAsia="Calibri" w:hAnsi="Calibri"/>
          <w:color w:val="2B2B2B"/>
          <w:sz w:val="20"/>
          <w:szCs w:val="20"/>
        </w:rPr>
        <w:t xml:space="preserve">sourced from one regional population (PAD-UFES-20, Brazil); useful for internal analytics, but shouldn’t be generalized globally without validation.</w:t>
      </w:r>
    </w:p>
    <w:p>
      <w:pPr>
        <w:pStyle w:val="Heading1"/>
        <w:pBdr>
          <w:bottom w:val="single" w:color="0B4F6C" w:sz="6" w:space="4"/>
        </w:pBdr>
        <w:spacing w:after="140" w:before="320"/>
      </w:pPr>
      <w:r>
        <w:rPr>
          <w:rFonts w:ascii="Cambria" w:cs="Cambria" w:eastAsia="Cambria" w:hAnsi="Cambria"/>
          <w:b/>
          <w:bCs/>
          <w:color w:val="0B4F6C"/>
          <w:sz w:val="27"/>
          <w:szCs w:val="27"/>
        </w:rPr>
        <w:t xml:space="preserve">Recommendations</w:t>
      </w:r>
    </w:p>
    <w:p>
      <w:pPr>
        <w:pStyle w:val="ListParagraph"/>
        <w:numPr>
          <w:ilvl w:val="0"/>
          <w:numId w:val="1"/>
        </w:numPr>
        <w:spacing w:after="80" w:line="280"/>
      </w:pPr>
      <w:r>
        <w:rPr>
          <w:rFonts w:ascii="Calibri" w:cs="Calibri" w:eastAsia="Calibri" w:hAnsi="Calibri"/>
          <w:b/>
          <w:bCs/>
          <w:color w:val="2B2B2B"/>
          <w:sz w:val="20"/>
          <w:szCs w:val="20"/>
        </w:rPr>
        <w:t xml:space="preserve">Prioritize Nose and Lip in screening </w:t>
      </w:r>
      <w:r>
        <w:rPr>
          <w:rFonts w:ascii="Calibri" w:cs="Calibri" w:eastAsia="Calibri" w:hAnsi="Calibri"/>
          <w:color w:val="2B2B2B"/>
          <w:sz w:val="20"/>
          <w:szCs w:val="20"/>
        </w:rPr>
        <w:t xml:space="preserve">— despite lower case volume, these regions carry the highest malignancy rate (69% and 57%).</w:t>
      </w:r>
    </w:p>
    <w:p>
      <w:pPr>
        <w:pStyle w:val="ListParagraph"/>
        <w:numPr>
          <w:ilvl w:val="0"/>
          <w:numId w:val="1"/>
        </w:numPr>
        <w:spacing w:after="80" w:line="280"/>
      </w:pPr>
      <w:r>
        <w:rPr>
          <w:rFonts w:ascii="Calibri" w:cs="Calibri" w:eastAsia="Calibri" w:hAnsi="Calibri"/>
          <w:b/>
          <w:bCs/>
          <w:color w:val="2B2B2B"/>
          <w:sz w:val="20"/>
          <w:szCs w:val="20"/>
        </w:rPr>
        <w:t xml:space="preserve">Lead patient self-checks with itch and elevation </w:t>
      </w:r>
      <w:r>
        <w:rPr>
          <w:rFonts w:ascii="Calibri" w:cs="Calibri" w:eastAsia="Calibri" w:hAnsi="Calibri"/>
          <w:color w:val="2B2B2B"/>
          <w:sz w:val="20"/>
          <w:szCs w:val="20"/>
        </w:rPr>
        <w:t xml:space="preserve">— the most common early symptoms in this population, ahead of the commonly assumed “bleeding” red flag.</w:t>
      </w:r>
    </w:p>
    <w:p>
      <w:pPr>
        <w:pStyle w:val="ListParagraph"/>
        <w:numPr>
          <w:ilvl w:val="0"/>
          <w:numId w:val="1"/>
        </w:numPr>
        <w:spacing w:after="80" w:line="280"/>
      </w:pPr>
      <w:r>
        <w:rPr>
          <w:rFonts w:ascii="Calibri" w:cs="Calibri" w:eastAsia="Calibri" w:hAnsi="Calibri"/>
          <w:b/>
          <w:bCs/>
          <w:color w:val="2B2B2B"/>
          <w:sz w:val="20"/>
          <w:szCs w:val="20"/>
        </w:rPr>
        <w:t xml:space="preserve">Target combined smokers &amp; drinkers for counseling </w:t>
      </w:r>
      <w:r>
        <w:rPr>
          <w:rFonts w:ascii="Calibri" w:cs="Calibri" w:eastAsia="Calibri" w:hAnsi="Calibri"/>
          <w:color w:val="2B2B2B"/>
          <w:sz w:val="20"/>
          <w:szCs w:val="20"/>
        </w:rPr>
        <w:t xml:space="preserve">— this subgroup's 82% malignant rate is the clearest actionable message for patient education.</w:t>
      </w:r>
    </w:p>
    <w:p>
      <w:pPr>
        <w:pStyle w:val="ListParagraph"/>
        <w:numPr>
          <w:ilvl w:val="0"/>
          <w:numId w:val="1"/>
        </w:numPr>
        <w:spacing w:after="80" w:line="280"/>
      </w:pPr>
      <w:r>
        <w:rPr>
          <w:rFonts w:ascii="Calibri" w:cs="Calibri" w:eastAsia="Calibri" w:hAnsi="Calibri"/>
          <w:b/>
          <w:bCs/>
          <w:color w:val="2B2B2B"/>
          <w:sz w:val="20"/>
          <w:szCs w:val="20"/>
        </w:rPr>
        <w:t xml:space="preserve">Validate the sanitation finding before publishing </w:t>
      </w:r>
      <w:r>
        <w:rPr>
          <w:rFonts w:ascii="Calibri" w:cs="Calibri" w:eastAsia="Calibri" w:hAnsi="Calibri"/>
          <w:color w:val="2B2B2B"/>
          <w:sz w:val="20"/>
          <w:szCs w:val="20"/>
        </w:rPr>
        <w:t xml:space="preserve">— pair with clinic-access data to confirm the detection-bias explanation before any external use.</w:t>
      </w:r>
    </w:p>
    <w:p>
      <w:pPr>
        <w:pStyle w:val="ListParagraph"/>
        <w:numPr>
          <w:ilvl w:val="0"/>
          <w:numId w:val="1"/>
        </w:numPr>
        <w:spacing w:after="80" w:line="280"/>
      </w:pPr>
      <w:r>
        <w:rPr>
          <w:rFonts w:ascii="Calibri" w:cs="Calibri" w:eastAsia="Calibri" w:hAnsi="Calibri"/>
          <w:b/>
          <w:bCs/>
          <w:color w:val="2B2B2B"/>
          <w:sz w:val="20"/>
          <w:szCs w:val="20"/>
        </w:rPr>
        <w:t xml:space="preserve">Run an age-adjusted follow-up analysis </w:t>
      </w:r>
      <w:r>
        <w:rPr>
          <w:rFonts w:ascii="Calibri" w:cs="Calibri" w:eastAsia="Calibri" w:hAnsi="Calibri"/>
          <w:color w:val="2B2B2B"/>
          <w:sz w:val="20"/>
          <w:szCs w:val="20"/>
        </w:rPr>
        <w:t xml:space="preserve">— age likely confounds both the smoking/drinking and sanitation results.</w:t>
      </w:r>
    </w:p>
    <w:p>
      <w:pPr>
        <w:spacing w:before="300"/>
      </w:pPr>
      <w:r>
        <w:rPr>
          <w:rFonts w:ascii="Calibri" w:cs="Calibri" w:eastAsia="Calibri" w:hAnsi="Calibri"/>
          <w:i/>
          <w:iCs/>
          <w:color w:val="6B7B85"/>
          <w:sz w:val="16"/>
          <w:szCs w:val="16"/>
        </w:rPr>
        <w:t xml:space="preserve">Prepared by Splendor · Data Analytics Capstone · PostgreSQL analysis of the PAD-UFES-20 dataset</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5"/>
        <w:sz w:val="15"/>
        <w:szCs w:val="15"/>
      </w:rPr>
      <w:t xml:space="preserve">Page </w:t>
    </w:r>
    <w:r>
      <w:rPr>
        <w:rFonts w:ascii="Calibri" w:cs="Calibri" w:eastAsia="Calibri" w:hAnsi="Calibri"/>
        <w:color w:val="6B7B85"/>
        <w:sz w:val="15"/>
        <w:szCs w:val="15"/>
      </w:rPr>
      <w:fldChar w:fldCharType="begin"/>
      <w:instrText xml:space="preserve">PAGE</w:instrText>
      <w:fldChar w:fldCharType="separate"/>
      <w:fldChar w:fldCharType="end"/>
    </w:r>
    <w:r>
      <w:rPr>
        <w:rFonts w:ascii="Calibri" w:cs="Calibri" w:eastAsia="Calibri" w:hAnsi="Calibri"/>
        <w:color w:val="6B7B85"/>
        <w:sz w:val="15"/>
        <w:szCs w:val="15"/>
      </w:rPr>
      <w:t xml:space="preserve"> of </w:t>
    </w:r>
    <w:r>
      <w:rPr>
        <w:rFonts w:ascii="Calibri" w:cs="Calibri" w:eastAsia="Calibri" w:hAnsi="Calibri"/>
        <w:color w:val="6B7B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B85"/>
        <w:sz w:val="15"/>
        <w:szCs w:val="15"/>
      </w:rPr>
      <w:t xml:space="preserve">DORI — Skin Cancer Analytics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2026-08-12T15:06:18.637Z</dcterms:created>
  <dcterms:modified xsi:type="dcterms:W3CDTF">2026-08-12T15:06:18.639Z</dcterms:modified>
</cp:coreProperties>
</file>

<file path=docProps/custom.xml><?xml version="1.0" encoding="utf-8"?>
<Properties xmlns="http://schemas.openxmlformats.org/officeDocument/2006/custom-properties" xmlns:vt="http://schemas.openxmlformats.org/officeDocument/2006/docPropsVTypes"/>
</file>