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spacing w:before="0" w:after="120" w:line="276" w:lineRule="auto"/>
      </w:pPr>
      <w:r>
        <w:rPr>
          <w:rFonts w:ascii="Arial" w:hAnsi="Arial" w:cs="Arial" w:eastAsia="Arial"/>
          <w:b/>
          <w:bCs/>
          <w:color w:val="2E5E3A"/>
          <w:sz w:val="36"/>
          <w:szCs w:val="36"/>
        </w:rPr>
        <w:t xml:space="preserve">Habitat bank service areas</w:t>
      </w:r>
    </w:p>
    <w:p>
      <w:pPr>
        <w:spacing w:before="0" w:after="60" w:line="300" w:lineRule="auto"/>
      </w:pPr>
      <w:r>
        <w:rPr>
          <w:rFonts w:ascii="Arial" w:hAnsi="Arial" w:cs="Arial" w:eastAsia="Arial"/>
          <w:color w:val="000000"/>
          <w:sz w:val="24"/>
          <w:szCs w:val="24"/>
        </w:rPr>
        <w:t xml:space="preserve">Postcode districts served by each registered bank, full value and catchment</w:t>
      </w:r>
    </w:p>
    <w:p>
      <w:pPr>
        <w:pBdr>
          <w:bottom w:val="single" w:sz="6" w:space="4" w:color="C8D6CB"/>
        </w:pBdr>
        <w:spacing w:before="0" w:after="360" w:line="300" w:lineRule="auto"/>
      </w:pPr>
      <w:r>
        <w:rPr>
          <w:rFonts w:ascii="Arial" w:hAnsi="Arial" w:cs="Arial" w:eastAsia="Arial"/>
          <w:color w:val="666666"/>
          <w:sz w:val="22"/>
          <w:szCs w:val="22"/>
        </w:rPr>
        <w:t xml:space="preserve">16 October 2026</w:t>
      </w:r>
    </w:p>
    <w:p>
      <w:pPr>
        <w:jc w:val="both"/>
        <w:spacing w:before="0" w:after="200" w:line="320" w:lineRule="auto"/>
      </w:pPr>
      <w:r>
        <w:rPr>
          <w:rFonts w:ascii="Arial" w:hAnsi="Arial" w:cs="Arial" w:eastAsia="Arial"/>
          <w:color w:val="000000"/>
          <w:sz w:val="22"/>
          <w:szCs w:val="22"/>
        </w:rPr>
        <w:t xml:space="preserve">These are the postcode districts that fall inside each of Biofarm's six registered habitat banks' service areas, in two tiers. Full value is the bank's own local planning authority plus its National Character Area: developments there can use the bank's units at full value, so these are the first areas to target. Catchment is the councils that border the bank's own planning authority plus the character areas that border its own character area: developments there can use the units at 0.75 of their value, so these are the second tier. The catchment tier is the hatched area on each bank's page on the Biofarm site.</w:t>
      </w:r>
    </w:p>
    <w:p>
      <w:pPr>
        <w:jc w:val="both"/>
        <w:spacing w:before="0" w:after="200" w:line="320" w:lineRule="auto"/>
      </w:pPr>
      <w:r>
        <w:rPr>
          <w:rFonts w:ascii="Arial" w:hAnsi="Arial" w:cs="Arial" w:eastAsia="Arial"/>
          <w:color w:val="000000"/>
          <w:sz w:val="22"/>
          <w:szCs w:val="22"/>
        </w:rPr>
        <w:t xml:space="preserve">Each postcode district is listed once per bank. It sits in the full-value tier if at least 10 per cent of its postcodes are full value for that bank, otherwise in the catchment tier. Where a district is cut by the boundary, the partial entry shows how the rest of it falls.</w:t>
      </w:r>
    </w:p>
    <w:p>
      <w:pPr>
        <w:spacing w:before="360" w:after="160" w:line="276" w:lineRule="auto"/>
        <w:keepNext/>
      </w:pPr>
      <w:r>
        <w:rPr>
          <w:rFonts w:ascii="Arial" w:hAnsi="Arial" w:cs="Arial" w:eastAsia="Arial"/>
          <w:b/>
          <w:bCs/>
          <w:color w:val="2E5E3A"/>
          <w:sz w:val="28"/>
          <w:szCs w:val="28"/>
        </w:rPr>
        <w:t xml:space="preserve">How to read the lists</w:t>
      </w:r>
    </w:p>
    <w:p>
      <w:pPr>
        <w:numPr>
          <w:ilvl w:val="0"/>
          <w:numId w:val="1"/>
        </w:numPr>
        <w:ind w:left="567" w:hanging="283"/>
        <w:jc w:val="both"/>
        <w:spacing w:before="0" w:after="120" w:line="300" w:lineRule="auto"/>
      </w:pPr>
      <w:r>
        <w:rPr>
          <w:rFonts w:ascii="Arial" w:hAnsi="Arial" w:cs="Arial" w:eastAsia="Arial"/>
          <w:b/>
          <w:bCs/>
          <w:color w:val="000000"/>
          <w:sz w:val="22"/>
          <w:szCs w:val="22"/>
        </w:rPr>
        <w:t xml:space="preserve">Core: </w:t>
      </w:r>
      <w:r>
        <w:rPr>
          <w:rFonts w:ascii="Arial" w:hAnsi="Arial" w:cs="Arial" w:eastAsia="Arial"/>
          <w:color w:val="000000"/>
          <w:sz w:val="22"/>
          <w:szCs w:val="22"/>
        </w:rPr>
        <w:t xml:space="preserve">at least half of the district sits inside the tier's area. These are the ones to target.</w:t>
      </w:r>
    </w:p>
    <w:p>
      <w:pPr>
        <w:numPr>
          <w:ilvl w:val="0"/>
          <w:numId w:val="1"/>
        </w:numPr>
        <w:ind w:left="567" w:hanging="283"/>
        <w:jc w:val="both"/>
        <w:spacing w:before="0" w:after="120" w:line="300" w:lineRule="auto"/>
      </w:pPr>
      <w:r>
        <w:rPr>
          <w:rFonts w:ascii="Arial" w:hAnsi="Arial" w:cs="Arial" w:eastAsia="Arial"/>
          <w:b/>
          <w:bCs/>
          <w:color w:val="000000"/>
          <w:sz w:val="22"/>
          <w:szCs w:val="22"/>
        </w:rPr>
        <w:t xml:space="preserve">Partial: </w:t>
      </w:r>
      <w:r>
        <w:rPr>
          <w:rFonts w:ascii="Arial" w:hAnsi="Arial" w:cs="Arial" w:eastAsia="Arial"/>
          <w:color w:val="000000"/>
          <w:sz w:val="22"/>
          <w:szCs w:val="22"/>
        </w:rPr>
        <w:t xml:space="preserve">10 to 49 per cent inside, with the share shown. Worth a look case by case. A partial full-value entry also shows how much of the district is catchment, for example "BS49 (42%, +58% catchment)".</w:t>
      </w:r>
    </w:p>
    <w:p>
      <w:pPr>
        <w:numPr>
          <w:ilvl w:val="0"/>
          <w:numId w:val="1"/>
        </w:numPr>
        <w:ind w:left="567" w:hanging="283"/>
        <w:jc w:val="both"/>
        <w:spacing w:before="0" w:after="120" w:line="300" w:lineRule="auto"/>
      </w:pPr>
      <w:r>
        <w:rPr>
          <w:rFonts w:ascii="Arial" w:hAnsi="Arial" w:cs="Arial" w:eastAsia="Arial"/>
          <w:b/>
          <w:bCs/>
          <w:color w:val="000000"/>
          <w:sz w:val="22"/>
          <w:szCs w:val="22"/>
        </w:rPr>
        <w:t xml:space="preserve">Fringe: </w:t>
      </w:r>
      <w:r>
        <w:rPr>
          <w:rFonts w:ascii="Arial" w:hAnsi="Arial" w:cs="Arial" w:eastAsia="Arial"/>
          <w:color w:val="000000"/>
          <w:sz w:val="22"/>
          <w:szCs w:val="22"/>
        </w:rPr>
        <w:t xml:space="preserve">under 10 per cent inside. Listed for completeness, but not worth targeting.</w:t>
      </w:r>
    </w:p>
    <w:p>
      <w:pPr>
        <w:numPr>
          <w:ilvl w:val="0"/>
          <w:numId w:val="1"/>
        </w:numPr>
        <w:ind w:left="567" w:hanging="283"/>
        <w:jc w:val="both"/>
        <w:spacing w:before="0" w:after="120" w:line="300" w:lineRule="auto"/>
      </w:pPr>
      <w:r>
        <w:rPr>
          <w:rFonts w:ascii="Arial" w:hAnsi="Arial" w:cs="Arial" w:eastAsia="Arial"/>
          <w:b/>
          <w:bCs/>
          <w:color w:val="000000"/>
          <w:sz w:val="22"/>
          <w:szCs w:val="22"/>
        </w:rPr>
        <w:t xml:space="preserve">Non-geographic: </w:t>
      </w:r>
      <w:r>
        <w:rPr>
          <w:rFonts w:ascii="Arial" w:hAnsi="Arial" w:cs="Arial" w:eastAsia="Arial"/>
          <w:color w:val="000000"/>
          <w:sz w:val="22"/>
          <w:szCs w:val="22"/>
        </w:rPr>
        <w:t xml:space="preserve">PO box and bulk-mail codes with no street addresses (for example BS99, LS98, S99, WV99). They are shown separately so they can be left out of targeting. CR9 and NG90 are listed on Royal Mail's and the directory's large-user coding alone.</w:t>
      </w:r>
    </w:p>
    <w:p>
      <w:pPr>
        <w:numPr>
          <w:ilvl w:val="0"/>
          <w:numId w:val="1"/>
        </w:numPr>
        <w:ind w:left="567" w:hanging="283"/>
        <w:jc w:val="both"/>
        <w:spacing w:before="0" w:after="120" w:line="300" w:lineRule="auto"/>
      </w:pPr>
      <w:r>
        <w:rPr>
          <w:rFonts w:ascii="Arial" w:hAnsi="Arial" w:cs="Arial" w:eastAsia="Arial"/>
          <w:b/>
          <w:bCs/>
          <w:color w:val="000000"/>
          <w:sz w:val="22"/>
          <w:szCs w:val="22"/>
        </w:rPr>
        <w:t xml:space="preserve">One tier per district: </w:t>
      </w:r>
      <w:r>
        <w:rPr>
          <w:rFonts w:ascii="Arial" w:hAnsi="Arial" w:cs="Arial" w:eastAsia="Arial"/>
          <w:color w:val="000000"/>
          <w:sz w:val="22"/>
          <w:szCs w:val="22"/>
        </w:rPr>
        <w:t xml:space="preserve">no district appears in both tiers for the same bank. If a district is in the full-value tier, the rest of it is usually catchment, so it can be targeted in full.</w:t>
      </w:r>
    </w:p>
    <w:p>
      <w:pPr>
        <w:numPr>
          <w:ilvl w:val="0"/>
          <w:numId w:val="1"/>
        </w:numPr>
        <w:ind w:left="567" w:hanging="283"/>
        <w:jc w:val="both"/>
        <w:spacing w:before="0" w:after="120" w:line="300" w:lineRule="auto"/>
      </w:pPr>
      <w:r>
        <w:rPr>
          <w:rFonts w:ascii="Arial" w:hAnsi="Arial" w:cs="Arial" w:eastAsia="Arial"/>
          <w:b/>
          <w:bCs/>
          <w:color w:val="000000"/>
          <w:sz w:val="22"/>
          <w:szCs w:val="22"/>
        </w:rPr>
        <w:t xml:space="preserve">Other Biofarm banks: </w:t>
      </w:r>
      <w:r>
        <w:rPr>
          <w:rFonts w:ascii="Arial" w:hAnsi="Arial" w:cs="Arial" w:eastAsia="Arial"/>
          <w:color w:val="000000"/>
          <w:sz w:val="22"/>
          <w:szCs w:val="22"/>
        </w:rPr>
        <w:t xml:space="preserve">where a catchment district is already full value for another Biofarm bank, that bank is named as the better match.</w:t>
      </w:r>
    </w:p>
    <w:p>
      <w:pPr>
        <w:spacing w:before="360" w:after="160" w:line="276" w:lineRule="auto"/>
        <w:keepNext/>
      </w:pPr>
      <w:r>
        <w:rPr>
          <w:rFonts w:ascii="Arial" w:hAnsi="Arial" w:cs="Arial" w:eastAsia="Arial"/>
          <w:b/>
          <w:bCs/>
          <w:color w:val="2E5E3A"/>
          <w:sz w:val="28"/>
          <w:szCs w:val="28"/>
        </w:rPr>
        <w:t xml:space="preserve">At a glance</w:t>
      </w:r>
    </w:p>
    <w:tbl>
      <w:tblPr>
        <w:tblW w:w="9026" w:type="dxa"/>
        <w:tblLayout w:type="fixed"/>
        <w:tblBorders>
          <w:top w:val="single" w:sz="6" w:space="0" w:color="C8D6CB"/>
          <w:left w:val="single" w:sz="6" w:space="0" w:color="C8D6CB"/>
          <w:bottom w:val="single" w:sz="6" w:space="0" w:color="C8D6CB"/>
          <w:right w:val="single" w:sz="6" w:space="0" w:color="C8D6CB"/>
          <w:insideH w:val="single" w:sz="6" w:space="0" w:color="C8D6CB"/>
          <w:insideV w:val="single" w:sz="6" w:space="0" w:color="C8D6CB"/>
        </w:tblBorders>
      </w:tblPr>
      <w:tblGrid>
        <w:gridCol w:w="1500"/>
        <w:gridCol w:w="1200"/>
        <w:gridCol w:w="1900"/>
        <w:gridCol w:w="1750"/>
        <w:gridCol w:w="1338"/>
        <w:gridCol w:w="1338"/>
      </w:tblGrid>
      <w:tr>
        <w:trPr>
          <w:tblHeader/>
          <w:cantSplit/>
        </w:trPr>
        <w:tc>
          <w:tcPr>
            <w:tcW w:w="1500" w:type="dxa"/>
            <w:tcBorders>
              <w:top w:val="single" w:sz="6" w:space="0" w:color="C8D6CB"/>
              <w:left w:val="single" w:sz="6" w:space="0" w:color="C8D6CB"/>
              <w:bottom w:val="single" w:sz="6" w:space="0" w:color="C8D6CB"/>
              <w:right w:val="single" w:sz="6" w:space="0" w:color="C8D6CB"/>
            </w:tcBorders>
            <w:shd w:val="clear" w:color="auto" w:fill="2E5E3A"/>
            <w:tcMar>
              <w:top w:w="100" w:type="dxa"/>
              <w:left w:w="100" w:type="dxa"/>
              <w:bottom w:w="100" w:type="dxa"/>
              <w:right w:w="100" w:type="dxa"/>
            </w:tcMar>
            <w:vAlign w:val="top"/>
          </w:tcPr>
          <w:p>
            <w:pPr>
              <w:spacing w:before="0" w:after="0" w:line="276" w:lineRule="auto"/>
            </w:pPr>
            <w:r>
              <w:rPr>
                <w:rFonts w:ascii="Arial" w:hAnsi="Arial" w:cs="Arial" w:eastAsia="Arial"/>
                <w:b/>
                <w:bCs/>
                <w:color w:val="FFFFFF"/>
                <w:sz w:val="20"/>
                <w:szCs w:val="20"/>
              </w:rPr>
              <w:t xml:space="preserve">Bank</w:t>
            </w:r>
          </w:p>
        </w:tc>
        <w:tc>
          <w:tcPr>
            <w:tcW w:w="1200" w:type="dxa"/>
            <w:tcBorders>
              <w:top w:val="single" w:sz="6" w:space="0" w:color="C8D6CB"/>
              <w:left w:val="single" w:sz="6" w:space="0" w:color="C8D6CB"/>
              <w:bottom w:val="single" w:sz="6" w:space="0" w:color="C8D6CB"/>
              <w:right w:val="single" w:sz="6" w:space="0" w:color="C8D6CB"/>
            </w:tcBorders>
            <w:shd w:val="clear" w:color="auto" w:fill="2E5E3A"/>
            <w:tcMar>
              <w:top w:w="100" w:type="dxa"/>
              <w:left w:w="100" w:type="dxa"/>
              <w:bottom w:w="100" w:type="dxa"/>
              <w:right w:w="100" w:type="dxa"/>
            </w:tcMar>
            <w:vAlign w:val="top"/>
          </w:tcPr>
          <w:p>
            <w:pPr>
              <w:spacing w:before="0" w:after="0" w:line="276" w:lineRule="auto"/>
            </w:pPr>
            <w:r>
              <w:rPr>
                <w:rFonts w:ascii="Arial" w:hAnsi="Arial" w:cs="Arial" w:eastAsia="Arial"/>
                <w:b/>
                <w:bCs/>
                <w:color w:val="FFFFFF"/>
                <w:sz w:val="20"/>
                <w:szCs w:val="20"/>
              </w:rPr>
              <w:t xml:space="preserve">Site postcode</w:t>
            </w:r>
          </w:p>
        </w:tc>
        <w:tc>
          <w:tcPr>
            <w:tcW w:w="1900" w:type="dxa"/>
            <w:tcBorders>
              <w:top w:val="single" w:sz="6" w:space="0" w:color="C8D6CB"/>
              <w:left w:val="single" w:sz="6" w:space="0" w:color="C8D6CB"/>
              <w:bottom w:val="single" w:sz="6" w:space="0" w:color="C8D6CB"/>
              <w:right w:val="single" w:sz="6" w:space="0" w:color="C8D6CB"/>
            </w:tcBorders>
            <w:shd w:val="clear" w:color="auto" w:fill="2E5E3A"/>
            <w:tcMar>
              <w:top w:w="100" w:type="dxa"/>
              <w:left w:w="100" w:type="dxa"/>
              <w:bottom w:w="100" w:type="dxa"/>
              <w:right w:w="100" w:type="dxa"/>
            </w:tcMar>
            <w:vAlign w:val="top"/>
          </w:tcPr>
          <w:p>
            <w:pPr>
              <w:spacing w:before="0" w:after="0" w:line="276" w:lineRule="auto"/>
            </w:pPr>
            <w:r>
              <w:rPr>
                <w:rFonts w:ascii="Arial" w:hAnsi="Arial" w:cs="Arial" w:eastAsia="Arial"/>
                <w:b/>
                <w:bCs/>
                <w:color w:val="FFFFFF"/>
                <w:sz w:val="20"/>
                <w:szCs w:val="20"/>
              </w:rPr>
              <w:t xml:space="preserve">Local planning authority</w:t>
            </w:r>
          </w:p>
        </w:tc>
        <w:tc>
          <w:tcPr>
            <w:tcW w:w="1750" w:type="dxa"/>
            <w:tcBorders>
              <w:top w:val="single" w:sz="6" w:space="0" w:color="C8D6CB"/>
              <w:left w:val="single" w:sz="6" w:space="0" w:color="C8D6CB"/>
              <w:bottom w:val="single" w:sz="6" w:space="0" w:color="C8D6CB"/>
              <w:right w:val="single" w:sz="6" w:space="0" w:color="C8D6CB"/>
            </w:tcBorders>
            <w:shd w:val="clear" w:color="auto" w:fill="2E5E3A"/>
            <w:tcMar>
              <w:top w:w="100" w:type="dxa"/>
              <w:left w:w="100" w:type="dxa"/>
              <w:bottom w:w="100" w:type="dxa"/>
              <w:right w:w="100" w:type="dxa"/>
            </w:tcMar>
            <w:vAlign w:val="top"/>
          </w:tcPr>
          <w:p>
            <w:pPr>
              <w:spacing w:before="0" w:after="0" w:line="276" w:lineRule="auto"/>
            </w:pPr>
            <w:r>
              <w:rPr>
                <w:rFonts w:ascii="Arial" w:hAnsi="Arial" w:cs="Arial" w:eastAsia="Arial"/>
                <w:b/>
                <w:bCs/>
                <w:color w:val="FFFFFF"/>
                <w:sz w:val="20"/>
                <w:szCs w:val="20"/>
              </w:rPr>
              <w:t xml:space="preserve">National Character Area</w:t>
            </w:r>
          </w:p>
        </w:tc>
        <w:tc>
          <w:tcPr>
            <w:tcW w:w="1338" w:type="dxa"/>
            <w:tcBorders>
              <w:top w:val="single" w:sz="6" w:space="0" w:color="C8D6CB"/>
              <w:left w:val="single" w:sz="6" w:space="0" w:color="C8D6CB"/>
              <w:bottom w:val="single" w:sz="6" w:space="0" w:color="C8D6CB"/>
              <w:right w:val="single" w:sz="6" w:space="0" w:color="C8D6CB"/>
            </w:tcBorders>
            <w:shd w:val="clear" w:color="auto" w:fill="2E5E3A"/>
            <w:tcMar>
              <w:top w:w="100" w:type="dxa"/>
              <w:left w:w="100" w:type="dxa"/>
              <w:bottom w:w="100" w:type="dxa"/>
              <w:right w:w="100" w:type="dxa"/>
            </w:tcMar>
            <w:vAlign w:val="top"/>
          </w:tcPr>
          <w:p>
            <w:pPr>
              <w:spacing w:before="0" w:after="0" w:line="276" w:lineRule="auto"/>
            </w:pPr>
            <w:r>
              <w:rPr>
                <w:rFonts w:ascii="Arial" w:hAnsi="Arial" w:cs="Arial" w:eastAsia="Arial"/>
                <w:b/>
                <w:bCs/>
                <w:color w:val="FFFFFF"/>
                <w:sz w:val="20"/>
                <w:szCs w:val="20"/>
              </w:rPr>
              <w:t xml:space="preserve">Full value core</w:t>
            </w:r>
          </w:p>
        </w:tc>
        <w:tc>
          <w:tcPr>
            <w:tcW w:w="1338" w:type="dxa"/>
            <w:tcBorders>
              <w:top w:val="single" w:sz="6" w:space="0" w:color="C8D6CB"/>
              <w:left w:val="single" w:sz="6" w:space="0" w:color="C8D6CB"/>
              <w:bottom w:val="single" w:sz="6" w:space="0" w:color="C8D6CB"/>
              <w:right w:val="single" w:sz="6" w:space="0" w:color="C8D6CB"/>
            </w:tcBorders>
            <w:shd w:val="clear" w:color="auto" w:fill="2E5E3A"/>
            <w:tcMar>
              <w:top w:w="100" w:type="dxa"/>
              <w:left w:w="100" w:type="dxa"/>
              <w:bottom w:w="100" w:type="dxa"/>
              <w:right w:w="100" w:type="dxa"/>
            </w:tcMar>
            <w:vAlign w:val="top"/>
          </w:tcPr>
          <w:p>
            <w:pPr>
              <w:spacing w:before="0" w:after="0" w:line="276" w:lineRule="auto"/>
            </w:pPr>
            <w:r>
              <w:rPr>
                <w:rFonts w:ascii="Arial" w:hAnsi="Arial" w:cs="Arial" w:eastAsia="Arial"/>
                <w:b/>
                <w:bCs/>
                <w:color w:val="FFFFFF"/>
                <w:sz w:val="20"/>
                <w:szCs w:val="20"/>
              </w:rPr>
              <w:t xml:space="preserve">Catchment core</w:t>
            </w:r>
          </w:p>
        </w:tc>
      </w:tr>
      <w:tr>
        <w:trPr>
          <w:cantSplit/>
        </w:trPr>
        <w:tc>
          <w:tcPr>
            <w:tcW w:w="1500" w:type="dxa"/>
            <w:tcBorders>
              <w:top w:val="single" w:sz="6" w:space="0" w:color="C8D6CB"/>
              <w:left w:val="single" w:sz="6" w:space="0" w:color="C8D6CB"/>
              <w:bottom w:val="single" w:sz="6" w:space="0" w:color="C8D6CB"/>
              <w:right w:val="single" w:sz="6" w:space="0" w:color="C8D6CB"/>
            </w:tcBorders>
            <w:tcMar>
              <w:top w:w="100" w:type="dxa"/>
              <w:left w:w="100" w:type="dxa"/>
              <w:bottom w:w="100" w:type="dxa"/>
              <w:right w:w="100" w:type="dxa"/>
            </w:tcMar>
            <w:vAlign w:val="top"/>
          </w:tcPr>
          <w:p>
            <w:pPr>
              <w:spacing w:before="0" w:after="0" w:line="276" w:lineRule="auto"/>
            </w:pPr>
            <w:r>
              <w:rPr>
                <w:rFonts w:ascii="Arial" w:hAnsi="Arial" w:cs="Arial" w:eastAsia="Arial"/>
                <w:b/>
                <w:bCs/>
                <w:color w:val="000000"/>
                <w:sz w:val="20"/>
                <w:szCs w:val="20"/>
              </w:rPr>
              <w:t xml:space="preserve">Sleight Farm</w:t>
            </w:r>
          </w:p>
        </w:tc>
        <w:tc>
          <w:tcPr>
            <w:tcW w:w="1200" w:type="dxa"/>
            <w:tcBorders>
              <w:top w:val="single" w:sz="6" w:space="0" w:color="C8D6CB"/>
              <w:left w:val="single" w:sz="6" w:space="0" w:color="C8D6CB"/>
              <w:bottom w:val="single" w:sz="6" w:space="0" w:color="C8D6CB"/>
              <w:right w:val="single" w:sz="6" w:space="0" w:color="C8D6CB"/>
            </w:tcBorders>
            <w:tcMar>
              <w:top w:w="100" w:type="dxa"/>
              <w:left w:w="100" w:type="dxa"/>
              <w:bottom w:w="100" w:type="dxa"/>
              <w:right w:w="100" w:type="dxa"/>
            </w:tcMar>
            <w:vAlign w:val="top"/>
          </w:tcPr>
          <w:p>
            <w:pPr>
              <w:spacing w:before="0" w:after="0" w:line="276" w:lineRule="auto"/>
            </w:pPr>
            <w:r>
              <w:rPr>
                <w:rFonts w:ascii="Arial" w:hAnsi="Arial" w:cs="Arial" w:eastAsia="Arial"/>
                <w:color w:val="000000"/>
                <w:sz w:val="20"/>
                <w:szCs w:val="20"/>
              </w:rPr>
              <w:t xml:space="preserve">BA2 0HN</w:t>
            </w:r>
          </w:p>
        </w:tc>
        <w:tc>
          <w:tcPr>
            <w:tcW w:w="1900" w:type="dxa"/>
            <w:tcBorders>
              <w:top w:val="single" w:sz="6" w:space="0" w:color="C8D6CB"/>
              <w:left w:val="single" w:sz="6" w:space="0" w:color="C8D6CB"/>
              <w:bottom w:val="single" w:sz="6" w:space="0" w:color="C8D6CB"/>
              <w:right w:val="single" w:sz="6" w:space="0" w:color="C8D6CB"/>
            </w:tcBorders>
            <w:tcMar>
              <w:top w:w="100" w:type="dxa"/>
              <w:left w:w="100" w:type="dxa"/>
              <w:bottom w:w="100" w:type="dxa"/>
              <w:right w:w="100" w:type="dxa"/>
            </w:tcMar>
            <w:vAlign w:val="top"/>
          </w:tcPr>
          <w:p>
            <w:pPr>
              <w:spacing w:before="0" w:after="0" w:line="276" w:lineRule="auto"/>
            </w:pPr>
            <w:r>
              <w:rPr>
                <w:rFonts w:ascii="Arial" w:hAnsi="Arial" w:cs="Arial" w:eastAsia="Arial"/>
                <w:color w:val="000000"/>
                <w:sz w:val="20"/>
                <w:szCs w:val="20"/>
              </w:rPr>
              <w:t xml:space="preserve">Bath and North East Somerset Council</w:t>
            </w:r>
          </w:p>
        </w:tc>
        <w:tc>
          <w:tcPr>
            <w:tcW w:w="1750" w:type="dxa"/>
            <w:tcBorders>
              <w:top w:val="single" w:sz="6" w:space="0" w:color="C8D6CB"/>
              <w:left w:val="single" w:sz="6" w:space="0" w:color="C8D6CB"/>
              <w:bottom w:val="single" w:sz="6" w:space="0" w:color="C8D6CB"/>
              <w:right w:val="single" w:sz="6" w:space="0" w:color="C8D6CB"/>
            </w:tcBorders>
            <w:tcMar>
              <w:top w:w="100" w:type="dxa"/>
              <w:left w:w="100" w:type="dxa"/>
              <w:bottom w:w="100" w:type="dxa"/>
              <w:right w:w="100" w:type="dxa"/>
            </w:tcMar>
            <w:vAlign w:val="top"/>
          </w:tcPr>
          <w:p>
            <w:pPr>
              <w:spacing w:before="0" w:after="0" w:line="276" w:lineRule="auto"/>
            </w:pPr>
            <w:r>
              <w:rPr>
                <w:rFonts w:ascii="Arial" w:hAnsi="Arial" w:cs="Arial" w:eastAsia="Arial"/>
                <w:color w:val="000000"/>
                <w:sz w:val="20"/>
                <w:szCs w:val="20"/>
              </w:rPr>
              <w:t xml:space="preserve">Bristol, Avon Valleys and Ridges</w:t>
            </w:r>
          </w:p>
        </w:tc>
        <w:tc>
          <w:tcPr>
            <w:tcW w:w="1338" w:type="dxa"/>
            <w:tcBorders>
              <w:top w:val="single" w:sz="6" w:space="0" w:color="C8D6CB"/>
              <w:left w:val="single" w:sz="6" w:space="0" w:color="C8D6CB"/>
              <w:bottom w:val="single" w:sz="6" w:space="0" w:color="C8D6CB"/>
              <w:right w:val="single" w:sz="6" w:space="0" w:color="C8D6CB"/>
            </w:tcBorders>
            <w:tcMar>
              <w:top w:w="100" w:type="dxa"/>
              <w:left w:w="100" w:type="dxa"/>
              <w:bottom w:w="100" w:type="dxa"/>
              <w:right w:w="100" w:type="dxa"/>
            </w:tcMar>
            <w:vAlign w:val="top"/>
          </w:tcPr>
          <w:p>
            <w:pPr>
              <w:spacing w:before="0" w:after="0" w:line="276" w:lineRule="auto"/>
            </w:pPr>
            <w:r>
              <w:rPr>
                <w:rFonts w:ascii="Arial" w:hAnsi="Arial" w:cs="Arial" w:eastAsia="Arial"/>
                <w:color w:val="000000"/>
                <w:sz w:val="20"/>
                <w:szCs w:val="20"/>
              </w:rPr>
              <w:t xml:space="preserve">32</w:t>
            </w:r>
          </w:p>
        </w:tc>
        <w:tc>
          <w:tcPr>
            <w:tcW w:w="1338" w:type="dxa"/>
            <w:tcBorders>
              <w:top w:val="single" w:sz="6" w:space="0" w:color="C8D6CB"/>
              <w:left w:val="single" w:sz="6" w:space="0" w:color="C8D6CB"/>
              <w:bottom w:val="single" w:sz="6" w:space="0" w:color="C8D6CB"/>
              <w:right w:val="single" w:sz="6" w:space="0" w:color="C8D6CB"/>
            </w:tcBorders>
            <w:tcMar>
              <w:top w:w="100" w:type="dxa"/>
              <w:left w:w="100" w:type="dxa"/>
              <w:bottom w:w="100" w:type="dxa"/>
              <w:right w:w="100" w:type="dxa"/>
            </w:tcMar>
            <w:vAlign w:val="top"/>
          </w:tcPr>
          <w:p>
            <w:pPr>
              <w:spacing w:before="0" w:after="0" w:line="276" w:lineRule="auto"/>
            </w:pPr>
            <w:r>
              <w:rPr>
                <w:rFonts w:ascii="Arial" w:hAnsi="Arial" w:cs="Arial" w:eastAsia="Arial"/>
                <w:color w:val="000000"/>
                <w:sz w:val="20"/>
                <w:szCs w:val="20"/>
              </w:rPr>
              <w:t xml:space="preserve">103</w:t>
            </w:r>
          </w:p>
        </w:tc>
      </w:tr>
      <w:tr>
        <w:trPr>
          <w:cantSplit/>
        </w:trPr>
        <w:tc>
          <w:tcPr>
            <w:tcW w:w="1500" w:type="dxa"/>
            <w:tcBorders>
              <w:top w:val="single" w:sz="6" w:space="0" w:color="C8D6CB"/>
              <w:left w:val="single" w:sz="6" w:space="0" w:color="C8D6CB"/>
              <w:bottom w:val="single" w:sz="6" w:space="0" w:color="C8D6CB"/>
              <w:right w:val="single" w:sz="6" w:space="0" w:color="C8D6CB"/>
            </w:tcBorders>
            <w:tcMar>
              <w:top w:w="100" w:type="dxa"/>
              <w:left w:w="100" w:type="dxa"/>
              <w:bottom w:w="100" w:type="dxa"/>
              <w:right w:w="100" w:type="dxa"/>
            </w:tcMar>
            <w:vAlign w:val="top"/>
          </w:tcPr>
          <w:p>
            <w:pPr>
              <w:spacing w:before="0" w:after="0" w:line="276" w:lineRule="auto"/>
            </w:pPr>
            <w:r>
              <w:rPr>
                <w:rFonts w:ascii="Arial" w:hAnsi="Arial" w:cs="Arial" w:eastAsia="Arial"/>
                <w:b/>
                <w:bCs/>
                <w:color w:val="000000"/>
                <w:sz w:val="20"/>
                <w:szCs w:val="20"/>
              </w:rPr>
              <w:t xml:space="preserve">Rycote Farm</w:t>
            </w:r>
          </w:p>
        </w:tc>
        <w:tc>
          <w:tcPr>
            <w:tcW w:w="1200" w:type="dxa"/>
            <w:tcBorders>
              <w:top w:val="single" w:sz="6" w:space="0" w:color="C8D6CB"/>
              <w:left w:val="single" w:sz="6" w:space="0" w:color="C8D6CB"/>
              <w:bottom w:val="single" w:sz="6" w:space="0" w:color="C8D6CB"/>
              <w:right w:val="single" w:sz="6" w:space="0" w:color="C8D6CB"/>
            </w:tcBorders>
            <w:tcMar>
              <w:top w:w="100" w:type="dxa"/>
              <w:left w:w="100" w:type="dxa"/>
              <w:bottom w:w="100" w:type="dxa"/>
              <w:right w:w="100" w:type="dxa"/>
            </w:tcMar>
            <w:vAlign w:val="top"/>
          </w:tcPr>
          <w:p>
            <w:pPr>
              <w:spacing w:before="0" w:after="0" w:line="276" w:lineRule="auto"/>
            </w:pPr>
            <w:r>
              <w:rPr>
                <w:rFonts w:ascii="Arial" w:hAnsi="Arial" w:cs="Arial" w:eastAsia="Arial"/>
                <w:color w:val="000000"/>
                <w:sz w:val="20"/>
                <w:szCs w:val="20"/>
              </w:rPr>
              <w:t xml:space="preserve">OX9 2PF</w:t>
            </w:r>
          </w:p>
        </w:tc>
        <w:tc>
          <w:tcPr>
            <w:tcW w:w="1900" w:type="dxa"/>
            <w:tcBorders>
              <w:top w:val="single" w:sz="6" w:space="0" w:color="C8D6CB"/>
              <w:left w:val="single" w:sz="6" w:space="0" w:color="C8D6CB"/>
              <w:bottom w:val="single" w:sz="6" w:space="0" w:color="C8D6CB"/>
              <w:right w:val="single" w:sz="6" w:space="0" w:color="C8D6CB"/>
            </w:tcBorders>
            <w:tcMar>
              <w:top w:w="100" w:type="dxa"/>
              <w:left w:w="100" w:type="dxa"/>
              <w:bottom w:w="100" w:type="dxa"/>
              <w:right w:w="100" w:type="dxa"/>
            </w:tcMar>
            <w:vAlign w:val="top"/>
          </w:tcPr>
          <w:p>
            <w:pPr>
              <w:spacing w:before="0" w:after="0" w:line="276" w:lineRule="auto"/>
            </w:pPr>
            <w:r>
              <w:rPr>
                <w:rFonts w:ascii="Arial" w:hAnsi="Arial" w:cs="Arial" w:eastAsia="Arial"/>
                <w:color w:val="000000"/>
                <w:sz w:val="20"/>
                <w:szCs w:val="20"/>
              </w:rPr>
              <w:t xml:space="preserve">South Oxfordshire District Council</w:t>
            </w:r>
          </w:p>
        </w:tc>
        <w:tc>
          <w:tcPr>
            <w:tcW w:w="1750" w:type="dxa"/>
            <w:tcBorders>
              <w:top w:val="single" w:sz="6" w:space="0" w:color="C8D6CB"/>
              <w:left w:val="single" w:sz="6" w:space="0" w:color="C8D6CB"/>
              <w:bottom w:val="single" w:sz="6" w:space="0" w:color="C8D6CB"/>
              <w:right w:val="single" w:sz="6" w:space="0" w:color="C8D6CB"/>
            </w:tcBorders>
            <w:tcMar>
              <w:top w:w="100" w:type="dxa"/>
              <w:left w:w="100" w:type="dxa"/>
              <w:bottom w:w="100" w:type="dxa"/>
              <w:right w:w="100" w:type="dxa"/>
            </w:tcMar>
            <w:vAlign w:val="top"/>
          </w:tcPr>
          <w:p>
            <w:pPr>
              <w:spacing w:before="0" w:after="0" w:line="276" w:lineRule="auto"/>
            </w:pPr>
            <w:r>
              <w:rPr>
                <w:rFonts w:ascii="Arial" w:hAnsi="Arial" w:cs="Arial" w:eastAsia="Arial"/>
                <w:color w:val="000000"/>
                <w:sz w:val="20"/>
                <w:szCs w:val="20"/>
              </w:rPr>
              <w:t xml:space="preserve">Upper Thames Clay Vales</w:t>
            </w:r>
          </w:p>
        </w:tc>
        <w:tc>
          <w:tcPr>
            <w:tcW w:w="1338" w:type="dxa"/>
            <w:tcBorders>
              <w:top w:val="single" w:sz="6" w:space="0" w:color="C8D6CB"/>
              <w:left w:val="single" w:sz="6" w:space="0" w:color="C8D6CB"/>
              <w:bottom w:val="single" w:sz="6" w:space="0" w:color="C8D6CB"/>
              <w:right w:val="single" w:sz="6" w:space="0" w:color="C8D6CB"/>
            </w:tcBorders>
            <w:tcMar>
              <w:top w:w="100" w:type="dxa"/>
              <w:left w:w="100" w:type="dxa"/>
              <w:bottom w:w="100" w:type="dxa"/>
              <w:right w:w="100" w:type="dxa"/>
            </w:tcMar>
            <w:vAlign w:val="top"/>
          </w:tcPr>
          <w:p>
            <w:pPr>
              <w:spacing w:before="0" w:after="0" w:line="276" w:lineRule="auto"/>
            </w:pPr>
            <w:r>
              <w:rPr>
                <w:rFonts w:ascii="Arial" w:hAnsi="Arial" w:cs="Arial" w:eastAsia="Arial"/>
                <w:color w:val="000000"/>
                <w:sz w:val="20"/>
                <w:szCs w:val="20"/>
              </w:rPr>
              <w:t xml:space="preserve">28</w:t>
            </w:r>
          </w:p>
        </w:tc>
        <w:tc>
          <w:tcPr>
            <w:tcW w:w="1338" w:type="dxa"/>
            <w:tcBorders>
              <w:top w:val="single" w:sz="6" w:space="0" w:color="C8D6CB"/>
              <w:left w:val="single" w:sz="6" w:space="0" w:color="C8D6CB"/>
              <w:bottom w:val="single" w:sz="6" w:space="0" w:color="C8D6CB"/>
              <w:right w:val="single" w:sz="6" w:space="0" w:color="C8D6CB"/>
            </w:tcBorders>
            <w:tcMar>
              <w:top w:w="100" w:type="dxa"/>
              <w:left w:w="100" w:type="dxa"/>
              <w:bottom w:w="100" w:type="dxa"/>
              <w:right w:w="100" w:type="dxa"/>
            </w:tcMar>
            <w:vAlign w:val="top"/>
          </w:tcPr>
          <w:p>
            <w:pPr>
              <w:spacing w:before="0" w:after="0" w:line="276" w:lineRule="auto"/>
            </w:pPr>
            <w:r>
              <w:rPr>
                <w:rFonts w:ascii="Arial" w:hAnsi="Arial" w:cs="Arial" w:eastAsia="Arial"/>
                <w:color w:val="000000"/>
                <w:sz w:val="20"/>
                <w:szCs w:val="20"/>
              </w:rPr>
              <w:t xml:space="preserve">122</w:t>
            </w:r>
          </w:p>
        </w:tc>
      </w:tr>
      <w:tr>
        <w:trPr>
          <w:cantSplit/>
        </w:trPr>
        <w:tc>
          <w:tcPr>
            <w:tcW w:w="1500" w:type="dxa"/>
            <w:tcBorders>
              <w:top w:val="single" w:sz="6" w:space="0" w:color="C8D6CB"/>
              <w:left w:val="single" w:sz="6" w:space="0" w:color="C8D6CB"/>
              <w:bottom w:val="single" w:sz="6" w:space="0" w:color="C8D6CB"/>
              <w:right w:val="single" w:sz="6" w:space="0" w:color="C8D6CB"/>
            </w:tcBorders>
            <w:tcMar>
              <w:top w:w="100" w:type="dxa"/>
              <w:left w:w="100" w:type="dxa"/>
              <w:bottom w:w="100" w:type="dxa"/>
              <w:right w:w="100" w:type="dxa"/>
            </w:tcMar>
            <w:vAlign w:val="top"/>
          </w:tcPr>
          <w:p>
            <w:pPr>
              <w:spacing w:before="0" w:after="0" w:line="276" w:lineRule="auto"/>
            </w:pPr>
            <w:r>
              <w:rPr>
                <w:rFonts w:ascii="Arial" w:hAnsi="Arial" w:cs="Arial" w:eastAsia="Arial"/>
                <w:b/>
                <w:bCs/>
                <w:color w:val="000000"/>
                <w:sz w:val="20"/>
                <w:szCs w:val="20"/>
              </w:rPr>
              <w:t xml:space="preserve">Lesnewth</w:t>
            </w:r>
          </w:p>
        </w:tc>
        <w:tc>
          <w:tcPr>
            <w:tcW w:w="1200" w:type="dxa"/>
            <w:tcBorders>
              <w:top w:val="single" w:sz="6" w:space="0" w:color="C8D6CB"/>
              <w:left w:val="single" w:sz="6" w:space="0" w:color="C8D6CB"/>
              <w:bottom w:val="single" w:sz="6" w:space="0" w:color="C8D6CB"/>
              <w:right w:val="single" w:sz="6" w:space="0" w:color="C8D6CB"/>
            </w:tcBorders>
            <w:tcMar>
              <w:top w:w="100" w:type="dxa"/>
              <w:left w:w="100" w:type="dxa"/>
              <w:bottom w:w="100" w:type="dxa"/>
              <w:right w:w="100" w:type="dxa"/>
            </w:tcMar>
            <w:vAlign w:val="top"/>
          </w:tcPr>
          <w:p>
            <w:pPr>
              <w:spacing w:before="0" w:after="0" w:line="276" w:lineRule="auto"/>
            </w:pPr>
            <w:r>
              <w:rPr>
                <w:rFonts w:ascii="Arial" w:hAnsi="Arial" w:cs="Arial" w:eastAsia="Arial"/>
                <w:color w:val="000000"/>
                <w:sz w:val="20"/>
                <w:szCs w:val="20"/>
              </w:rPr>
              <w:t xml:space="preserve">PL35 0HR</w:t>
            </w:r>
          </w:p>
        </w:tc>
        <w:tc>
          <w:tcPr>
            <w:tcW w:w="1900" w:type="dxa"/>
            <w:tcBorders>
              <w:top w:val="single" w:sz="6" w:space="0" w:color="C8D6CB"/>
              <w:left w:val="single" w:sz="6" w:space="0" w:color="C8D6CB"/>
              <w:bottom w:val="single" w:sz="6" w:space="0" w:color="C8D6CB"/>
              <w:right w:val="single" w:sz="6" w:space="0" w:color="C8D6CB"/>
            </w:tcBorders>
            <w:tcMar>
              <w:top w:w="100" w:type="dxa"/>
              <w:left w:w="100" w:type="dxa"/>
              <w:bottom w:w="100" w:type="dxa"/>
              <w:right w:w="100" w:type="dxa"/>
            </w:tcMar>
            <w:vAlign w:val="top"/>
          </w:tcPr>
          <w:p>
            <w:pPr>
              <w:spacing w:before="0" w:after="0" w:line="276" w:lineRule="auto"/>
            </w:pPr>
            <w:r>
              <w:rPr>
                <w:rFonts w:ascii="Arial" w:hAnsi="Arial" w:cs="Arial" w:eastAsia="Arial"/>
                <w:color w:val="000000"/>
                <w:sz w:val="20"/>
                <w:szCs w:val="20"/>
              </w:rPr>
              <w:t xml:space="preserve">Cornwall Council</w:t>
            </w:r>
          </w:p>
        </w:tc>
        <w:tc>
          <w:tcPr>
            <w:tcW w:w="1750" w:type="dxa"/>
            <w:tcBorders>
              <w:top w:val="single" w:sz="6" w:space="0" w:color="C8D6CB"/>
              <w:left w:val="single" w:sz="6" w:space="0" w:color="C8D6CB"/>
              <w:bottom w:val="single" w:sz="6" w:space="0" w:color="C8D6CB"/>
              <w:right w:val="single" w:sz="6" w:space="0" w:color="C8D6CB"/>
            </w:tcBorders>
            <w:tcMar>
              <w:top w:w="100" w:type="dxa"/>
              <w:left w:w="100" w:type="dxa"/>
              <w:bottom w:w="100" w:type="dxa"/>
              <w:right w:w="100" w:type="dxa"/>
            </w:tcMar>
            <w:vAlign w:val="top"/>
          </w:tcPr>
          <w:p>
            <w:pPr>
              <w:spacing w:before="0" w:after="0" w:line="276" w:lineRule="auto"/>
            </w:pPr>
            <w:r>
              <w:rPr>
                <w:rFonts w:ascii="Arial" w:hAnsi="Arial" w:cs="Arial" w:eastAsia="Arial"/>
                <w:color w:val="000000"/>
                <w:sz w:val="20"/>
                <w:szCs w:val="20"/>
              </w:rPr>
              <w:t xml:space="preserve">Cornish Killas</w:t>
            </w:r>
          </w:p>
        </w:tc>
        <w:tc>
          <w:tcPr>
            <w:tcW w:w="1338" w:type="dxa"/>
            <w:tcBorders>
              <w:top w:val="single" w:sz="6" w:space="0" w:color="C8D6CB"/>
              <w:left w:val="single" w:sz="6" w:space="0" w:color="C8D6CB"/>
              <w:bottom w:val="single" w:sz="6" w:space="0" w:color="C8D6CB"/>
              <w:right w:val="single" w:sz="6" w:space="0" w:color="C8D6CB"/>
            </w:tcBorders>
            <w:tcMar>
              <w:top w:w="100" w:type="dxa"/>
              <w:left w:w="100" w:type="dxa"/>
              <w:bottom w:w="100" w:type="dxa"/>
              <w:right w:w="100" w:type="dxa"/>
            </w:tcMar>
            <w:vAlign w:val="top"/>
          </w:tcPr>
          <w:p>
            <w:pPr>
              <w:spacing w:before="0" w:after="0" w:line="276" w:lineRule="auto"/>
            </w:pPr>
            <w:r>
              <w:rPr>
                <w:rFonts w:ascii="Arial" w:hAnsi="Arial" w:cs="Arial" w:eastAsia="Arial"/>
                <w:color w:val="000000"/>
                <w:sz w:val="20"/>
                <w:szCs w:val="20"/>
              </w:rPr>
              <w:t xml:space="preserve">45</w:t>
            </w:r>
          </w:p>
        </w:tc>
        <w:tc>
          <w:tcPr>
            <w:tcW w:w="1338" w:type="dxa"/>
            <w:tcBorders>
              <w:top w:val="single" w:sz="6" w:space="0" w:color="C8D6CB"/>
              <w:left w:val="single" w:sz="6" w:space="0" w:color="C8D6CB"/>
              <w:bottom w:val="single" w:sz="6" w:space="0" w:color="C8D6CB"/>
              <w:right w:val="single" w:sz="6" w:space="0" w:color="C8D6CB"/>
            </w:tcBorders>
            <w:tcMar>
              <w:top w:w="100" w:type="dxa"/>
              <w:left w:w="100" w:type="dxa"/>
              <w:bottom w:w="100" w:type="dxa"/>
              <w:right w:w="100" w:type="dxa"/>
            </w:tcMar>
            <w:vAlign w:val="top"/>
          </w:tcPr>
          <w:p>
            <w:pPr>
              <w:spacing w:before="0" w:after="0" w:line="276" w:lineRule="auto"/>
            </w:pPr>
            <w:r>
              <w:rPr>
                <w:rFonts w:ascii="Arial" w:hAnsi="Arial" w:cs="Arial" w:eastAsia="Arial"/>
                <w:color w:val="000000"/>
                <w:sz w:val="20"/>
                <w:szCs w:val="20"/>
              </w:rPr>
              <w:t xml:space="preserve">34</w:t>
            </w:r>
          </w:p>
        </w:tc>
      </w:tr>
      <w:tr>
        <w:trPr>
          <w:cantSplit/>
        </w:trPr>
        <w:tc>
          <w:tcPr>
            <w:tcW w:w="1500" w:type="dxa"/>
            <w:tcBorders>
              <w:top w:val="single" w:sz="6" w:space="0" w:color="C8D6CB"/>
              <w:left w:val="single" w:sz="6" w:space="0" w:color="C8D6CB"/>
              <w:bottom w:val="single" w:sz="6" w:space="0" w:color="C8D6CB"/>
              <w:right w:val="single" w:sz="6" w:space="0" w:color="C8D6CB"/>
            </w:tcBorders>
            <w:tcMar>
              <w:top w:w="100" w:type="dxa"/>
              <w:left w:w="100" w:type="dxa"/>
              <w:bottom w:w="100" w:type="dxa"/>
              <w:right w:w="100" w:type="dxa"/>
            </w:tcMar>
            <w:vAlign w:val="top"/>
          </w:tcPr>
          <w:p>
            <w:pPr>
              <w:spacing w:before="0" w:after="0" w:line="276" w:lineRule="auto"/>
            </w:pPr>
            <w:r>
              <w:rPr>
                <w:rFonts w:ascii="Arial" w:hAnsi="Arial" w:cs="Arial" w:eastAsia="Arial"/>
                <w:b/>
                <w:bCs/>
                <w:color w:val="000000"/>
                <w:sz w:val="20"/>
                <w:szCs w:val="20"/>
              </w:rPr>
              <w:t xml:space="preserve">Avon Meadows</w:t>
            </w:r>
          </w:p>
        </w:tc>
        <w:tc>
          <w:tcPr>
            <w:tcW w:w="1200" w:type="dxa"/>
            <w:tcBorders>
              <w:top w:val="single" w:sz="6" w:space="0" w:color="C8D6CB"/>
              <w:left w:val="single" w:sz="6" w:space="0" w:color="C8D6CB"/>
              <w:bottom w:val="single" w:sz="6" w:space="0" w:color="C8D6CB"/>
              <w:right w:val="single" w:sz="6" w:space="0" w:color="C8D6CB"/>
            </w:tcBorders>
            <w:tcMar>
              <w:top w:w="100" w:type="dxa"/>
              <w:left w:w="100" w:type="dxa"/>
              <w:bottom w:w="100" w:type="dxa"/>
              <w:right w:w="100" w:type="dxa"/>
            </w:tcMar>
            <w:vAlign w:val="top"/>
          </w:tcPr>
          <w:p>
            <w:pPr>
              <w:spacing w:before="0" w:after="0" w:line="276" w:lineRule="auto"/>
            </w:pPr>
            <w:r>
              <w:rPr>
                <w:rFonts w:ascii="Arial" w:hAnsi="Arial" w:cs="Arial" w:eastAsia="Arial"/>
                <w:color w:val="000000"/>
                <w:sz w:val="20"/>
                <w:szCs w:val="20"/>
              </w:rPr>
              <w:t xml:space="preserve">CV37 0NS</w:t>
            </w:r>
          </w:p>
        </w:tc>
        <w:tc>
          <w:tcPr>
            <w:tcW w:w="1900" w:type="dxa"/>
            <w:tcBorders>
              <w:top w:val="single" w:sz="6" w:space="0" w:color="C8D6CB"/>
              <w:left w:val="single" w:sz="6" w:space="0" w:color="C8D6CB"/>
              <w:bottom w:val="single" w:sz="6" w:space="0" w:color="C8D6CB"/>
              <w:right w:val="single" w:sz="6" w:space="0" w:color="C8D6CB"/>
            </w:tcBorders>
            <w:tcMar>
              <w:top w:w="100" w:type="dxa"/>
              <w:left w:w="100" w:type="dxa"/>
              <w:bottom w:w="100" w:type="dxa"/>
              <w:right w:w="100" w:type="dxa"/>
            </w:tcMar>
            <w:vAlign w:val="top"/>
          </w:tcPr>
          <w:p>
            <w:pPr>
              <w:spacing w:before="0" w:after="0" w:line="276" w:lineRule="auto"/>
            </w:pPr>
            <w:r>
              <w:rPr>
                <w:rFonts w:ascii="Arial" w:hAnsi="Arial" w:cs="Arial" w:eastAsia="Arial"/>
                <w:color w:val="000000"/>
                <w:sz w:val="20"/>
                <w:szCs w:val="20"/>
              </w:rPr>
              <w:t xml:space="preserve">Stratford-on-Avon District Council</w:t>
            </w:r>
          </w:p>
        </w:tc>
        <w:tc>
          <w:tcPr>
            <w:tcW w:w="1750" w:type="dxa"/>
            <w:tcBorders>
              <w:top w:val="single" w:sz="6" w:space="0" w:color="C8D6CB"/>
              <w:left w:val="single" w:sz="6" w:space="0" w:color="C8D6CB"/>
              <w:bottom w:val="single" w:sz="6" w:space="0" w:color="C8D6CB"/>
              <w:right w:val="single" w:sz="6" w:space="0" w:color="C8D6CB"/>
            </w:tcBorders>
            <w:tcMar>
              <w:top w:w="100" w:type="dxa"/>
              <w:left w:w="100" w:type="dxa"/>
              <w:bottom w:w="100" w:type="dxa"/>
              <w:right w:w="100" w:type="dxa"/>
            </w:tcMar>
            <w:vAlign w:val="top"/>
          </w:tcPr>
          <w:p>
            <w:pPr>
              <w:spacing w:before="0" w:after="0" w:line="276" w:lineRule="auto"/>
            </w:pPr>
            <w:r>
              <w:rPr>
                <w:rFonts w:ascii="Arial" w:hAnsi="Arial" w:cs="Arial" w:eastAsia="Arial"/>
                <w:color w:val="000000"/>
                <w:sz w:val="20"/>
                <w:szCs w:val="20"/>
              </w:rPr>
              <w:t xml:space="preserve">Severn and Avon Vales</w:t>
            </w:r>
          </w:p>
        </w:tc>
        <w:tc>
          <w:tcPr>
            <w:tcW w:w="1338" w:type="dxa"/>
            <w:tcBorders>
              <w:top w:val="single" w:sz="6" w:space="0" w:color="C8D6CB"/>
              <w:left w:val="single" w:sz="6" w:space="0" w:color="C8D6CB"/>
              <w:bottom w:val="single" w:sz="6" w:space="0" w:color="C8D6CB"/>
              <w:right w:val="single" w:sz="6" w:space="0" w:color="C8D6CB"/>
            </w:tcBorders>
            <w:tcMar>
              <w:top w:w="100" w:type="dxa"/>
              <w:left w:w="100" w:type="dxa"/>
              <w:bottom w:w="100" w:type="dxa"/>
              <w:right w:w="100" w:type="dxa"/>
            </w:tcMar>
            <w:vAlign w:val="top"/>
          </w:tcPr>
          <w:p>
            <w:pPr>
              <w:spacing w:before="0" w:after="0" w:line="276" w:lineRule="auto"/>
            </w:pPr>
            <w:r>
              <w:rPr>
                <w:rFonts w:ascii="Arial" w:hAnsi="Arial" w:cs="Arial" w:eastAsia="Arial"/>
                <w:color w:val="000000"/>
                <w:sz w:val="20"/>
                <w:szCs w:val="20"/>
              </w:rPr>
              <w:t xml:space="preserve">33</w:t>
            </w:r>
          </w:p>
        </w:tc>
        <w:tc>
          <w:tcPr>
            <w:tcW w:w="1338" w:type="dxa"/>
            <w:tcBorders>
              <w:top w:val="single" w:sz="6" w:space="0" w:color="C8D6CB"/>
              <w:left w:val="single" w:sz="6" w:space="0" w:color="C8D6CB"/>
              <w:bottom w:val="single" w:sz="6" w:space="0" w:color="C8D6CB"/>
              <w:right w:val="single" w:sz="6" w:space="0" w:color="C8D6CB"/>
            </w:tcBorders>
            <w:tcMar>
              <w:top w:w="100" w:type="dxa"/>
              <w:left w:w="100" w:type="dxa"/>
              <w:bottom w:w="100" w:type="dxa"/>
              <w:right w:w="100" w:type="dxa"/>
            </w:tcMar>
            <w:vAlign w:val="top"/>
          </w:tcPr>
          <w:p>
            <w:pPr>
              <w:spacing w:before="0" w:after="0" w:line="276" w:lineRule="auto"/>
            </w:pPr>
            <w:r>
              <w:rPr>
                <w:rFonts w:ascii="Arial" w:hAnsi="Arial" w:cs="Arial" w:eastAsia="Arial"/>
                <w:color w:val="000000"/>
                <w:sz w:val="20"/>
                <w:szCs w:val="20"/>
              </w:rPr>
              <w:t xml:space="preserve">157</w:t>
            </w:r>
          </w:p>
        </w:tc>
      </w:tr>
      <w:tr>
        <w:trPr>
          <w:cantSplit/>
        </w:trPr>
        <w:tc>
          <w:tcPr>
            <w:tcW w:w="1500" w:type="dxa"/>
            <w:tcBorders>
              <w:top w:val="single" w:sz="6" w:space="0" w:color="C8D6CB"/>
              <w:left w:val="single" w:sz="6" w:space="0" w:color="C8D6CB"/>
              <w:bottom w:val="single" w:sz="6" w:space="0" w:color="C8D6CB"/>
              <w:right w:val="single" w:sz="6" w:space="0" w:color="C8D6CB"/>
            </w:tcBorders>
            <w:tcMar>
              <w:top w:w="100" w:type="dxa"/>
              <w:left w:w="100" w:type="dxa"/>
              <w:bottom w:w="100" w:type="dxa"/>
              <w:right w:w="100" w:type="dxa"/>
            </w:tcMar>
            <w:vAlign w:val="top"/>
          </w:tcPr>
          <w:p>
            <w:pPr>
              <w:spacing w:before="0" w:after="0" w:line="276" w:lineRule="auto"/>
            </w:pPr>
            <w:r>
              <w:rPr>
                <w:rFonts w:ascii="Arial" w:hAnsi="Arial" w:cs="Arial" w:eastAsia="Arial"/>
                <w:b/>
                <w:bCs/>
                <w:color w:val="000000"/>
                <w:sz w:val="20"/>
                <w:szCs w:val="20"/>
              </w:rPr>
              <w:t xml:space="preserve">Badger Bank Farm</w:t>
            </w:r>
          </w:p>
        </w:tc>
        <w:tc>
          <w:tcPr>
            <w:tcW w:w="1200" w:type="dxa"/>
            <w:tcBorders>
              <w:top w:val="single" w:sz="6" w:space="0" w:color="C8D6CB"/>
              <w:left w:val="single" w:sz="6" w:space="0" w:color="C8D6CB"/>
              <w:bottom w:val="single" w:sz="6" w:space="0" w:color="C8D6CB"/>
              <w:right w:val="single" w:sz="6" w:space="0" w:color="C8D6CB"/>
            </w:tcBorders>
            <w:tcMar>
              <w:top w:w="100" w:type="dxa"/>
              <w:left w:w="100" w:type="dxa"/>
              <w:bottom w:w="100" w:type="dxa"/>
              <w:right w:w="100" w:type="dxa"/>
            </w:tcMar>
            <w:vAlign w:val="top"/>
          </w:tcPr>
          <w:p>
            <w:pPr>
              <w:spacing w:before="0" w:after="0" w:line="276" w:lineRule="auto"/>
            </w:pPr>
            <w:r>
              <w:rPr>
                <w:rFonts w:ascii="Arial" w:hAnsi="Arial" w:cs="Arial" w:eastAsia="Arial"/>
                <w:color w:val="000000"/>
                <w:sz w:val="20"/>
                <w:szCs w:val="20"/>
              </w:rPr>
              <w:t xml:space="preserve">HG4 3HT</w:t>
            </w:r>
          </w:p>
        </w:tc>
        <w:tc>
          <w:tcPr>
            <w:tcW w:w="1900" w:type="dxa"/>
            <w:tcBorders>
              <w:top w:val="single" w:sz="6" w:space="0" w:color="C8D6CB"/>
              <w:left w:val="single" w:sz="6" w:space="0" w:color="C8D6CB"/>
              <w:bottom w:val="single" w:sz="6" w:space="0" w:color="C8D6CB"/>
              <w:right w:val="single" w:sz="6" w:space="0" w:color="C8D6CB"/>
            </w:tcBorders>
            <w:tcMar>
              <w:top w:w="100" w:type="dxa"/>
              <w:left w:w="100" w:type="dxa"/>
              <w:bottom w:w="100" w:type="dxa"/>
              <w:right w:w="100" w:type="dxa"/>
            </w:tcMar>
            <w:vAlign w:val="top"/>
          </w:tcPr>
          <w:p>
            <w:pPr>
              <w:spacing w:before="0" w:after="0" w:line="276" w:lineRule="auto"/>
            </w:pPr>
            <w:r>
              <w:rPr>
                <w:rFonts w:ascii="Arial" w:hAnsi="Arial" w:cs="Arial" w:eastAsia="Arial"/>
                <w:color w:val="000000"/>
                <w:sz w:val="20"/>
                <w:szCs w:val="20"/>
              </w:rPr>
              <w:t xml:space="preserve">North Yorkshire Council</w:t>
            </w:r>
          </w:p>
        </w:tc>
        <w:tc>
          <w:tcPr>
            <w:tcW w:w="1750" w:type="dxa"/>
            <w:tcBorders>
              <w:top w:val="single" w:sz="6" w:space="0" w:color="C8D6CB"/>
              <w:left w:val="single" w:sz="6" w:space="0" w:color="C8D6CB"/>
              <w:bottom w:val="single" w:sz="6" w:space="0" w:color="C8D6CB"/>
              <w:right w:val="single" w:sz="6" w:space="0" w:color="C8D6CB"/>
            </w:tcBorders>
            <w:tcMar>
              <w:top w:w="100" w:type="dxa"/>
              <w:left w:w="100" w:type="dxa"/>
              <w:bottom w:w="100" w:type="dxa"/>
              <w:right w:w="100" w:type="dxa"/>
            </w:tcMar>
            <w:vAlign w:val="top"/>
          </w:tcPr>
          <w:p>
            <w:pPr>
              <w:spacing w:before="0" w:after="0" w:line="276" w:lineRule="auto"/>
            </w:pPr>
            <w:r>
              <w:rPr>
                <w:rFonts w:ascii="Arial" w:hAnsi="Arial" w:cs="Arial" w:eastAsia="Arial"/>
                <w:color w:val="000000"/>
                <w:sz w:val="20"/>
                <w:szCs w:val="20"/>
              </w:rPr>
              <w:t xml:space="preserve">Southern Magnesian Limestone</w:t>
            </w:r>
          </w:p>
        </w:tc>
        <w:tc>
          <w:tcPr>
            <w:tcW w:w="1338" w:type="dxa"/>
            <w:tcBorders>
              <w:top w:val="single" w:sz="6" w:space="0" w:color="C8D6CB"/>
              <w:left w:val="single" w:sz="6" w:space="0" w:color="C8D6CB"/>
              <w:bottom w:val="single" w:sz="6" w:space="0" w:color="C8D6CB"/>
              <w:right w:val="single" w:sz="6" w:space="0" w:color="C8D6CB"/>
            </w:tcBorders>
            <w:tcMar>
              <w:top w:w="100" w:type="dxa"/>
              <w:left w:w="100" w:type="dxa"/>
              <w:bottom w:w="100" w:type="dxa"/>
              <w:right w:w="100" w:type="dxa"/>
            </w:tcMar>
            <w:vAlign w:val="top"/>
          </w:tcPr>
          <w:p>
            <w:pPr>
              <w:spacing w:before="0" w:after="0" w:line="276" w:lineRule="auto"/>
            </w:pPr>
            <w:r>
              <w:rPr>
                <w:rFonts w:ascii="Arial" w:hAnsi="Arial" w:cs="Arial" w:eastAsia="Arial"/>
                <w:color w:val="000000"/>
                <w:sz w:val="20"/>
                <w:szCs w:val="20"/>
              </w:rPr>
              <w:t xml:space="preserve">40</w:t>
            </w:r>
          </w:p>
        </w:tc>
        <w:tc>
          <w:tcPr>
            <w:tcW w:w="1338" w:type="dxa"/>
            <w:tcBorders>
              <w:top w:val="single" w:sz="6" w:space="0" w:color="C8D6CB"/>
              <w:left w:val="single" w:sz="6" w:space="0" w:color="C8D6CB"/>
              <w:bottom w:val="single" w:sz="6" w:space="0" w:color="C8D6CB"/>
              <w:right w:val="single" w:sz="6" w:space="0" w:color="C8D6CB"/>
            </w:tcBorders>
            <w:tcMar>
              <w:top w:w="100" w:type="dxa"/>
              <w:left w:w="100" w:type="dxa"/>
              <w:bottom w:w="100" w:type="dxa"/>
              <w:right w:w="100" w:type="dxa"/>
            </w:tcMar>
            <w:vAlign w:val="top"/>
          </w:tcPr>
          <w:p>
            <w:pPr>
              <w:spacing w:before="0" w:after="0" w:line="276" w:lineRule="auto"/>
            </w:pPr>
            <w:r>
              <w:rPr>
                <w:rFonts w:ascii="Arial" w:hAnsi="Arial" w:cs="Arial" w:eastAsia="Arial"/>
                <w:color w:val="000000"/>
                <w:sz w:val="20"/>
                <w:szCs w:val="20"/>
              </w:rPr>
              <w:t xml:space="preserve">190</w:t>
            </w:r>
          </w:p>
        </w:tc>
      </w:tr>
      <w:tr>
        <w:trPr>
          <w:cantSplit/>
        </w:trPr>
        <w:tc>
          <w:tcPr>
            <w:tcW w:w="1500" w:type="dxa"/>
            <w:tcBorders>
              <w:top w:val="single" w:sz="6" w:space="0" w:color="C8D6CB"/>
              <w:left w:val="single" w:sz="6" w:space="0" w:color="C8D6CB"/>
              <w:bottom w:val="single" w:sz="6" w:space="0" w:color="C8D6CB"/>
              <w:right w:val="single" w:sz="6" w:space="0" w:color="C8D6CB"/>
            </w:tcBorders>
            <w:tcMar>
              <w:top w:w="100" w:type="dxa"/>
              <w:left w:w="100" w:type="dxa"/>
              <w:bottom w:w="100" w:type="dxa"/>
              <w:right w:w="100" w:type="dxa"/>
            </w:tcMar>
            <w:vAlign w:val="top"/>
          </w:tcPr>
          <w:p>
            <w:pPr>
              <w:spacing w:before="0" w:after="0" w:line="276" w:lineRule="auto"/>
            </w:pPr>
            <w:r>
              <w:rPr>
                <w:rFonts w:ascii="Arial" w:hAnsi="Arial" w:cs="Arial" w:eastAsia="Arial"/>
                <w:b/>
                <w:bCs/>
                <w:color w:val="000000"/>
                <w:sz w:val="20"/>
                <w:szCs w:val="20"/>
              </w:rPr>
              <w:t xml:space="preserve">Slades Farm</w:t>
            </w:r>
          </w:p>
        </w:tc>
        <w:tc>
          <w:tcPr>
            <w:tcW w:w="1200" w:type="dxa"/>
            <w:tcBorders>
              <w:top w:val="single" w:sz="6" w:space="0" w:color="C8D6CB"/>
              <w:left w:val="single" w:sz="6" w:space="0" w:color="C8D6CB"/>
              <w:bottom w:val="single" w:sz="6" w:space="0" w:color="C8D6CB"/>
              <w:right w:val="single" w:sz="6" w:space="0" w:color="C8D6CB"/>
            </w:tcBorders>
            <w:tcMar>
              <w:top w:w="100" w:type="dxa"/>
              <w:left w:w="100" w:type="dxa"/>
              <w:bottom w:w="100" w:type="dxa"/>
              <w:right w:w="100" w:type="dxa"/>
            </w:tcMar>
            <w:vAlign w:val="top"/>
          </w:tcPr>
          <w:p>
            <w:pPr>
              <w:spacing w:before="0" w:after="0" w:line="276" w:lineRule="auto"/>
            </w:pPr>
            <w:r>
              <w:rPr>
                <w:rFonts w:ascii="Arial" w:hAnsi="Arial" w:cs="Arial" w:eastAsia="Arial"/>
                <w:color w:val="000000"/>
                <w:sz w:val="20"/>
                <w:szCs w:val="20"/>
              </w:rPr>
              <w:t xml:space="preserve">GU5 0LT</w:t>
            </w:r>
          </w:p>
        </w:tc>
        <w:tc>
          <w:tcPr>
            <w:tcW w:w="1900" w:type="dxa"/>
            <w:tcBorders>
              <w:top w:val="single" w:sz="6" w:space="0" w:color="C8D6CB"/>
              <w:left w:val="single" w:sz="6" w:space="0" w:color="C8D6CB"/>
              <w:bottom w:val="single" w:sz="6" w:space="0" w:color="C8D6CB"/>
              <w:right w:val="single" w:sz="6" w:space="0" w:color="C8D6CB"/>
            </w:tcBorders>
            <w:tcMar>
              <w:top w:w="100" w:type="dxa"/>
              <w:left w:w="100" w:type="dxa"/>
              <w:bottom w:w="100" w:type="dxa"/>
              <w:right w:w="100" w:type="dxa"/>
            </w:tcMar>
            <w:vAlign w:val="top"/>
          </w:tcPr>
          <w:p>
            <w:pPr>
              <w:spacing w:before="0" w:after="0" w:line="276" w:lineRule="auto"/>
            </w:pPr>
            <w:r>
              <w:rPr>
                <w:rFonts w:ascii="Arial" w:hAnsi="Arial" w:cs="Arial" w:eastAsia="Arial"/>
                <w:color w:val="000000"/>
                <w:sz w:val="20"/>
                <w:szCs w:val="20"/>
              </w:rPr>
              <w:t xml:space="preserve">Waverley Borough Council</w:t>
            </w:r>
          </w:p>
        </w:tc>
        <w:tc>
          <w:tcPr>
            <w:tcW w:w="1750" w:type="dxa"/>
            <w:tcBorders>
              <w:top w:val="single" w:sz="6" w:space="0" w:color="C8D6CB"/>
              <w:left w:val="single" w:sz="6" w:space="0" w:color="C8D6CB"/>
              <w:bottom w:val="single" w:sz="6" w:space="0" w:color="C8D6CB"/>
              <w:right w:val="single" w:sz="6" w:space="0" w:color="C8D6CB"/>
            </w:tcBorders>
            <w:tcMar>
              <w:top w:w="100" w:type="dxa"/>
              <w:left w:w="100" w:type="dxa"/>
              <w:bottom w:w="100" w:type="dxa"/>
              <w:right w:w="100" w:type="dxa"/>
            </w:tcMar>
            <w:vAlign w:val="top"/>
          </w:tcPr>
          <w:p>
            <w:pPr>
              <w:spacing w:before="0" w:after="0" w:line="276" w:lineRule="auto"/>
            </w:pPr>
            <w:r>
              <w:rPr>
                <w:rFonts w:ascii="Arial" w:hAnsi="Arial" w:cs="Arial" w:eastAsia="Arial"/>
                <w:color w:val="000000"/>
                <w:sz w:val="20"/>
                <w:szCs w:val="20"/>
              </w:rPr>
              <w:t xml:space="preserve">Wealden Greensand</w:t>
            </w:r>
          </w:p>
        </w:tc>
        <w:tc>
          <w:tcPr>
            <w:tcW w:w="1338" w:type="dxa"/>
            <w:tcBorders>
              <w:top w:val="single" w:sz="6" w:space="0" w:color="C8D6CB"/>
              <w:left w:val="single" w:sz="6" w:space="0" w:color="C8D6CB"/>
              <w:bottom w:val="single" w:sz="6" w:space="0" w:color="C8D6CB"/>
              <w:right w:val="single" w:sz="6" w:space="0" w:color="C8D6CB"/>
            </w:tcBorders>
            <w:tcMar>
              <w:top w:w="100" w:type="dxa"/>
              <w:left w:w="100" w:type="dxa"/>
              <w:bottom w:w="100" w:type="dxa"/>
              <w:right w:w="100" w:type="dxa"/>
            </w:tcMar>
            <w:vAlign w:val="top"/>
          </w:tcPr>
          <w:p>
            <w:pPr>
              <w:spacing w:before="0" w:after="0" w:line="276" w:lineRule="auto"/>
            </w:pPr>
            <w:r>
              <w:rPr>
                <w:rFonts w:ascii="Arial" w:hAnsi="Arial" w:cs="Arial" w:eastAsia="Arial"/>
                <w:color w:val="000000"/>
                <w:sz w:val="20"/>
                <w:szCs w:val="20"/>
              </w:rPr>
              <w:t xml:space="preserve">38</w:t>
            </w:r>
          </w:p>
        </w:tc>
        <w:tc>
          <w:tcPr>
            <w:tcW w:w="1338" w:type="dxa"/>
            <w:tcBorders>
              <w:top w:val="single" w:sz="6" w:space="0" w:color="C8D6CB"/>
              <w:left w:val="single" w:sz="6" w:space="0" w:color="C8D6CB"/>
              <w:bottom w:val="single" w:sz="6" w:space="0" w:color="C8D6CB"/>
              <w:right w:val="single" w:sz="6" w:space="0" w:color="C8D6CB"/>
            </w:tcBorders>
            <w:tcMar>
              <w:top w:w="100" w:type="dxa"/>
              <w:left w:w="100" w:type="dxa"/>
              <w:bottom w:w="100" w:type="dxa"/>
              <w:right w:w="100" w:type="dxa"/>
            </w:tcMar>
            <w:vAlign w:val="top"/>
          </w:tcPr>
          <w:p>
            <w:pPr>
              <w:spacing w:before="0" w:after="0" w:line="276" w:lineRule="auto"/>
            </w:pPr>
            <w:r>
              <w:rPr>
                <w:rFonts w:ascii="Arial" w:hAnsi="Arial" w:cs="Arial" w:eastAsia="Arial"/>
                <w:color w:val="000000"/>
                <w:sz w:val="20"/>
                <w:szCs w:val="20"/>
              </w:rPr>
              <w:t xml:space="preserve">90</w:t>
            </w:r>
          </w:p>
        </w:tc>
      </w:tr>
    </w:tbl>
    <w:p>
      <w:pPr>
        <w:pageBreakBefore/>
        <w:pBdr>
          <w:bottom w:val="single" w:sz="6" w:space="4" w:color="C8D6CB"/>
        </w:pBdr>
        <w:spacing w:before="0" w:after="280" w:line="276" w:lineRule="auto"/>
        <w:keepNext/>
      </w:pPr>
      <w:r>
        <w:rPr>
          <w:rFonts w:ascii="Arial" w:hAnsi="Arial" w:cs="Arial" w:eastAsia="Arial"/>
          <w:b/>
          <w:bCs/>
          <w:color w:val="2E5E3A"/>
          <w:sz w:val="34"/>
          <w:szCs w:val="34"/>
        </w:rPr>
        <w:t xml:space="preserve">Sleight Farm</w:t>
      </w:r>
    </w:p>
    <w:tbl>
      <w:tblPr>
        <w:tblW w:w="9026" w:type="dxa"/>
        <w:tblLayout w:type="fixed"/>
        <w:tblBorders>
          <w:top w:val="single" w:sz="6" w:space="0" w:color="C8D6CB"/>
          <w:left w:val="single" w:sz="6" w:space="0" w:color="C8D6CB"/>
          <w:bottom w:val="single" w:sz="6" w:space="0" w:color="C8D6CB"/>
          <w:right w:val="single" w:sz="6" w:space="0" w:color="C8D6CB"/>
          <w:insideH w:val="single" w:sz="6" w:space="0" w:color="C8D6CB"/>
          <w:insideV w:val="single" w:sz="6" w:space="0" w:color="C8D6CB"/>
        </w:tblBorders>
      </w:tblPr>
      <w:tblGrid>
        <w:gridCol w:w="2900"/>
        <w:gridCol w:w="6126"/>
      </w:tblGrid>
      <w:tr>
        <w:trPr>
          <w:cantSplit/>
        </w:trPr>
        <w:tc>
          <w:tcPr>
            <w:tcW w:w="2900" w:type="dxa"/>
            <w:tcBorders>
              <w:top w:val="single" w:sz="6" w:space="0" w:color="C8D6CB"/>
              <w:left w:val="single" w:sz="6" w:space="0" w:color="C8D6CB"/>
              <w:bottom w:val="single" w:sz="6" w:space="0" w:color="C8D6CB"/>
              <w:right w:val="single" w:sz="6" w:space="0" w:color="C8D6CB"/>
            </w:tcBorders>
            <w:shd w:val="clear" w:color="auto" w:fill="EEF4EF"/>
            <w:tcMar>
              <w:top w:w="100" w:type="dxa"/>
              <w:left w:w="100" w:type="dxa"/>
              <w:bottom w:w="100" w:type="dxa"/>
              <w:right w:w="100" w:type="dxa"/>
            </w:tcMar>
            <w:vAlign w:val="top"/>
          </w:tcPr>
          <w:p>
            <w:pPr>
              <w:spacing w:before="0" w:after="0" w:line="276" w:lineRule="auto"/>
            </w:pPr>
            <w:r>
              <w:rPr>
                <w:rFonts w:ascii="Arial" w:hAnsi="Arial" w:cs="Arial" w:eastAsia="Arial"/>
                <w:b/>
                <w:bCs/>
                <w:color w:val="000000"/>
                <w:sz w:val="20"/>
                <w:szCs w:val="20"/>
              </w:rPr>
              <w:t xml:space="preserve">Site postcode</w:t>
            </w:r>
          </w:p>
        </w:tc>
        <w:tc>
          <w:tcPr>
            <w:tcW w:w="6126" w:type="dxa"/>
            <w:tcBorders>
              <w:top w:val="single" w:sz="6" w:space="0" w:color="C8D6CB"/>
              <w:left w:val="single" w:sz="6" w:space="0" w:color="C8D6CB"/>
              <w:bottom w:val="single" w:sz="6" w:space="0" w:color="C8D6CB"/>
              <w:right w:val="single" w:sz="6" w:space="0" w:color="C8D6CB"/>
            </w:tcBorders>
            <w:tcMar>
              <w:top w:w="100" w:type="dxa"/>
              <w:left w:w="100" w:type="dxa"/>
              <w:bottom w:w="100" w:type="dxa"/>
              <w:right w:w="100" w:type="dxa"/>
            </w:tcMar>
            <w:vAlign w:val="top"/>
          </w:tcPr>
          <w:p>
            <w:pPr>
              <w:spacing w:before="0" w:after="0" w:line="276" w:lineRule="auto"/>
            </w:pPr>
            <w:r>
              <w:rPr>
                <w:rFonts w:ascii="Arial" w:hAnsi="Arial" w:cs="Arial" w:eastAsia="Arial"/>
                <w:color w:val="000000"/>
                <w:sz w:val="20"/>
                <w:szCs w:val="20"/>
              </w:rPr>
              <w:t xml:space="preserve">BA2 0HN</w:t>
            </w:r>
          </w:p>
        </w:tc>
      </w:tr>
      <w:tr>
        <w:trPr>
          <w:cantSplit/>
        </w:trPr>
        <w:tc>
          <w:tcPr>
            <w:tcW w:w="2900" w:type="dxa"/>
            <w:tcBorders>
              <w:top w:val="single" w:sz="6" w:space="0" w:color="C8D6CB"/>
              <w:left w:val="single" w:sz="6" w:space="0" w:color="C8D6CB"/>
              <w:bottom w:val="single" w:sz="6" w:space="0" w:color="C8D6CB"/>
              <w:right w:val="single" w:sz="6" w:space="0" w:color="C8D6CB"/>
            </w:tcBorders>
            <w:shd w:val="clear" w:color="auto" w:fill="EEF4EF"/>
            <w:tcMar>
              <w:top w:w="100" w:type="dxa"/>
              <w:left w:w="100" w:type="dxa"/>
              <w:bottom w:w="100" w:type="dxa"/>
              <w:right w:w="100" w:type="dxa"/>
            </w:tcMar>
            <w:vAlign w:val="top"/>
          </w:tcPr>
          <w:p>
            <w:pPr>
              <w:spacing w:before="0" w:after="0" w:line="276" w:lineRule="auto"/>
            </w:pPr>
            <w:r>
              <w:rPr>
                <w:rFonts w:ascii="Arial" w:hAnsi="Arial" w:cs="Arial" w:eastAsia="Arial"/>
                <w:b/>
                <w:bCs/>
                <w:color w:val="000000"/>
                <w:sz w:val="20"/>
                <w:szCs w:val="20"/>
              </w:rPr>
              <w:t xml:space="preserve">Local planning authority</w:t>
            </w:r>
          </w:p>
        </w:tc>
        <w:tc>
          <w:tcPr>
            <w:tcW w:w="6126" w:type="dxa"/>
            <w:tcBorders>
              <w:top w:val="single" w:sz="6" w:space="0" w:color="C8D6CB"/>
              <w:left w:val="single" w:sz="6" w:space="0" w:color="C8D6CB"/>
              <w:bottom w:val="single" w:sz="6" w:space="0" w:color="C8D6CB"/>
              <w:right w:val="single" w:sz="6" w:space="0" w:color="C8D6CB"/>
            </w:tcBorders>
            <w:tcMar>
              <w:top w:w="100" w:type="dxa"/>
              <w:left w:w="100" w:type="dxa"/>
              <w:bottom w:w="100" w:type="dxa"/>
              <w:right w:w="100" w:type="dxa"/>
            </w:tcMar>
            <w:vAlign w:val="top"/>
          </w:tcPr>
          <w:p>
            <w:pPr>
              <w:spacing w:before="0" w:after="0" w:line="276" w:lineRule="auto"/>
            </w:pPr>
            <w:r>
              <w:rPr>
                <w:rFonts w:ascii="Arial" w:hAnsi="Arial" w:cs="Arial" w:eastAsia="Arial"/>
                <w:color w:val="000000"/>
                <w:sz w:val="20"/>
                <w:szCs w:val="20"/>
              </w:rPr>
              <w:t xml:space="preserve">Bath and North East Somerset Council</w:t>
            </w:r>
          </w:p>
        </w:tc>
      </w:tr>
      <w:tr>
        <w:trPr>
          <w:cantSplit/>
        </w:trPr>
        <w:tc>
          <w:tcPr>
            <w:tcW w:w="2900" w:type="dxa"/>
            <w:tcBorders>
              <w:top w:val="single" w:sz="6" w:space="0" w:color="C8D6CB"/>
              <w:left w:val="single" w:sz="6" w:space="0" w:color="C8D6CB"/>
              <w:bottom w:val="single" w:sz="6" w:space="0" w:color="C8D6CB"/>
              <w:right w:val="single" w:sz="6" w:space="0" w:color="C8D6CB"/>
            </w:tcBorders>
            <w:shd w:val="clear" w:color="auto" w:fill="EEF4EF"/>
            <w:tcMar>
              <w:top w:w="100" w:type="dxa"/>
              <w:left w:w="100" w:type="dxa"/>
              <w:bottom w:w="100" w:type="dxa"/>
              <w:right w:w="100" w:type="dxa"/>
            </w:tcMar>
            <w:vAlign w:val="top"/>
          </w:tcPr>
          <w:p>
            <w:pPr>
              <w:spacing w:before="0" w:after="0" w:line="276" w:lineRule="auto"/>
            </w:pPr>
            <w:r>
              <w:rPr>
                <w:rFonts w:ascii="Arial" w:hAnsi="Arial" w:cs="Arial" w:eastAsia="Arial"/>
                <w:b/>
                <w:bCs/>
                <w:color w:val="000000"/>
                <w:sz w:val="20"/>
                <w:szCs w:val="20"/>
              </w:rPr>
              <w:t xml:space="preserve">National Character Area</w:t>
            </w:r>
          </w:p>
        </w:tc>
        <w:tc>
          <w:tcPr>
            <w:tcW w:w="6126" w:type="dxa"/>
            <w:tcBorders>
              <w:top w:val="single" w:sz="6" w:space="0" w:color="C8D6CB"/>
              <w:left w:val="single" w:sz="6" w:space="0" w:color="C8D6CB"/>
              <w:bottom w:val="single" w:sz="6" w:space="0" w:color="C8D6CB"/>
              <w:right w:val="single" w:sz="6" w:space="0" w:color="C8D6CB"/>
            </w:tcBorders>
            <w:tcMar>
              <w:top w:w="100" w:type="dxa"/>
              <w:left w:w="100" w:type="dxa"/>
              <w:bottom w:w="100" w:type="dxa"/>
              <w:right w:w="100" w:type="dxa"/>
            </w:tcMar>
            <w:vAlign w:val="top"/>
          </w:tcPr>
          <w:p>
            <w:pPr>
              <w:spacing w:before="0" w:after="0" w:line="276" w:lineRule="auto"/>
            </w:pPr>
            <w:r>
              <w:rPr>
                <w:rFonts w:ascii="Arial" w:hAnsi="Arial" w:cs="Arial" w:eastAsia="Arial"/>
                <w:color w:val="000000"/>
                <w:sz w:val="20"/>
                <w:szCs w:val="20"/>
              </w:rPr>
              <w:t xml:space="preserve">Bristol, Avon Valleys and Ridges</w:t>
            </w:r>
          </w:p>
        </w:tc>
      </w:tr>
      <w:tr>
        <w:trPr>
          <w:cantSplit/>
        </w:trPr>
        <w:tc>
          <w:tcPr>
            <w:tcW w:w="2900" w:type="dxa"/>
            <w:tcBorders>
              <w:top w:val="single" w:sz="6" w:space="0" w:color="C8D6CB"/>
              <w:left w:val="single" w:sz="6" w:space="0" w:color="C8D6CB"/>
              <w:bottom w:val="single" w:sz="6" w:space="0" w:color="C8D6CB"/>
              <w:right w:val="single" w:sz="6" w:space="0" w:color="C8D6CB"/>
            </w:tcBorders>
            <w:shd w:val="clear" w:color="auto" w:fill="EEF4EF"/>
            <w:tcMar>
              <w:top w:w="100" w:type="dxa"/>
              <w:left w:w="100" w:type="dxa"/>
              <w:bottom w:w="100" w:type="dxa"/>
              <w:right w:w="100" w:type="dxa"/>
            </w:tcMar>
            <w:vAlign w:val="top"/>
          </w:tcPr>
          <w:p>
            <w:pPr>
              <w:spacing w:before="0" w:after="0" w:line="276" w:lineRule="auto"/>
            </w:pPr>
            <w:r>
              <w:rPr>
                <w:rFonts w:ascii="Arial" w:hAnsi="Arial" w:cs="Arial" w:eastAsia="Arial"/>
                <w:b/>
                <w:bCs/>
                <w:color w:val="000000"/>
                <w:sz w:val="20"/>
                <w:szCs w:val="20"/>
              </w:rPr>
              <w:t xml:space="preserve">Neighbouring councils</w:t>
            </w:r>
          </w:p>
        </w:tc>
        <w:tc>
          <w:tcPr>
            <w:tcW w:w="6126" w:type="dxa"/>
            <w:tcBorders>
              <w:top w:val="single" w:sz="6" w:space="0" w:color="C8D6CB"/>
              <w:left w:val="single" w:sz="6" w:space="0" w:color="C8D6CB"/>
              <w:bottom w:val="single" w:sz="6" w:space="0" w:color="C8D6CB"/>
              <w:right w:val="single" w:sz="6" w:space="0" w:color="C8D6CB"/>
            </w:tcBorders>
            <w:tcMar>
              <w:top w:w="100" w:type="dxa"/>
              <w:left w:w="100" w:type="dxa"/>
              <w:bottom w:w="100" w:type="dxa"/>
              <w:right w:w="100" w:type="dxa"/>
            </w:tcMar>
            <w:vAlign w:val="top"/>
          </w:tcPr>
          <w:p>
            <w:pPr>
              <w:spacing w:before="0" w:after="0" w:line="276" w:lineRule="auto"/>
            </w:pPr>
            <w:r>
              <w:rPr>
                <w:rFonts w:ascii="Arial" w:hAnsi="Arial" w:cs="Arial" w:eastAsia="Arial"/>
                <w:color w:val="000000"/>
                <w:sz w:val="20"/>
                <w:szCs w:val="20"/>
              </w:rPr>
              <w:t xml:space="preserve">Bristol, Somerset, North Somerset, South Gloucestershire, Wiltshire</w:t>
            </w:r>
          </w:p>
        </w:tc>
      </w:tr>
      <w:tr>
        <w:trPr>
          <w:cantSplit/>
        </w:trPr>
        <w:tc>
          <w:tcPr>
            <w:tcW w:w="2900" w:type="dxa"/>
            <w:tcBorders>
              <w:top w:val="single" w:sz="6" w:space="0" w:color="C8D6CB"/>
              <w:left w:val="single" w:sz="6" w:space="0" w:color="C8D6CB"/>
              <w:bottom w:val="single" w:sz="6" w:space="0" w:color="C8D6CB"/>
              <w:right w:val="single" w:sz="6" w:space="0" w:color="C8D6CB"/>
            </w:tcBorders>
            <w:shd w:val="clear" w:color="auto" w:fill="EEF4EF"/>
            <w:tcMar>
              <w:top w:w="100" w:type="dxa"/>
              <w:left w:w="100" w:type="dxa"/>
              <w:bottom w:w="100" w:type="dxa"/>
              <w:right w:w="100" w:type="dxa"/>
            </w:tcMar>
            <w:vAlign w:val="top"/>
          </w:tcPr>
          <w:p>
            <w:pPr>
              <w:spacing w:before="0" w:after="0" w:line="276" w:lineRule="auto"/>
            </w:pPr>
            <w:r>
              <w:rPr>
                <w:rFonts w:ascii="Arial" w:hAnsi="Arial" w:cs="Arial" w:eastAsia="Arial"/>
                <w:b/>
                <w:bCs/>
                <w:color w:val="000000"/>
                <w:sz w:val="20"/>
                <w:szCs w:val="20"/>
              </w:rPr>
              <w:t xml:space="preserve">Neighbouring character areas</w:t>
            </w:r>
          </w:p>
        </w:tc>
        <w:tc>
          <w:tcPr>
            <w:tcW w:w="6126" w:type="dxa"/>
            <w:tcBorders>
              <w:top w:val="single" w:sz="6" w:space="0" w:color="C8D6CB"/>
              <w:left w:val="single" w:sz="6" w:space="0" w:color="C8D6CB"/>
              <w:bottom w:val="single" w:sz="6" w:space="0" w:color="C8D6CB"/>
              <w:right w:val="single" w:sz="6" w:space="0" w:color="C8D6CB"/>
            </w:tcBorders>
            <w:tcMar>
              <w:top w:w="100" w:type="dxa"/>
              <w:left w:w="100" w:type="dxa"/>
              <w:bottom w:w="100" w:type="dxa"/>
              <w:right w:w="100" w:type="dxa"/>
            </w:tcMar>
            <w:vAlign w:val="top"/>
          </w:tcPr>
          <w:p>
            <w:pPr>
              <w:spacing w:before="0" w:after="0" w:line="276" w:lineRule="auto"/>
            </w:pPr>
            <w:r>
              <w:rPr>
                <w:rFonts w:ascii="Arial" w:hAnsi="Arial" w:cs="Arial" w:eastAsia="Arial"/>
                <w:color w:val="000000"/>
                <w:sz w:val="20"/>
                <w:szCs w:val="20"/>
              </w:rPr>
              <w:t xml:space="preserve">Severn and Avon Vales, Cotswolds, Mendip Hills, Somerset Levels and Moors</w:t>
            </w:r>
          </w:p>
        </w:tc>
      </w:tr>
    </w:tbl>
    <w:p>
      <w:pPr>
        <w:pBdr>
          <w:bottom w:val="single" w:sz="6" w:space="4" w:color="C8D6CB"/>
        </w:pBdr>
        <w:spacing w:before="400" w:after="200" w:line="300" w:lineRule="auto"/>
        <w:keepNext/>
      </w:pPr>
      <w:r>
        <w:rPr>
          <w:rFonts w:ascii="Arial" w:hAnsi="Arial" w:cs="Arial" w:eastAsia="Arial"/>
          <w:b/>
          <w:bCs/>
          <w:color w:val="2E5E3A"/>
          <w:sz w:val="26"/>
          <w:szCs w:val="26"/>
        </w:rPr>
        <w:t xml:space="preserve">Full value</w:t>
      </w:r>
      <w:r>
        <w:rPr>
          <w:rFonts w:ascii="Arial" w:hAnsi="Arial" w:cs="Arial" w:eastAsia="Arial"/>
          <w:color w:val="666666"/>
          <w:sz w:val="22"/>
          <w:szCs w:val="22"/>
        </w:rPr>
        <w:t xml:space="preserve">  –  own council and character area (1.0 multiplier)</w:t>
      </w:r>
    </w:p>
    <w:p>
      <w:pPr>
        <w:spacing w:before="220" w:after="80" w:line="320" w:lineRule="auto"/>
        <w:keepNext/>
      </w:pPr>
      <w:r>
        <w:rPr>
          <w:rFonts w:ascii="Arial" w:hAnsi="Arial" w:cs="Arial" w:eastAsia="Arial"/>
          <w:b/>
          <w:bCs/>
          <w:color w:val="2E5E3A"/>
          <w:sz w:val="22"/>
          <w:szCs w:val="22"/>
        </w:rPr>
        <w:t xml:space="preserve">Core districts (32)</w:t>
      </w:r>
    </w:p>
    <w:p>
      <w:pPr>
        <w:spacing w:before="0" w:after="160" w:line="320" w:lineRule="auto"/>
      </w:pPr>
      <w:r>
        <w:rPr>
          <w:rFonts w:ascii="Arial" w:hAnsi="Arial" w:cs="Arial" w:eastAsia="Arial"/>
          <w:color w:val="000000"/>
          <w:sz w:val="22"/>
          <w:szCs w:val="22"/>
        </w:rPr>
        <w:t xml:space="preserve">BA1, BA2, BA3, BS1, BS2, BS3, BS4, BS5, BS6, BS7, BS8, BS9, BS10, BS11, BS13, BS14, BS15, BS16, BS20, BS21, BS30, BS31, BS32, BS34, BS35, BS36, BS37, BS39, BS40, BS41, BS48, GL12</w:t>
      </w:r>
    </w:p>
    <w:p>
      <w:pPr>
        <w:spacing w:before="220" w:after="80" w:line="320" w:lineRule="auto"/>
        <w:keepNext/>
      </w:pPr>
      <w:r>
        <w:rPr>
          <w:rFonts w:ascii="Arial" w:hAnsi="Arial" w:cs="Arial" w:eastAsia="Arial"/>
          <w:b/>
          <w:bCs/>
          <w:color w:val="2E5E3A"/>
          <w:sz w:val="22"/>
          <w:szCs w:val="22"/>
        </w:rPr>
        <w:t xml:space="preserve">Partial (2)</w:t>
      </w:r>
    </w:p>
    <w:p>
      <w:pPr>
        <w:spacing w:before="0" w:after="160" w:line="320" w:lineRule="auto"/>
      </w:pPr>
      <w:r>
        <w:rPr>
          <w:rFonts w:ascii="Arial" w:hAnsi="Arial" w:cs="Arial" w:eastAsia="Arial"/>
          <w:color w:val="000000"/>
          <w:sz w:val="22"/>
          <w:szCs w:val="22"/>
        </w:rPr>
        <w:t xml:space="preserve">BS49 (42%, +58% catchment), BS25 (20%, +80% catchment)</w:t>
      </w:r>
    </w:p>
    <w:p>
      <w:pPr>
        <w:spacing w:before="220" w:after="80" w:line="320" w:lineRule="auto"/>
        <w:keepNext/>
      </w:pPr>
      <w:r>
        <w:rPr>
          <w:rFonts w:ascii="Arial" w:hAnsi="Arial" w:cs="Arial" w:eastAsia="Arial"/>
          <w:b/>
          <w:bCs/>
          <w:color w:val="2E5E3A"/>
          <w:sz w:val="22"/>
          <w:szCs w:val="22"/>
        </w:rPr>
        <w:t xml:space="preserve">Fringe, not recommended (0)</w:t>
      </w:r>
    </w:p>
    <w:p>
      <w:pPr>
        <w:spacing w:before="0" w:after="160" w:line="320" w:lineRule="auto"/>
      </w:pPr>
      <w:r>
        <w:rPr>
          <w:rFonts w:ascii="Arial" w:hAnsi="Arial" w:cs="Arial" w:eastAsia="Arial"/>
          <w:color w:val="000000"/>
          <w:sz w:val="22"/>
          <w:szCs w:val="22"/>
        </w:rPr>
        <w:t xml:space="preserve">none</w:t>
      </w:r>
    </w:p>
    <w:p>
      <w:pPr>
        <w:spacing w:before="220" w:after="80" w:line="320" w:lineRule="auto"/>
        <w:keepNext/>
      </w:pPr>
      <w:r>
        <w:rPr>
          <w:rFonts w:ascii="Arial" w:hAnsi="Arial" w:cs="Arial" w:eastAsia="Arial"/>
          <w:b/>
          <w:bCs/>
          <w:color w:val="2E5E3A"/>
          <w:sz w:val="22"/>
          <w:szCs w:val="22"/>
        </w:rPr>
        <w:t xml:space="preserve">Non-geographic, do not target</w:t>
      </w:r>
    </w:p>
    <w:p>
      <w:pPr>
        <w:spacing w:before="0" w:after="160" w:line="320" w:lineRule="auto"/>
      </w:pPr>
      <w:r>
        <w:rPr>
          <w:rFonts w:ascii="Arial" w:hAnsi="Arial" w:cs="Arial" w:eastAsia="Arial"/>
          <w:color w:val="000000"/>
          <w:sz w:val="22"/>
          <w:szCs w:val="22"/>
        </w:rPr>
        <w:t xml:space="preserve">BS98, BS99</w:t>
      </w:r>
    </w:p>
    <w:p>
      <w:pPr>
        <w:pBdr>
          <w:bottom w:val="single" w:sz="6" w:space="4" w:color="C8D6CB"/>
        </w:pBdr>
        <w:spacing w:before="400" w:after="200" w:line="300" w:lineRule="auto"/>
        <w:keepNext/>
      </w:pPr>
      <w:r>
        <w:rPr>
          <w:rFonts w:ascii="Arial" w:hAnsi="Arial" w:cs="Arial" w:eastAsia="Arial"/>
          <w:b/>
          <w:bCs/>
          <w:color w:val="2E5E3A"/>
          <w:sz w:val="26"/>
          <w:szCs w:val="26"/>
        </w:rPr>
        <w:t xml:space="preserve">Catchment</w:t>
      </w:r>
      <w:r>
        <w:rPr>
          <w:rFonts w:ascii="Arial" w:hAnsi="Arial" w:cs="Arial" w:eastAsia="Arial"/>
          <w:color w:val="666666"/>
          <w:sz w:val="22"/>
          <w:szCs w:val="22"/>
        </w:rPr>
        <w:t xml:space="preserve">  –  neighbouring councils and character areas (0.75 multiplier)</w:t>
      </w:r>
    </w:p>
    <w:p>
      <w:pPr>
        <w:ind w:left="567"/>
        <w:jc w:val="both"/>
        <w:spacing w:before="120" w:after="200" w:line="300" w:lineRule="auto"/>
      </w:pPr>
      <w:r>
        <w:rPr>
          <w:rFonts w:ascii="Arial" w:hAnsi="Arial" w:cs="Arial" w:eastAsia="Arial"/>
          <w:b/>
          <w:bCs/>
          <w:i/>
          <w:iCs/>
          <w:color w:val="666666"/>
          <w:sz w:val="21"/>
          <w:szCs w:val="21"/>
        </w:rPr>
        <w:t xml:space="preserve">Note: </w:t>
      </w:r>
      <w:r>
        <w:rPr>
          <w:rFonts w:ascii="Arial" w:hAnsi="Arial" w:cs="Arial" w:eastAsia="Arial"/>
          <w:i/>
          <w:iCs/>
          <w:color w:val="666666"/>
          <w:sz w:val="21"/>
          <w:szCs w:val="21"/>
        </w:rPr>
        <w:t xml:space="preserve">Somerset and Wiltshire councils bring in parts of Exmoor and the New Forest (mainly TA22, TA23, TA24 and SP5). Those are national park planning areas that don't border Bath and North East Somerset, so strictly they sit outside the 0.75 tier; they are kept because the live map includes them.</w:t>
      </w:r>
    </w:p>
    <w:p>
      <w:pPr>
        <w:ind w:left="567"/>
        <w:jc w:val="both"/>
        <w:spacing w:before="120" w:after="200" w:line="300" w:lineRule="auto"/>
      </w:pPr>
      <w:r>
        <w:rPr>
          <w:rFonts w:ascii="Arial" w:hAnsi="Arial" w:cs="Arial" w:eastAsia="Arial"/>
          <w:b/>
          <w:bCs/>
          <w:i/>
          <w:iCs/>
          <w:color w:val="666666"/>
          <w:sz w:val="21"/>
          <w:szCs w:val="21"/>
        </w:rPr>
        <w:t xml:space="preserve">Note: </w:t>
      </w:r>
      <w:r>
        <w:rPr>
          <w:rFonts w:ascii="Arial" w:hAnsi="Arial" w:cs="Arial" w:eastAsia="Arial"/>
          <w:i/>
          <w:iCs/>
          <w:color w:val="666666"/>
          <w:sz w:val="21"/>
          <w:szCs w:val="21"/>
        </w:rPr>
        <w:t xml:space="preserve">Already full value at another Biofarm bank, so that bank is the better match: Avon Meadows: B50, CV35, CV36, CV37, GL1, GL2, GL3, GL4, GL10, GL13, GL19, GL20, GL50, GL51, GL52, GL53, WR1, WR2, WR3, WR4, WR5, WR7, WR8, WR9, WR10, WR11, WR12, WR14; Rycote Farm: OX5, OX18, OX26, OX29, SN4, SN5, SN6.</w:t>
      </w:r>
    </w:p>
    <w:p>
      <w:pPr>
        <w:spacing w:before="220" w:after="80" w:line="320" w:lineRule="auto"/>
        <w:keepNext/>
      </w:pPr>
      <w:r>
        <w:rPr>
          <w:rFonts w:ascii="Arial" w:hAnsi="Arial" w:cs="Arial" w:eastAsia="Arial"/>
          <w:b/>
          <w:bCs/>
          <w:color w:val="2E5E3A"/>
          <w:sz w:val="22"/>
          <w:szCs w:val="22"/>
        </w:rPr>
        <w:t xml:space="preserve">Core districts (103)</w:t>
      </w:r>
    </w:p>
    <w:p>
      <w:pPr>
        <w:spacing w:before="0" w:after="160" w:line="320" w:lineRule="auto"/>
      </w:pPr>
      <w:r>
        <w:rPr>
          <w:rFonts w:ascii="Arial" w:hAnsi="Arial" w:cs="Arial" w:eastAsia="Arial"/>
          <w:color w:val="000000"/>
          <w:sz w:val="22"/>
          <w:szCs w:val="22"/>
        </w:rPr>
        <w:t xml:space="preserve">B50, BA4, BA5, BA6, BA7, BA8, BA9, BA10, BA11, BA12, BA13, BA14, BA15, BA16, BA20, BA21, BA22, BS22, BS23, BS24, BS26, BS27, BS28, BS29, CV37, GL1, GL2, GL3, GL4, GL5, GL6, GL7, GL8, GL9, GL10, GL11, GL13, GL19, GL20, GL50, GL51, GL52, GL53, GL54, GL55, GL56, NN13, OX7, OX15, OX20, OX25, SN4, SN8, SN9, SN10, SN11, SN12, SN13, SN14, SN15, SN16, SP1, SP2, SP3, SP4, SP5, SP9, TA1, TA2, TA3, TA4, TA5, TA6, TA7, TA8, TA9, TA10, TA11, TA12, TA13, TA14, TA15, TA16, TA17, TA18, TA19, TA20, TA21, TA22, TA23, TA24, WR1, WR2, WR3, WR4, WR5, WR7, WR8, WR9, WR10, WR11, WR12, WR14</w:t>
      </w:r>
    </w:p>
    <w:p>
      <w:pPr>
        <w:spacing w:before="220" w:after="80" w:line="320" w:lineRule="auto"/>
        <w:keepNext/>
      </w:pPr>
      <w:r>
        <w:rPr>
          <w:rFonts w:ascii="Arial" w:hAnsi="Arial" w:cs="Arial" w:eastAsia="Arial"/>
          <w:b/>
          <w:bCs/>
          <w:color w:val="2E5E3A"/>
          <w:sz w:val="22"/>
          <w:szCs w:val="22"/>
        </w:rPr>
        <w:t xml:space="preserve">Partial (19)</w:t>
      </w:r>
    </w:p>
    <w:p>
      <w:pPr>
        <w:spacing w:before="0" w:after="160" w:line="320" w:lineRule="auto"/>
      </w:pPr>
      <w:r>
        <w:rPr>
          <w:rFonts w:ascii="Arial" w:hAnsi="Arial" w:cs="Arial" w:eastAsia="Arial"/>
          <w:color w:val="000000"/>
          <w:sz w:val="22"/>
          <w:szCs w:val="22"/>
        </w:rPr>
        <w:t xml:space="preserve">OX27 (47%), WR13 (45%), OX18 (36%), WR6 (33%), B60 (30%), SN6 (30%), B96 (27%), CV36 (27%), OX29 (26%), SN5 (25%), SP7 (24%), CV35 (23%), OX17 (21%), SP11 (18%), GL14 (18%), DT9 (17%), OX26 (14%), OX5 (12%), NP16 (10%)</w:t>
      </w:r>
    </w:p>
    <w:p>
      <w:pPr>
        <w:spacing w:before="220" w:after="80" w:line="320" w:lineRule="auto"/>
        <w:keepNext/>
      </w:pPr>
      <w:r>
        <w:rPr>
          <w:rFonts w:ascii="Arial" w:hAnsi="Arial" w:cs="Arial" w:eastAsia="Arial"/>
          <w:b/>
          <w:bCs/>
          <w:color w:val="2E5E3A"/>
          <w:sz w:val="22"/>
          <w:szCs w:val="22"/>
        </w:rPr>
        <w:t xml:space="preserve">Fringe, not recommended (22)</w:t>
      </w:r>
    </w:p>
    <w:p>
      <w:pPr>
        <w:spacing w:before="0" w:after="160" w:line="320" w:lineRule="auto"/>
      </w:pPr>
      <w:r>
        <w:rPr>
          <w:rFonts w:ascii="Arial" w:hAnsi="Arial" w:cs="Arial" w:eastAsia="Arial"/>
          <w:color w:val="000000"/>
          <w:sz w:val="22"/>
          <w:szCs w:val="22"/>
        </w:rPr>
        <w:t xml:space="preserve">B49, B61, RG17, GL15, GL18, B97, DY13, DY10, HR8, EX35, CV34, DT8, EX36, SO51, EX16, DT10, GL17, EX13, SP6, SN25, EX14, OX16</w:t>
      </w:r>
    </w:p>
    <w:p>
      <w:pPr>
        <w:spacing w:before="220" w:after="80" w:line="320" w:lineRule="auto"/>
        <w:keepNext/>
      </w:pPr>
      <w:r>
        <w:rPr>
          <w:rFonts w:ascii="Arial" w:hAnsi="Arial" w:cs="Arial" w:eastAsia="Arial"/>
          <w:b/>
          <w:bCs/>
          <w:color w:val="2E5E3A"/>
          <w:sz w:val="22"/>
          <w:szCs w:val="22"/>
        </w:rPr>
        <w:t xml:space="preserve">Non-geographic, do not target</w:t>
      </w:r>
    </w:p>
    <w:p>
      <w:pPr>
        <w:spacing w:before="0" w:after="160" w:line="320" w:lineRule="auto"/>
      </w:pPr>
      <w:r>
        <w:rPr>
          <w:rFonts w:ascii="Arial" w:hAnsi="Arial" w:cs="Arial" w:eastAsia="Arial"/>
          <w:color w:val="000000"/>
          <w:sz w:val="22"/>
          <w:szCs w:val="22"/>
        </w:rPr>
        <w:t xml:space="preserve">WR99</w:t>
      </w:r>
    </w:p>
    <w:p>
      <w:pPr>
        <w:pageBreakBefore/>
        <w:pBdr>
          <w:bottom w:val="single" w:sz="6" w:space="4" w:color="C8D6CB"/>
        </w:pBdr>
        <w:spacing w:before="0" w:after="280" w:line="276" w:lineRule="auto"/>
        <w:keepNext/>
      </w:pPr>
      <w:r>
        <w:rPr>
          <w:rFonts w:ascii="Arial" w:hAnsi="Arial" w:cs="Arial" w:eastAsia="Arial"/>
          <w:b/>
          <w:bCs/>
          <w:color w:val="2E5E3A"/>
          <w:sz w:val="34"/>
          <w:szCs w:val="34"/>
        </w:rPr>
        <w:t xml:space="preserve">Rycote Farm</w:t>
      </w:r>
    </w:p>
    <w:tbl>
      <w:tblPr>
        <w:tblW w:w="9026" w:type="dxa"/>
        <w:tblLayout w:type="fixed"/>
        <w:tblBorders>
          <w:top w:val="single" w:sz="6" w:space="0" w:color="C8D6CB"/>
          <w:left w:val="single" w:sz="6" w:space="0" w:color="C8D6CB"/>
          <w:bottom w:val="single" w:sz="6" w:space="0" w:color="C8D6CB"/>
          <w:right w:val="single" w:sz="6" w:space="0" w:color="C8D6CB"/>
          <w:insideH w:val="single" w:sz="6" w:space="0" w:color="C8D6CB"/>
          <w:insideV w:val="single" w:sz="6" w:space="0" w:color="C8D6CB"/>
        </w:tblBorders>
      </w:tblPr>
      <w:tblGrid>
        <w:gridCol w:w="2900"/>
        <w:gridCol w:w="6126"/>
      </w:tblGrid>
      <w:tr>
        <w:trPr>
          <w:cantSplit/>
        </w:trPr>
        <w:tc>
          <w:tcPr>
            <w:tcW w:w="2900" w:type="dxa"/>
            <w:tcBorders>
              <w:top w:val="single" w:sz="6" w:space="0" w:color="C8D6CB"/>
              <w:left w:val="single" w:sz="6" w:space="0" w:color="C8D6CB"/>
              <w:bottom w:val="single" w:sz="6" w:space="0" w:color="C8D6CB"/>
              <w:right w:val="single" w:sz="6" w:space="0" w:color="C8D6CB"/>
            </w:tcBorders>
            <w:shd w:val="clear" w:color="auto" w:fill="EEF4EF"/>
            <w:tcMar>
              <w:top w:w="100" w:type="dxa"/>
              <w:left w:w="100" w:type="dxa"/>
              <w:bottom w:w="100" w:type="dxa"/>
              <w:right w:w="100" w:type="dxa"/>
            </w:tcMar>
            <w:vAlign w:val="top"/>
          </w:tcPr>
          <w:p>
            <w:pPr>
              <w:spacing w:before="0" w:after="0" w:line="276" w:lineRule="auto"/>
            </w:pPr>
            <w:r>
              <w:rPr>
                <w:rFonts w:ascii="Arial" w:hAnsi="Arial" w:cs="Arial" w:eastAsia="Arial"/>
                <w:b/>
                <w:bCs/>
                <w:color w:val="000000"/>
                <w:sz w:val="20"/>
                <w:szCs w:val="20"/>
              </w:rPr>
              <w:t xml:space="preserve">Site postcode</w:t>
            </w:r>
          </w:p>
        </w:tc>
        <w:tc>
          <w:tcPr>
            <w:tcW w:w="6126" w:type="dxa"/>
            <w:tcBorders>
              <w:top w:val="single" w:sz="6" w:space="0" w:color="C8D6CB"/>
              <w:left w:val="single" w:sz="6" w:space="0" w:color="C8D6CB"/>
              <w:bottom w:val="single" w:sz="6" w:space="0" w:color="C8D6CB"/>
              <w:right w:val="single" w:sz="6" w:space="0" w:color="C8D6CB"/>
            </w:tcBorders>
            <w:tcMar>
              <w:top w:w="100" w:type="dxa"/>
              <w:left w:w="100" w:type="dxa"/>
              <w:bottom w:w="100" w:type="dxa"/>
              <w:right w:w="100" w:type="dxa"/>
            </w:tcMar>
            <w:vAlign w:val="top"/>
          </w:tcPr>
          <w:p>
            <w:pPr>
              <w:spacing w:before="0" w:after="0" w:line="276" w:lineRule="auto"/>
            </w:pPr>
            <w:r>
              <w:rPr>
                <w:rFonts w:ascii="Arial" w:hAnsi="Arial" w:cs="Arial" w:eastAsia="Arial"/>
                <w:color w:val="000000"/>
                <w:sz w:val="20"/>
                <w:szCs w:val="20"/>
              </w:rPr>
              <w:t xml:space="preserve">OX9 2PF</w:t>
            </w:r>
          </w:p>
        </w:tc>
      </w:tr>
      <w:tr>
        <w:trPr>
          <w:cantSplit/>
        </w:trPr>
        <w:tc>
          <w:tcPr>
            <w:tcW w:w="2900" w:type="dxa"/>
            <w:tcBorders>
              <w:top w:val="single" w:sz="6" w:space="0" w:color="C8D6CB"/>
              <w:left w:val="single" w:sz="6" w:space="0" w:color="C8D6CB"/>
              <w:bottom w:val="single" w:sz="6" w:space="0" w:color="C8D6CB"/>
              <w:right w:val="single" w:sz="6" w:space="0" w:color="C8D6CB"/>
            </w:tcBorders>
            <w:shd w:val="clear" w:color="auto" w:fill="EEF4EF"/>
            <w:tcMar>
              <w:top w:w="100" w:type="dxa"/>
              <w:left w:w="100" w:type="dxa"/>
              <w:bottom w:w="100" w:type="dxa"/>
              <w:right w:w="100" w:type="dxa"/>
            </w:tcMar>
            <w:vAlign w:val="top"/>
          </w:tcPr>
          <w:p>
            <w:pPr>
              <w:spacing w:before="0" w:after="0" w:line="276" w:lineRule="auto"/>
            </w:pPr>
            <w:r>
              <w:rPr>
                <w:rFonts w:ascii="Arial" w:hAnsi="Arial" w:cs="Arial" w:eastAsia="Arial"/>
                <w:b/>
                <w:bCs/>
                <w:color w:val="000000"/>
                <w:sz w:val="20"/>
                <w:szCs w:val="20"/>
              </w:rPr>
              <w:t xml:space="preserve">Local planning authority</w:t>
            </w:r>
          </w:p>
        </w:tc>
        <w:tc>
          <w:tcPr>
            <w:tcW w:w="6126" w:type="dxa"/>
            <w:tcBorders>
              <w:top w:val="single" w:sz="6" w:space="0" w:color="C8D6CB"/>
              <w:left w:val="single" w:sz="6" w:space="0" w:color="C8D6CB"/>
              <w:bottom w:val="single" w:sz="6" w:space="0" w:color="C8D6CB"/>
              <w:right w:val="single" w:sz="6" w:space="0" w:color="C8D6CB"/>
            </w:tcBorders>
            <w:tcMar>
              <w:top w:w="100" w:type="dxa"/>
              <w:left w:w="100" w:type="dxa"/>
              <w:bottom w:w="100" w:type="dxa"/>
              <w:right w:w="100" w:type="dxa"/>
            </w:tcMar>
            <w:vAlign w:val="top"/>
          </w:tcPr>
          <w:p>
            <w:pPr>
              <w:spacing w:before="0" w:after="0" w:line="276" w:lineRule="auto"/>
            </w:pPr>
            <w:r>
              <w:rPr>
                <w:rFonts w:ascii="Arial" w:hAnsi="Arial" w:cs="Arial" w:eastAsia="Arial"/>
                <w:color w:val="000000"/>
                <w:sz w:val="20"/>
                <w:szCs w:val="20"/>
              </w:rPr>
              <w:t xml:space="preserve">South Oxfordshire District Council</w:t>
            </w:r>
          </w:p>
        </w:tc>
      </w:tr>
      <w:tr>
        <w:trPr>
          <w:cantSplit/>
        </w:trPr>
        <w:tc>
          <w:tcPr>
            <w:tcW w:w="2900" w:type="dxa"/>
            <w:tcBorders>
              <w:top w:val="single" w:sz="6" w:space="0" w:color="C8D6CB"/>
              <w:left w:val="single" w:sz="6" w:space="0" w:color="C8D6CB"/>
              <w:bottom w:val="single" w:sz="6" w:space="0" w:color="C8D6CB"/>
              <w:right w:val="single" w:sz="6" w:space="0" w:color="C8D6CB"/>
            </w:tcBorders>
            <w:shd w:val="clear" w:color="auto" w:fill="EEF4EF"/>
            <w:tcMar>
              <w:top w:w="100" w:type="dxa"/>
              <w:left w:w="100" w:type="dxa"/>
              <w:bottom w:w="100" w:type="dxa"/>
              <w:right w:w="100" w:type="dxa"/>
            </w:tcMar>
            <w:vAlign w:val="top"/>
          </w:tcPr>
          <w:p>
            <w:pPr>
              <w:spacing w:before="0" w:after="0" w:line="276" w:lineRule="auto"/>
            </w:pPr>
            <w:r>
              <w:rPr>
                <w:rFonts w:ascii="Arial" w:hAnsi="Arial" w:cs="Arial" w:eastAsia="Arial"/>
                <w:b/>
                <w:bCs/>
                <w:color w:val="000000"/>
                <w:sz w:val="20"/>
                <w:szCs w:val="20"/>
              </w:rPr>
              <w:t xml:space="preserve">National Character Area</w:t>
            </w:r>
          </w:p>
        </w:tc>
        <w:tc>
          <w:tcPr>
            <w:tcW w:w="6126" w:type="dxa"/>
            <w:tcBorders>
              <w:top w:val="single" w:sz="6" w:space="0" w:color="C8D6CB"/>
              <w:left w:val="single" w:sz="6" w:space="0" w:color="C8D6CB"/>
              <w:bottom w:val="single" w:sz="6" w:space="0" w:color="C8D6CB"/>
              <w:right w:val="single" w:sz="6" w:space="0" w:color="C8D6CB"/>
            </w:tcBorders>
            <w:tcMar>
              <w:top w:w="100" w:type="dxa"/>
              <w:left w:w="100" w:type="dxa"/>
              <w:bottom w:w="100" w:type="dxa"/>
              <w:right w:w="100" w:type="dxa"/>
            </w:tcMar>
            <w:vAlign w:val="top"/>
          </w:tcPr>
          <w:p>
            <w:pPr>
              <w:spacing w:before="0" w:after="0" w:line="276" w:lineRule="auto"/>
            </w:pPr>
            <w:r>
              <w:rPr>
                <w:rFonts w:ascii="Arial" w:hAnsi="Arial" w:cs="Arial" w:eastAsia="Arial"/>
                <w:color w:val="000000"/>
                <w:sz w:val="20"/>
                <w:szCs w:val="20"/>
              </w:rPr>
              <w:t xml:space="preserve">Upper Thames Clay Vales</w:t>
            </w:r>
          </w:p>
        </w:tc>
      </w:tr>
      <w:tr>
        <w:trPr>
          <w:cantSplit/>
        </w:trPr>
        <w:tc>
          <w:tcPr>
            <w:tcW w:w="2900" w:type="dxa"/>
            <w:tcBorders>
              <w:top w:val="single" w:sz="6" w:space="0" w:color="C8D6CB"/>
              <w:left w:val="single" w:sz="6" w:space="0" w:color="C8D6CB"/>
              <w:bottom w:val="single" w:sz="6" w:space="0" w:color="C8D6CB"/>
              <w:right w:val="single" w:sz="6" w:space="0" w:color="C8D6CB"/>
            </w:tcBorders>
            <w:shd w:val="clear" w:color="auto" w:fill="EEF4EF"/>
            <w:tcMar>
              <w:top w:w="100" w:type="dxa"/>
              <w:left w:w="100" w:type="dxa"/>
              <w:bottom w:w="100" w:type="dxa"/>
              <w:right w:w="100" w:type="dxa"/>
            </w:tcMar>
            <w:vAlign w:val="top"/>
          </w:tcPr>
          <w:p>
            <w:pPr>
              <w:spacing w:before="0" w:after="0" w:line="276" w:lineRule="auto"/>
            </w:pPr>
            <w:r>
              <w:rPr>
                <w:rFonts w:ascii="Arial" w:hAnsi="Arial" w:cs="Arial" w:eastAsia="Arial"/>
                <w:b/>
                <w:bCs/>
                <w:color w:val="000000"/>
                <w:sz w:val="20"/>
                <w:szCs w:val="20"/>
              </w:rPr>
              <w:t xml:space="preserve">Neighbouring councils</w:t>
            </w:r>
          </w:p>
        </w:tc>
        <w:tc>
          <w:tcPr>
            <w:tcW w:w="6126" w:type="dxa"/>
            <w:tcBorders>
              <w:top w:val="single" w:sz="6" w:space="0" w:color="C8D6CB"/>
              <w:left w:val="single" w:sz="6" w:space="0" w:color="C8D6CB"/>
              <w:bottom w:val="single" w:sz="6" w:space="0" w:color="C8D6CB"/>
              <w:right w:val="single" w:sz="6" w:space="0" w:color="C8D6CB"/>
            </w:tcBorders>
            <w:tcMar>
              <w:top w:w="100" w:type="dxa"/>
              <w:left w:w="100" w:type="dxa"/>
              <w:bottom w:w="100" w:type="dxa"/>
              <w:right w:w="100" w:type="dxa"/>
            </w:tcMar>
            <w:vAlign w:val="top"/>
          </w:tcPr>
          <w:p>
            <w:pPr>
              <w:spacing w:before="0" w:after="0" w:line="276" w:lineRule="auto"/>
            </w:pPr>
            <w:r>
              <w:rPr>
                <w:rFonts w:ascii="Arial" w:hAnsi="Arial" w:cs="Arial" w:eastAsia="Arial"/>
                <w:color w:val="000000"/>
                <w:sz w:val="20"/>
                <w:szCs w:val="20"/>
              </w:rPr>
              <w:t xml:space="preserve">Oxford, West Berkshire, Reading, Wokingham, Cherwell, Vale of White Horse, Buckinghamshire</w:t>
            </w:r>
          </w:p>
        </w:tc>
      </w:tr>
      <w:tr>
        <w:trPr>
          <w:cantSplit/>
        </w:trPr>
        <w:tc>
          <w:tcPr>
            <w:tcW w:w="2900" w:type="dxa"/>
            <w:tcBorders>
              <w:top w:val="single" w:sz="6" w:space="0" w:color="C8D6CB"/>
              <w:left w:val="single" w:sz="6" w:space="0" w:color="C8D6CB"/>
              <w:bottom w:val="single" w:sz="6" w:space="0" w:color="C8D6CB"/>
              <w:right w:val="single" w:sz="6" w:space="0" w:color="C8D6CB"/>
            </w:tcBorders>
            <w:shd w:val="clear" w:color="auto" w:fill="EEF4EF"/>
            <w:tcMar>
              <w:top w:w="100" w:type="dxa"/>
              <w:left w:w="100" w:type="dxa"/>
              <w:bottom w:w="100" w:type="dxa"/>
              <w:right w:w="100" w:type="dxa"/>
            </w:tcMar>
            <w:vAlign w:val="top"/>
          </w:tcPr>
          <w:p>
            <w:pPr>
              <w:spacing w:before="0" w:after="0" w:line="276" w:lineRule="auto"/>
            </w:pPr>
            <w:r>
              <w:rPr>
                <w:rFonts w:ascii="Arial" w:hAnsi="Arial" w:cs="Arial" w:eastAsia="Arial"/>
                <w:b/>
                <w:bCs/>
                <w:color w:val="000000"/>
                <w:sz w:val="20"/>
                <w:szCs w:val="20"/>
              </w:rPr>
              <w:t xml:space="preserve">Neighbouring character areas</w:t>
            </w:r>
          </w:p>
        </w:tc>
        <w:tc>
          <w:tcPr>
            <w:tcW w:w="6126" w:type="dxa"/>
            <w:tcBorders>
              <w:top w:val="single" w:sz="6" w:space="0" w:color="C8D6CB"/>
              <w:left w:val="single" w:sz="6" w:space="0" w:color="C8D6CB"/>
              <w:bottom w:val="single" w:sz="6" w:space="0" w:color="C8D6CB"/>
              <w:right w:val="single" w:sz="6" w:space="0" w:color="C8D6CB"/>
            </w:tcBorders>
            <w:tcMar>
              <w:top w:w="100" w:type="dxa"/>
              <w:left w:w="100" w:type="dxa"/>
              <w:bottom w:w="100" w:type="dxa"/>
              <w:right w:w="100" w:type="dxa"/>
            </w:tcMar>
            <w:vAlign w:val="top"/>
          </w:tcPr>
          <w:p>
            <w:pPr>
              <w:spacing w:before="0" w:after="0" w:line="276" w:lineRule="auto"/>
            </w:pPr>
            <w:r>
              <w:rPr>
                <w:rFonts w:ascii="Arial" w:hAnsi="Arial" w:cs="Arial" w:eastAsia="Arial"/>
                <w:color w:val="000000"/>
                <w:sz w:val="20"/>
                <w:szCs w:val="20"/>
              </w:rPr>
              <w:t xml:space="preserve">Bedfordshire and Cambridgeshire Claylands, Cotswolds, Midvale Ridge, Chilterns, Berkshire and Marlborough Downs, Avon Vales</w:t>
            </w:r>
          </w:p>
        </w:tc>
      </w:tr>
    </w:tbl>
    <w:p>
      <w:pPr>
        <w:pBdr>
          <w:bottom w:val="single" w:sz="6" w:space="4" w:color="C8D6CB"/>
        </w:pBdr>
        <w:spacing w:before="400" w:after="200" w:line="300" w:lineRule="auto"/>
        <w:keepNext/>
      </w:pPr>
      <w:r>
        <w:rPr>
          <w:rFonts w:ascii="Arial" w:hAnsi="Arial" w:cs="Arial" w:eastAsia="Arial"/>
          <w:b/>
          <w:bCs/>
          <w:color w:val="2E5E3A"/>
          <w:sz w:val="26"/>
          <w:szCs w:val="26"/>
        </w:rPr>
        <w:t xml:space="preserve">Full value</w:t>
      </w:r>
      <w:r>
        <w:rPr>
          <w:rFonts w:ascii="Arial" w:hAnsi="Arial" w:cs="Arial" w:eastAsia="Arial"/>
          <w:color w:val="666666"/>
          <w:sz w:val="22"/>
          <w:szCs w:val="22"/>
        </w:rPr>
        <w:t xml:space="preserve">  –  own council and character area (1.0 multiplier)</w:t>
      </w:r>
    </w:p>
    <w:p>
      <w:pPr>
        <w:spacing w:before="220" w:after="80" w:line="320" w:lineRule="auto"/>
        <w:keepNext/>
      </w:pPr>
      <w:r>
        <w:rPr>
          <w:rFonts w:ascii="Arial" w:hAnsi="Arial" w:cs="Arial" w:eastAsia="Arial"/>
          <w:b/>
          <w:bCs/>
          <w:color w:val="2E5E3A"/>
          <w:sz w:val="22"/>
          <w:szCs w:val="22"/>
        </w:rPr>
        <w:t xml:space="preserve">Core districts (28)</w:t>
      </w:r>
    </w:p>
    <w:p>
      <w:pPr>
        <w:spacing w:before="0" w:after="160" w:line="320" w:lineRule="auto"/>
      </w:pPr>
      <w:r>
        <w:rPr>
          <w:rFonts w:ascii="Arial" w:hAnsi="Arial" w:cs="Arial" w:eastAsia="Arial"/>
          <w:color w:val="000000"/>
          <w:sz w:val="22"/>
          <w:szCs w:val="22"/>
        </w:rPr>
        <w:t xml:space="preserve">HP17, HP18, HP19, HP20, HP21, HP27, OX1, OX2, OX5, OX9, OX10, OX11, OX12, OX14, OX18, OX26, OX28, OX29, OX33, OX39, OX44, OX49, RG9, SN2, SN4, SN5, SN6, SN7</w:t>
      </w:r>
    </w:p>
    <w:p>
      <w:pPr>
        <w:spacing w:before="220" w:after="80" w:line="320" w:lineRule="auto"/>
        <w:keepNext/>
      </w:pPr>
      <w:r>
        <w:rPr>
          <w:rFonts w:ascii="Arial" w:hAnsi="Arial" w:cs="Arial" w:eastAsia="Arial"/>
          <w:b/>
          <w:bCs/>
          <w:color w:val="2E5E3A"/>
          <w:sz w:val="22"/>
          <w:szCs w:val="22"/>
        </w:rPr>
        <w:t xml:space="preserve">Partial (14)</w:t>
      </w:r>
    </w:p>
    <w:p>
      <w:pPr>
        <w:spacing w:before="0" w:after="160" w:line="320" w:lineRule="auto"/>
      </w:pPr>
      <w:r>
        <w:rPr>
          <w:rFonts w:ascii="Arial" w:hAnsi="Arial" w:cs="Arial" w:eastAsia="Arial"/>
          <w:color w:val="000000"/>
          <w:sz w:val="22"/>
          <w:szCs w:val="22"/>
        </w:rPr>
        <w:t xml:space="preserve">RG8 (49%, +51% catchment), OX25 (48%, +52% catchment), OX27 (42%, +58% catchment), GL7 (39%, +61% catchment), OX13 (38%, +62% catchment), HP22 (35%, +65% catchment), SN25 (29%, +71% catchment), MK18 (28%, +72% catchment), SN16 (26%, +74% catchment), RG4 (25%, +75% catchment), OX20 (23%, +77% catchment), SN26 (18%, +82% catchment), SN1 (17%, +83% catchment), SN3 (15%, +85% catchment)</w:t>
      </w:r>
    </w:p>
    <w:p>
      <w:pPr>
        <w:spacing w:before="220" w:after="80" w:line="320" w:lineRule="auto"/>
        <w:keepNext/>
      </w:pPr>
      <w:r>
        <w:rPr>
          <w:rFonts w:ascii="Arial" w:hAnsi="Arial" w:cs="Arial" w:eastAsia="Arial"/>
          <w:b/>
          <w:bCs/>
          <w:color w:val="2E5E3A"/>
          <w:sz w:val="22"/>
          <w:szCs w:val="22"/>
        </w:rPr>
        <w:t xml:space="preserve">Fringe, not recommended (0)</w:t>
      </w:r>
    </w:p>
    <w:p>
      <w:pPr>
        <w:spacing w:before="0" w:after="160" w:line="320" w:lineRule="auto"/>
      </w:pPr>
      <w:r>
        <w:rPr>
          <w:rFonts w:ascii="Arial" w:hAnsi="Arial" w:cs="Arial" w:eastAsia="Arial"/>
          <w:color w:val="000000"/>
          <w:sz w:val="22"/>
          <w:szCs w:val="22"/>
        </w:rPr>
        <w:t xml:space="preserve">none</w:t>
      </w:r>
    </w:p>
    <w:p>
      <w:pPr>
        <w:spacing w:before="220" w:after="80" w:line="320" w:lineRule="auto"/>
        <w:keepNext/>
      </w:pPr>
      <w:r>
        <w:rPr>
          <w:rFonts w:ascii="Arial" w:hAnsi="Arial" w:cs="Arial" w:eastAsia="Arial"/>
          <w:b/>
          <w:bCs/>
          <w:color w:val="2E5E3A"/>
          <w:sz w:val="22"/>
          <w:szCs w:val="22"/>
        </w:rPr>
        <w:t xml:space="preserve">Non-geographic, do not target</w:t>
      </w:r>
    </w:p>
    <w:p>
      <w:pPr>
        <w:spacing w:before="0" w:after="160" w:line="320" w:lineRule="auto"/>
      </w:pPr>
      <w:r>
        <w:rPr>
          <w:rFonts w:ascii="Arial" w:hAnsi="Arial" w:cs="Arial" w:eastAsia="Arial"/>
          <w:color w:val="000000"/>
          <w:sz w:val="22"/>
          <w:szCs w:val="22"/>
        </w:rPr>
        <w:t xml:space="preserve">SN38, SN99</w:t>
      </w:r>
    </w:p>
    <w:p>
      <w:pPr>
        <w:pBdr>
          <w:bottom w:val="single" w:sz="6" w:space="4" w:color="C8D6CB"/>
        </w:pBdr>
        <w:spacing w:before="400" w:after="200" w:line="300" w:lineRule="auto"/>
        <w:keepNext/>
      </w:pPr>
      <w:r>
        <w:rPr>
          <w:rFonts w:ascii="Arial" w:hAnsi="Arial" w:cs="Arial" w:eastAsia="Arial"/>
          <w:b/>
          <w:bCs/>
          <w:color w:val="2E5E3A"/>
          <w:sz w:val="26"/>
          <w:szCs w:val="26"/>
        </w:rPr>
        <w:t xml:space="preserve">Catchment</w:t>
      </w:r>
      <w:r>
        <w:rPr>
          <w:rFonts w:ascii="Arial" w:hAnsi="Arial" w:cs="Arial" w:eastAsia="Arial"/>
          <w:color w:val="666666"/>
          <w:sz w:val="22"/>
          <w:szCs w:val="22"/>
        </w:rPr>
        <w:t xml:space="preserve">  –  neighbouring councils and character areas (0.75 multiplier)</w:t>
      </w:r>
    </w:p>
    <w:p>
      <w:pPr>
        <w:ind w:left="567"/>
        <w:jc w:val="both"/>
        <w:spacing w:before="120" w:after="200" w:line="300" w:lineRule="auto"/>
      </w:pPr>
      <w:r>
        <w:rPr>
          <w:rFonts w:ascii="Arial" w:hAnsi="Arial" w:cs="Arial" w:eastAsia="Arial"/>
          <w:b/>
          <w:bCs/>
          <w:i/>
          <w:iCs/>
          <w:color w:val="666666"/>
          <w:sz w:val="21"/>
          <w:szCs w:val="21"/>
        </w:rPr>
        <w:t xml:space="preserve">Note: </w:t>
      </w:r>
      <w:r>
        <w:rPr>
          <w:rFonts w:ascii="Arial" w:hAnsi="Arial" w:cs="Arial" w:eastAsia="Arial"/>
          <w:i/>
          <w:iCs/>
          <w:color w:val="666666"/>
          <w:sz w:val="21"/>
          <w:szCs w:val="21"/>
        </w:rPr>
        <w:t xml:space="preserve">Already full value at another Biofarm bank, so that bank is the better match: Sleight Farm: BA1, BA2, GL12; Avon Meadows: CV36, GL10, GL52, WR12.</w:t>
      </w:r>
    </w:p>
    <w:p>
      <w:pPr>
        <w:spacing w:before="220" w:after="80" w:line="320" w:lineRule="auto"/>
        <w:keepNext/>
      </w:pPr>
      <w:r>
        <w:rPr>
          <w:rFonts w:ascii="Arial" w:hAnsi="Arial" w:cs="Arial" w:eastAsia="Arial"/>
          <w:b/>
          <w:bCs/>
          <w:color w:val="2E5E3A"/>
          <w:sz w:val="22"/>
          <w:szCs w:val="22"/>
        </w:rPr>
        <w:t xml:space="preserve">Core districts (122)</w:t>
      </w:r>
    </w:p>
    <w:p>
      <w:pPr>
        <w:spacing w:before="0" w:after="160" w:line="320" w:lineRule="auto"/>
      </w:pPr>
      <w:r>
        <w:rPr>
          <w:rFonts w:ascii="Arial" w:hAnsi="Arial" w:cs="Arial" w:eastAsia="Arial"/>
          <w:color w:val="000000"/>
          <w:sz w:val="22"/>
          <w:szCs w:val="22"/>
        </w:rPr>
        <w:t xml:space="preserve">AL3, AL5, AL6, BA1, BA2, BA11, BA13, BA14, BA15, CB1, CB2, CB3, CB4, CB5, CB23, CB24, GL5, GL6, GL8, GL9, GL11, GL54, GL55, GL56, HP1, HP2, HP3, HP4, HP5, HP6, HP7, HP8, HP9, HP10, HP11, HP12, HP13, HP14, HP15, HP16, HP23, LU1, LU2, LU3, LU4, LU5, LU6, MK1, MK2, MK3, MK4, MK5, MK6, MK7, MK8, MK9, MK10, MK11, MK12, MK13, MK14, MK15, MK16, MK17, MK19, MK20, MK40, MK41, MK42, MK43, MK44, MK46, NN13, OX3, OX4, OX7, OX15, OX16, PE1, PE2, PE3, PE4, PE7, PE19, PE26, PE27, PE28, PE29, RG1, RG2, RG5, RG6, RG7, RG10, RG14, RG17, RG18, RG19, RG20, RG30, RG31, RG40, RG41, SG4, SG5, SG16, SG17, SG18, SL0, SL7, SL8, SL9, SN8, SN9, SN10, SN11, SN12, SN13, SN14, SN15, UB9, WD4</w:t>
      </w:r>
    </w:p>
    <w:p>
      <w:pPr>
        <w:spacing w:before="220" w:after="80" w:line="320" w:lineRule="auto"/>
        <w:keepNext/>
      </w:pPr>
      <w:r>
        <w:rPr>
          <w:rFonts w:ascii="Arial" w:hAnsi="Arial" w:cs="Arial" w:eastAsia="Arial"/>
          <w:b/>
          <w:bCs/>
          <w:color w:val="2E5E3A"/>
          <w:sz w:val="22"/>
          <w:szCs w:val="22"/>
        </w:rPr>
        <w:t xml:space="preserve">Partial (22)</w:t>
      </w:r>
    </w:p>
    <w:p>
      <w:pPr>
        <w:spacing w:before="0" w:after="160" w:line="320" w:lineRule="auto"/>
      </w:pPr>
      <w:r>
        <w:rPr>
          <w:rFonts w:ascii="Arial" w:hAnsi="Arial" w:cs="Arial" w:eastAsia="Arial"/>
          <w:color w:val="000000"/>
          <w:sz w:val="22"/>
          <w:szCs w:val="22"/>
        </w:rPr>
        <w:t xml:space="preserve">OX17 (47%), AL4 (44%), GL12 (41%), SG3 (40%), MK45 (39%), RG45 (38%), SL2 (38%), LU7 (36%), SG19 (34%), WD3 (29%), CV36 (27%), SL6 (26%), GL52 (20%), BA12 (19%), GL10 (18%), SL1 (18%), AL1 (17%), WR12 (17%), WD5 (14%), SG15 (13%), CB25 (13%), SL3 (12%)</w:t>
      </w:r>
    </w:p>
    <w:p>
      <w:pPr>
        <w:spacing w:before="220" w:after="80" w:line="320" w:lineRule="auto"/>
        <w:keepNext/>
      </w:pPr>
      <w:r>
        <w:rPr>
          <w:rFonts w:ascii="Arial" w:hAnsi="Arial" w:cs="Arial" w:eastAsia="Arial"/>
          <w:b/>
          <w:bCs/>
          <w:color w:val="2E5E3A"/>
          <w:sz w:val="22"/>
          <w:szCs w:val="22"/>
        </w:rPr>
        <w:t xml:space="preserve">Fringe, not recommended (28)</w:t>
      </w:r>
    </w:p>
    <w:p>
      <w:pPr>
        <w:spacing w:before="0" w:after="160" w:line="320" w:lineRule="auto"/>
      </w:pPr>
      <w:r>
        <w:rPr>
          <w:rFonts w:ascii="Arial" w:hAnsi="Arial" w:cs="Arial" w:eastAsia="Arial"/>
          <w:color w:val="000000"/>
          <w:sz w:val="22"/>
          <w:szCs w:val="22"/>
        </w:rPr>
        <w:t xml:space="preserve">NN12, BA3, SG8, BS31, GL53, SG1, PE8, GL4, BS37, RG27, PE5, AL8, GL3, SL4, CV35, BS30, NN7, PE6, RG26, PE9, CB22, AL2, RG42, NN9, UB8, SG7, CB21, CV37</w:t>
      </w:r>
    </w:p>
    <w:p>
      <w:pPr>
        <w:spacing w:before="220" w:after="80" w:line="320" w:lineRule="auto"/>
        <w:keepNext/>
      </w:pPr>
      <w:r>
        <w:rPr>
          <w:rFonts w:ascii="Arial" w:hAnsi="Arial" w:cs="Arial" w:eastAsia="Arial"/>
          <w:b/>
          <w:bCs/>
          <w:color w:val="2E5E3A"/>
          <w:sz w:val="22"/>
          <w:szCs w:val="22"/>
        </w:rPr>
        <w:t xml:space="preserve">Non-geographic, do not target</w:t>
      </w:r>
    </w:p>
    <w:p>
      <w:pPr>
        <w:spacing w:before="0" w:after="160" w:line="320" w:lineRule="auto"/>
      </w:pPr>
      <w:r>
        <w:rPr>
          <w:rFonts w:ascii="Arial" w:hAnsi="Arial" w:cs="Arial" w:eastAsia="Arial"/>
          <w:color w:val="000000"/>
          <w:sz w:val="22"/>
          <w:szCs w:val="22"/>
        </w:rPr>
        <w:t xml:space="preserve">MK77</w:t>
      </w:r>
    </w:p>
    <w:p>
      <w:pPr>
        <w:pageBreakBefore/>
        <w:pBdr>
          <w:bottom w:val="single" w:sz="6" w:space="4" w:color="C8D6CB"/>
        </w:pBdr>
        <w:spacing w:before="0" w:after="280" w:line="276" w:lineRule="auto"/>
        <w:keepNext/>
      </w:pPr>
      <w:r>
        <w:rPr>
          <w:rFonts w:ascii="Arial" w:hAnsi="Arial" w:cs="Arial" w:eastAsia="Arial"/>
          <w:b/>
          <w:bCs/>
          <w:color w:val="2E5E3A"/>
          <w:sz w:val="34"/>
          <w:szCs w:val="34"/>
        </w:rPr>
        <w:t xml:space="preserve">Lesnewth</w:t>
      </w:r>
    </w:p>
    <w:tbl>
      <w:tblPr>
        <w:tblW w:w="9026" w:type="dxa"/>
        <w:tblLayout w:type="fixed"/>
        <w:tblBorders>
          <w:top w:val="single" w:sz="6" w:space="0" w:color="C8D6CB"/>
          <w:left w:val="single" w:sz="6" w:space="0" w:color="C8D6CB"/>
          <w:bottom w:val="single" w:sz="6" w:space="0" w:color="C8D6CB"/>
          <w:right w:val="single" w:sz="6" w:space="0" w:color="C8D6CB"/>
          <w:insideH w:val="single" w:sz="6" w:space="0" w:color="C8D6CB"/>
          <w:insideV w:val="single" w:sz="6" w:space="0" w:color="C8D6CB"/>
        </w:tblBorders>
      </w:tblPr>
      <w:tblGrid>
        <w:gridCol w:w="2900"/>
        <w:gridCol w:w="6126"/>
      </w:tblGrid>
      <w:tr>
        <w:trPr>
          <w:cantSplit/>
        </w:trPr>
        <w:tc>
          <w:tcPr>
            <w:tcW w:w="2900" w:type="dxa"/>
            <w:tcBorders>
              <w:top w:val="single" w:sz="6" w:space="0" w:color="C8D6CB"/>
              <w:left w:val="single" w:sz="6" w:space="0" w:color="C8D6CB"/>
              <w:bottom w:val="single" w:sz="6" w:space="0" w:color="C8D6CB"/>
              <w:right w:val="single" w:sz="6" w:space="0" w:color="C8D6CB"/>
            </w:tcBorders>
            <w:shd w:val="clear" w:color="auto" w:fill="EEF4EF"/>
            <w:tcMar>
              <w:top w:w="100" w:type="dxa"/>
              <w:left w:w="100" w:type="dxa"/>
              <w:bottom w:w="100" w:type="dxa"/>
              <w:right w:w="100" w:type="dxa"/>
            </w:tcMar>
            <w:vAlign w:val="top"/>
          </w:tcPr>
          <w:p>
            <w:pPr>
              <w:spacing w:before="0" w:after="0" w:line="276" w:lineRule="auto"/>
            </w:pPr>
            <w:r>
              <w:rPr>
                <w:rFonts w:ascii="Arial" w:hAnsi="Arial" w:cs="Arial" w:eastAsia="Arial"/>
                <w:b/>
                <w:bCs/>
                <w:color w:val="000000"/>
                <w:sz w:val="20"/>
                <w:szCs w:val="20"/>
              </w:rPr>
              <w:t xml:space="preserve">Site postcode</w:t>
            </w:r>
          </w:p>
        </w:tc>
        <w:tc>
          <w:tcPr>
            <w:tcW w:w="6126" w:type="dxa"/>
            <w:tcBorders>
              <w:top w:val="single" w:sz="6" w:space="0" w:color="C8D6CB"/>
              <w:left w:val="single" w:sz="6" w:space="0" w:color="C8D6CB"/>
              <w:bottom w:val="single" w:sz="6" w:space="0" w:color="C8D6CB"/>
              <w:right w:val="single" w:sz="6" w:space="0" w:color="C8D6CB"/>
            </w:tcBorders>
            <w:tcMar>
              <w:top w:w="100" w:type="dxa"/>
              <w:left w:w="100" w:type="dxa"/>
              <w:bottom w:w="100" w:type="dxa"/>
              <w:right w:w="100" w:type="dxa"/>
            </w:tcMar>
            <w:vAlign w:val="top"/>
          </w:tcPr>
          <w:p>
            <w:pPr>
              <w:spacing w:before="0" w:after="0" w:line="276" w:lineRule="auto"/>
            </w:pPr>
            <w:r>
              <w:rPr>
                <w:rFonts w:ascii="Arial" w:hAnsi="Arial" w:cs="Arial" w:eastAsia="Arial"/>
                <w:color w:val="000000"/>
                <w:sz w:val="20"/>
                <w:szCs w:val="20"/>
              </w:rPr>
              <w:t xml:space="preserve">PL35 0HR</w:t>
            </w:r>
          </w:p>
        </w:tc>
      </w:tr>
      <w:tr>
        <w:trPr>
          <w:cantSplit/>
        </w:trPr>
        <w:tc>
          <w:tcPr>
            <w:tcW w:w="2900" w:type="dxa"/>
            <w:tcBorders>
              <w:top w:val="single" w:sz="6" w:space="0" w:color="C8D6CB"/>
              <w:left w:val="single" w:sz="6" w:space="0" w:color="C8D6CB"/>
              <w:bottom w:val="single" w:sz="6" w:space="0" w:color="C8D6CB"/>
              <w:right w:val="single" w:sz="6" w:space="0" w:color="C8D6CB"/>
            </w:tcBorders>
            <w:shd w:val="clear" w:color="auto" w:fill="EEF4EF"/>
            <w:tcMar>
              <w:top w:w="100" w:type="dxa"/>
              <w:left w:w="100" w:type="dxa"/>
              <w:bottom w:w="100" w:type="dxa"/>
              <w:right w:w="100" w:type="dxa"/>
            </w:tcMar>
            <w:vAlign w:val="top"/>
          </w:tcPr>
          <w:p>
            <w:pPr>
              <w:spacing w:before="0" w:after="0" w:line="276" w:lineRule="auto"/>
            </w:pPr>
            <w:r>
              <w:rPr>
                <w:rFonts w:ascii="Arial" w:hAnsi="Arial" w:cs="Arial" w:eastAsia="Arial"/>
                <w:b/>
                <w:bCs/>
                <w:color w:val="000000"/>
                <w:sz w:val="20"/>
                <w:szCs w:val="20"/>
              </w:rPr>
              <w:t xml:space="preserve">Local planning authority</w:t>
            </w:r>
          </w:p>
        </w:tc>
        <w:tc>
          <w:tcPr>
            <w:tcW w:w="6126" w:type="dxa"/>
            <w:tcBorders>
              <w:top w:val="single" w:sz="6" w:space="0" w:color="C8D6CB"/>
              <w:left w:val="single" w:sz="6" w:space="0" w:color="C8D6CB"/>
              <w:bottom w:val="single" w:sz="6" w:space="0" w:color="C8D6CB"/>
              <w:right w:val="single" w:sz="6" w:space="0" w:color="C8D6CB"/>
            </w:tcBorders>
            <w:tcMar>
              <w:top w:w="100" w:type="dxa"/>
              <w:left w:w="100" w:type="dxa"/>
              <w:bottom w:w="100" w:type="dxa"/>
              <w:right w:w="100" w:type="dxa"/>
            </w:tcMar>
            <w:vAlign w:val="top"/>
          </w:tcPr>
          <w:p>
            <w:pPr>
              <w:spacing w:before="0" w:after="0" w:line="276" w:lineRule="auto"/>
            </w:pPr>
            <w:r>
              <w:rPr>
                <w:rFonts w:ascii="Arial" w:hAnsi="Arial" w:cs="Arial" w:eastAsia="Arial"/>
                <w:color w:val="000000"/>
                <w:sz w:val="20"/>
                <w:szCs w:val="20"/>
              </w:rPr>
              <w:t xml:space="preserve">Cornwall Council</w:t>
            </w:r>
          </w:p>
        </w:tc>
      </w:tr>
      <w:tr>
        <w:trPr>
          <w:cantSplit/>
        </w:trPr>
        <w:tc>
          <w:tcPr>
            <w:tcW w:w="2900" w:type="dxa"/>
            <w:tcBorders>
              <w:top w:val="single" w:sz="6" w:space="0" w:color="C8D6CB"/>
              <w:left w:val="single" w:sz="6" w:space="0" w:color="C8D6CB"/>
              <w:bottom w:val="single" w:sz="6" w:space="0" w:color="C8D6CB"/>
              <w:right w:val="single" w:sz="6" w:space="0" w:color="C8D6CB"/>
            </w:tcBorders>
            <w:shd w:val="clear" w:color="auto" w:fill="EEF4EF"/>
            <w:tcMar>
              <w:top w:w="100" w:type="dxa"/>
              <w:left w:w="100" w:type="dxa"/>
              <w:bottom w:w="100" w:type="dxa"/>
              <w:right w:w="100" w:type="dxa"/>
            </w:tcMar>
            <w:vAlign w:val="top"/>
          </w:tcPr>
          <w:p>
            <w:pPr>
              <w:spacing w:before="0" w:after="0" w:line="276" w:lineRule="auto"/>
            </w:pPr>
            <w:r>
              <w:rPr>
                <w:rFonts w:ascii="Arial" w:hAnsi="Arial" w:cs="Arial" w:eastAsia="Arial"/>
                <w:b/>
                <w:bCs/>
                <w:color w:val="000000"/>
                <w:sz w:val="20"/>
                <w:szCs w:val="20"/>
              </w:rPr>
              <w:t xml:space="preserve">National Character Area</w:t>
            </w:r>
          </w:p>
        </w:tc>
        <w:tc>
          <w:tcPr>
            <w:tcW w:w="6126" w:type="dxa"/>
            <w:tcBorders>
              <w:top w:val="single" w:sz="6" w:space="0" w:color="C8D6CB"/>
              <w:left w:val="single" w:sz="6" w:space="0" w:color="C8D6CB"/>
              <w:bottom w:val="single" w:sz="6" w:space="0" w:color="C8D6CB"/>
              <w:right w:val="single" w:sz="6" w:space="0" w:color="C8D6CB"/>
            </w:tcBorders>
            <w:tcMar>
              <w:top w:w="100" w:type="dxa"/>
              <w:left w:w="100" w:type="dxa"/>
              <w:bottom w:w="100" w:type="dxa"/>
              <w:right w:w="100" w:type="dxa"/>
            </w:tcMar>
            <w:vAlign w:val="top"/>
          </w:tcPr>
          <w:p>
            <w:pPr>
              <w:spacing w:before="0" w:after="0" w:line="276" w:lineRule="auto"/>
            </w:pPr>
            <w:r>
              <w:rPr>
                <w:rFonts w:ascii="Arial" w:hAnsi="Arial" w:cs="Arial" w:eastAsia="Arial"/>
                <w:color w:val="000000"/>
                <w:sz w:val="20"/>
                <w:szCs w:val="20"/>
              </w:rPr>
              <w:t xml:space="preserve">Cornish Killas</w:t>
            </w:r>
          </w:p>
        </w:tc>
      </w:tr>
      <w:tr>
        <w:trPr>
          <w:cantSplit/>
        </w:trPr>
        <w:tc>
          <w:tcPr>
            <w:tcW w:w="2900" w:type="dxa"/>
            <w:tcBorders>
              <w:top w:val="single" w:sz="6" w:space="0" w:color="C8D6CB"/>
              <w:left w:val="single" w:sz="6" w:space="0" w:color="C8D6CB"/>
              <w:bottom w:val="single" w:sz="6" w:space="0" w:color="C8D6CB"/>
              <w:right w:val="single" w:sz="6" w:space="0" w:color="C8D6CB"/>
            </w:tcBorders>
            <w:shd w:val="clear" w:color="auto" w:fill="EEF4EF"/>
            <w:tcMar>
              <w:top w:w="100" w:type="dxa"/>
              <w:left w:w="100" w:type="dxa"/>
              <w:bottom w:w="100" w:type="dxa"/>
              <w:right w:w="100" w:type="dxa"/>
            </w:tcMar>
            <w:vAlign w:val="top"/>
          </w:tcPr>
          <w:p>
            <w:pPr>
              <w:spacing w:before="0" w:after="0" w:line="276" w:lineRule="auto"/>
            </w:pPr>
            <w:r>
              <w:rPr>
                <w:rFonts w:ascii="Arial" w:hAnsi="Arial" w:cs="Arial" w:eastAsia="Arial"/>
                <w:b/>
                <w:bCs/>
                <w:color w:val="000000"/>
                <w:sz w:val="20"/>
                <w:szCs w:val="20"/>
              </w:rPr>
              <w:t xml:space="preserve">Neighbouring councils</w:t>
            </w:r>
          </w:p>
        </w:tc>
        <w:tc>
          <w:tcPr>
            <w:tcW w:w="6126" w:type="dxa"/>
            <w:tcBorders>
              <w:top w:val="single" w:sz="6" w:space="0" w:color="C8D6CB"/>
              <w:left w:val="single" w:sz="6" w:space="0" w:color="C8D6CB"/>
              <w:bottom w:val="single" w:sz="6" w:space="0" w:color="C8D6CB"/>
              <w:right w:val="single" w:sz="6" w:space="0" w:color="C8D6CB"/>
            </w:tcBorders>
            <w:tcMar>
              <w:top w:w="100" w:type="dxa"/>
              <w:left w:w="100" w:type="dxa"/>
              <w:bottom w:w="100" w:type="dxa"/>
              <w:right w:w="100" w:type="dxa"/>
            </w:tcMar>
            <w:vAlign w:val="top"/>
          </w:tcPr>
          <w:p>
            <w:pPr>
              <w:spacing w:before="0" w:after="0" w:line="276" w:lineRule="auto"/>
            </w:pPr>
            <w:r>
              <w:rPr>
                <w:rFonts w:ascii="Arial" w:hAnsi="Arial" w:cs="Arial" w:eastAsia="Arial"/>
                <w:color w:val="000000"/>
                <w:sz w:val="20"/>
                <w:szCs w:val="20"/>
              </w:rPr>
              <w:t xml:space="preserve">West Devon, Torridge</w:t>
            </w:r>
          </w:p>
        </w:tc>
      </w:tr>
      <w:tr>
        <w:trPr>
          <w:cantSplit/>
        </w:trPr>
        <w:tc>
          <w:tcPr>
            <w:tcW w:w="2900" w:type="dxa"/>
            <w:tcBorders>
              <w:top w:val="single" w:sz="6" w:space="0" w:color="C8D6CB"/>
              <w:left w:val="single" w:sz="6" w:space="0" w:color="C8D6CB"/>
              <w:bottom w:val="single" w:sz="6" w:space="0" w:color="C8D6CB"/>
              <w:right w:val="single" w:sz="6" w:space="0" w:color="C8D6CB"/>
            </w:tcBorders>
            <w:shd w:val="clear" w:color="auto" w:fill="EEF4EF"/>
            <w:tcMar>
              <w:top w:w="100" w:type="dxa"/>
              <w:left w:w="100" w:type="dxa"/>
              <w:bottom w:w="100" w:type="dxa"/>
              <w:right w:w="100" w:type="dxa"/>
            </w:tcMar>
            <w:vAlign w:val="top"/>
          </w:tcPr>
          <w:p>
            <w:pPr>
              <w:spacing w:before="0" w:after="0" w:line="276" w:lineRule="auto"/>
            </w:pPr>
            <w:r>
              <w:rPr>
                <w:rFonts w:ascii="Arial" w:hAnsi="Arial" w:cs="Arial" w:eastAsia="Arial"/>
                <w:b/>
                <w:bCs/>
                <w:color w:val="000000"/>
                <w:sz w:val="20"/>
                <w:szCs w:val="20"/>
              </w:rPr>
              <w:t xml:space="preserve">Neighbouring character areas</w:t>
            </w:r>
          </w:p>
        </w:tc>
        <w:tc>
          <w:tcPr>
            <w:tcW w:w="6126" w:type="dxa"/>
            <w:tcBorders>
              <w:top w:val="single" w:sz="6" w:space="0" w:color="C8D6CB"/>
              <w:left w:val="single" w:sz="6" w:space="0" w:color="C8D6CB"/>
              <w:bottom w:val="single" w:sz="6" w:space="0" w:color="C8D6CB"/>
              <w:right w:val="single" w:sz="6" w:space="0" w:color="C8D6CB"/>
            </w:tcBorders>
            <w:tcMar>
              <w:top w:w="100" w:type="dxa"/>
              <w:left w:w="100" w:type="dxa"/>
              <w:bottom w:w="100" w:type="dxa"/>
              <w:right w:w="100" w:type="dxa"/>
            </w:tcMar>
            <w:vAlign w:val="top"/>
          </w:tcPr>
          <w:p>
            <w:pPr>
              <w:spacing w:before="0" w:after="0" w:line="276" w:lineRule="auto"/>
            </w:pPr>
            <w:r>
              <w:rPr>
                <w:rFonts w:ascii="Arial" w:hAnsi="Arial" w:cs="Arial" w:eastAsia="Arial"/>
                <w:color w:val="000000"/>
                <w:sz w:val="20"/>
                <w:szCs w:val="20"/>
              </w:rPr>
              <w:t xml:space="preserve">The Culm, South Devon, Bodmin Moor, Hensbarrow, Carnmenellis, West Penwith, The Lizard</w:t>
            </w:r>
          </w:p>
        </w:tc>
      </w:tr>
    </w:tbl>
    <w:p>
      <w:pPr>
        <w:pBdr>
          <w:bottom w:val="single" w:sz="6" w:space="4" w:color="C8D6CB"/>
        </w:pBdr>
        <w:spacing w:before="400" w:after="200" w:line="300" w:lineRule="auto"/>
        <w:keepNext/>
      </w:pPr>
      <w:r>
        <w:rPr>
          <w:rFonts w:ascii="Arial" w:hAnsi="Arial" w:cs="Arial" w:eastAsia="Arial"/>
          <w:b/>
          <w:bCs/>
          <w:color w:val="2E5E3A"/>
          <w:sz w:val="26"/>
          <w:szCs w:val="26"/>
        </w:rPr>
        <w:t xml:space="preserve">Full value</w:t>
      </w:r>
      <w:r>
        <w:rPr>
          <w:rFonts w:ascii="Arial" w:hAnsi="Arial" w:cs="Arial" w:eastAsia="Arial"/>
          <w:color w:val="666666"/>
          <w:sz w:val="22"/>
          <w:szCs w:val="22"/>
        </w:rPr>
        <w:t xml:space="preserve">  –  own council and character area (1.0 multiplier)</w:t>
      </w:r>
    </w:p>
    <w:p>
      <w:pPr>
        <w:ind w:left="567"/>
        <w:jc w:val="both"/>
        <w:spacing w:before="120" w:after="200" w:line="300" w:lineRule="auto"/>
      </w:pPr>
      <w:r>
        <w:rPr>
          <w:rFonts w:ascii="Arial" w:hAnsi="Arial" w:cs="Arial" w:eastAsia="Arial"/>
          <w:b/>
          <w:bCs/>
          <w:i/>
          <w:iCs/>
          <w:color w:val="666666"/>
          <w:sz w:val="21"/>
          <w:szCs w:val="21"/>
        </w:rPr>
        <w:t xml:space="preserve">Note: </w:t>
      </w:r>
      <w:r>
        <w:rPr>
          <w:rFonts w:ascii="Arial" w:hAnsi="Arial" w:cs="Arial" w:eastAsia="Arial"/>
          <w:i/>
          <w:iCs/>
          <w:color w:val="666666"/>
          <w:sz w:val="21"/>
          <w:szCs w:val="21"/>
        </w:rPr>
        <w:t xml:space="preserve">The site sits right by the boundary with The Culm character area. This list follows Cornish Killas, as on Biofarm's page; the north Devon (EX) districts on The Culm side are in the catchment tier below.</w:t>
      </w:r>
    </w:p>
    <w:p>
      <w:pPr>
        <w:spacing w:before="220" w:after="80" w:line="320" w:lineRule="auto"/>
        <w:keepNext/>
      </w:pPr>
      <w:r>
        <w:rPr>
          <w:rFonts w:ascii="Arial" w:hAnsi="Arial" w:cs="Arial" w:eastAsia="Arial"/>
          <w:b/>
          <w:bCs/>
          <w:color w:val="2E5E3A"/>
          <w:sz w:val="22"/>
          <w:szCs w:val="22"/>
        </w:rPr>
        <w:t xml:space="preserve">Core districts (45)</w:t>
      </w:r>
    </w:p>
    <w:p>
      <w:pPr>
        <w:spacing w:before="0" w:after="160" w:line="320" w:lineRule="auto"/>
      </w:pPr>
      <w:r>
        <w:rPr>
          <w:rFonts w:ascii="Arial" w:hAnsi="Arial" w:cs="Arial" w:eastAsia="Arial"/>
          <w:color w:val="000000"/>
          <w:sz w:val="22"/>
          <w:szCs w:val="22"/>
        </w:rPr>
        <w:t xml:space="preserve">EX23, PL10, PL11, PL12, PL13, PL14, PL15, PL17, PL18, PL22, PL23, PL24, PL25, PL26, PL27, PL28, PL29, PL30, PL31, PL32, PL33, PL34, PL35, TR1, TR2, TR3, TR4, TR5, TR6, TR7, TR8, TR9, TR10, TR11, TR12, TR13, TR14, TR15, TR16, TR17, TR18, TR19, TR20, TR26, TR27</w:t>
      </w:r>
    </w:p>
    <w:p>
      <w:pPr>
        <w:spacing w:before="220" w:after="80" w:line="320" w:lineRule="auto"/>
        <w:keepNext/>
      </w:pPr>
      <w:r>
        <w:rPr>
          <w:rFonts w:ascii="Arial" w:hAnsi="Arial" w:cs="Arial" w:eastAsia="Arial"/>
          <w:b/>
          <w:bCs/>
          <w:color w:val="2E5E3A"/>
          <w:sz w:val="22"/>
          <w:szCs w:val="22"/>
        </w:rPr>
        <w:t xml:space="preserve">Partial (1)</w:t>
      </w:r>
    </w:p>
    <w:p>
      <w:pPr>
        <w:spacing w:before="0" w:after="160" w:line="320" w:lineRule="auto"/>
      </w:pPr>
      <w:r>
        <w:rPr>
          <w:rFonts w:ascii="Arial" w:hAnsi="Arial" w:cs="Arial" w:eastAsia="Arial"/>
          <w:color w:val="000000"/>
          <w:sz w:val="22"/>
          <w:szCs w:val="22"/>
        </w:rPr>
        <w:t xml:space="preserve">EX22 (12%, +88% catchment)</w:t>
      </w:r>
    </w:p>
    <w:p>
      <w:pPr>
        <w:spacing w:before="220" w:after="80" w:line="320" w:lineRule="auto"/>
        <w:keepNext/>
      </w:pPr>
      <w:r>
        <w:rPr>
          <w:rFonts w:ascii="Arial" w:hAnsi="Arial" w:cs="Arial" w:eastAsia="Arial"/>
          <w:b/>
          <w:bCs/>
          <w:color w:val="2E5E3A"/>
          <w:sz w:val="22"/>
          <w:szCs w:val="22"/>
        </w:rPr>
        <w:t xml:space="preserve">Fringe, not recommended (1)</w:t>
      </w:r>
    </w:p>
    <w:p>
      <w:pPr>
        <w:spacing w:before="0" w:after="160" w:line="320" w:lineRule="auto"/>
      </w:pPr>
      <w:r>
        <w:rPr>
          <w:rFonts w:ascii="Arial" w:hAnsi="Arial" w:cs="Arial" w:eastAsia="Arial"/>
          <w:color w:val="000000"/>
          <w:sz w:val="22"/>
          <w:szCs w:val="22"/>
        </w:rPr>
        <w:t xml:space="preserve">TR21</w:t>
      </w:r>
    </w:p>
    <w:p>
      <w:pPr>
        <w:pBdr>
          <w:bottom w:val="single" w:sz="6" w:space="4" w:color="C8D6CB"/>
        </w:pBdr>
        <w:spacing w:before="400" w:after="200" w:line="300" w:lineRule="auto"/>
        <w:keepNext/>
      </w:pPr>
      <w:r>
        <w:rPr>
          <w:rFonts w:ascii="Arial" w:hAnsi="Arial" w:cs="Arial" w:eastAsia="Arial"/>
          <w:b/>
          <w:bCs/>
          <w:color w:val="2E5E3A"/>
          <w:sz w:val="26"/>
          <w:szCs w:val="26"/>
        </w:rPr>
        <w:t xml:space="preserve">Catchment</w:t>
      </w:r>
      <w:r>
        <w:rPr>
          <w:rFonts w:ascii="Arial" w:hAnsi="Arial" w:cs="Arial" w:eastAsia="Arial"/>
          <w:color w:val="666666"/>
          <w:sz w:val="22"/>
          <w:szCs w:val="22"/>
        </w:rPr>
        <w:t xml:space="preserve">  –  neighbouring councils and character areas (0.75 multiplier)</w:t>
      </w:r>
    </w:p>
    <w:p>
      <w:pPr>
        <w:ind w:left="567"/>
        <w:jc w:val="both"/>
        <w:spacing w:before="120" w:after="200" w:line="300" w:lineRule="auto"/>
      </w:pPr>
      <w:r>
        <w:rPr>
          <w:rFonts w:ascii="Arial" w:hAnsi="Arial" w:cs="Arial" w:eastAsia="Arial"/>
          <w:b/>
          <w:bCs/>
          <w:i/>
          <w:iCs/>
          <w:color w:val="666666"/>
          <w:sz w:val="21"/>
          <w:szCs w:val="21"/>
        </w:rPr>
        <w:t xml:space="preserve">Note: </w:t>
      </w:r>
      <w:r>
        <w:rPr>
          <w:rFonts w:ascii="Arial" w:hAnsi="Arial" w:cs="Arial" w:eastAsia="Arial"/>
          <w:i/>
          <w:iCs/>
          <w:color w:val="666666"/>
          <w:sz w:val="21"/>
          <w:szCs w:val="21"/>
        </w:rPr>
        <w:t xml:space="preserve">The Culm character area is a neighbour, so north Devon (EX) districts appear here at the 0.75 tier. West Devon council brings in part of Dartmoor (mainly PL19, PL20, TQ13 and EX20); Dartmoor's own authority doesn't border Cornwall, so strictly those sit outside the tier, but the live map includes them.</w:t>
      </w:r>
    </w:p>
    <w:p>
      <w:pPr>
        <w:spacing w:before="220" w:after="80" w:line="320" w:lineRule="auto"/>
        <w:keepNext/>
      </w:pPr>
      <w:r>
        <w:rPr>
          <w:rFonts w:ascii="Arial" w:hAnsi="Arial" w:cs="Arial" w:eastAsia="Arial"/>
          <w:b/>
          <w:bCs/>
          <w:color w:val="2E5E3A"/>
          <w:sz w:val="22"/>
          <w:szCs w:val="22"/>
        </w:rPr>
        <w:t xml:space="preserve">Core districts (34)</w:t>
      </w:r>
    </w:p>
    <w:p>
      <w:pPr>
        <w:spacing w:before="0" w:after="160" w:line="320" w:lineRule="auto"/>
      </w:pPr>
      <w:r>
        <w:rPr>
          <w:rFonts w:ascii="Arial" w:hAnsi="Arial" w:cs="Arial" w:eastAsia="Arial"/>
          <w:color w:val="000000"/>
          <w:sz w:val="22"/>
          <w:szCs w:val="22"/>
        </w:rPr>
        <w:t xml:space="preserve">EX17, EX18, EX19, EX20, EX21, EX36, EX37, EX38, EX39, PL1, PL2, PL3, PL4, PL5, PL6, PL7, PL8, PL9, PL16, PL19, PL20, PL21, TQ1, TQ2, TQ3, TQ4, TQ5, TQ6, TQ7, TQ8, TQ9, TQ10, TQ12, TQ13</w:t>
      </w:r>
    </w:p>
    <w:p>
      <w:pPr>
        <w:spacing w:before="220" w:after="80" w:line="320" w:lineRule="auto"/>
        <w:keepNext/>
      </w:pPr>
      <w:r>
        <w:rPr>
          <w:rFonts w:ascii="Arial" w:hAnsi="Arial" w:cs="Arial" w:eastAsia="Arial"/>
          <w:b/>
          <w:bCs/>
          <w:color w:val="2E5E3A"/>
          <w:sz w:val="22"/>
          <w:szCs w:val="22"/>
        </w:rPr>
        <w:t xml:space="preserve">Partial (5)</w:t>
      </w:r>
    </w:p>
    <w:p>
      <w:pPr>
        <w:spacing w:before="0" w:after="160" w:line="320" w:lineRule="auto"/>
      </w:pPr>
      <w:r>
        <w:rPr>
          <w:rFonts w:ascii="Arial" w:hAnsi="Arial" w:cs="Arial" w:eastAsia="Arial"/>
          <w:color w:val="000000"/>
          <w:sz w:val="22"/>
          <w:szCs w:val="22"/>
        </w:rPr>
        <w:t xml:space="preserve">EX31 (38%), EX6 (38%), TQ11 (22%), EX16 (15%), EX32 (13%)</w:t>
      </w:r>
    </w:p>
    <w:p>
      <w:pPr>
        <w:spacing w:before="220" w:after="80" w:line="320" w:lineRule="auto"/>
        <w:keepNext/>
      </w:pPr>
      <w:r>
        <w:rPr>
          <w:rFonts w:ascii="Arial" w:hAnsi="Arial" w:cs="Arial" w:eastAsia="Arial"/>
          <w:b/>
          <w:bCs/>
          <w:color w:val="2E5E3A"/>
          <w:sz w:val="22"/>
          <w:szCs w:val="22"/>
        </w:rPr>
        <w:t xml:space="preserve">Fringe, not recommended (4)</w:t>
      </w:r>
    </w:p>
    <w:p>
      <w:pPr>
        <w:spacing w:before="0" w:after="160" w:line="320" w:lineRule="auto"/>
      </w:pPr>
      <w:r>
        <w:rPr>
          <w:rFonts w:ascii="Arial" w:hAnsi="Arial" w:cs="Arial" w:eastAsia="Arial"/>
          <w:color w:val="000000"/>
          <w:sz w:val="22"/>
          <w:szCs w:val="22"/>
        </w:rPr>
        <w:t xml:space="preserve">EX4, EX5, TA22, EX2</w:t>
      </w:r>
    </w:p>
    <w:p>
      <w:pPr>
        <w:spacing w:before="220" w:after="80" w:line="320" w:lineRule="auto"/>
        <w:keepNext/>
      </w:pPr>
      <w:r>
        <w:rPr>
          <w:rFonts w:ascii="Arial" w:hAnsi="Arial" w:cs="Arial" w:eastAsia="Arial"/>
          <w:b/>
          <w:bCs/>
          <w:color w:val="2E5E3A"/>
          <w:sz w:val="22"/>
          <w:szCs w:val="22"/>
        </w:rPr>
        <w:t xml:space="preserve">Non-geographic, do not target</w:t>
      </w:r>
    </w:p>
    <w:p>
      <w:pPr>
        <w:spacing w:before="0" w:after="160" w:line="320" w:lineRule="auto"/>
      </w:pPr>
      <w:r>
        <w:rPr>
          <w:rFonts w:ascii="Arial" w:hAnsi="Arial" w:cs="Arial" w:eastAsia="Arial"/>
          <w:color w:val="000000"/>
          <w:sz w:val="22"/>
          <w:szCs w:val="22"/>
        </w:rPr>
        <w:t xml:space="preserve">PL95</w:t>
      </w:r>
    </w:p>
    <w:p>
      <w:pPr>
        <w:pageBreakBefore/>
        <w:pBdr>
          <w:bottom w:val="single" w:sz="6" w:space="4" w:color="C8D6CB"/>
        </w:pBdr>
        <w:spacing w:before="0" w:after="280" w:line="276" w:lineRule="auto"/>
        <w:keepNext/>
      </w:pPr>
      <w:r>
        <w:rPr>
          <w:rFonts w:ascii="Arial" w:hAnsi="Arial" w:cs="Arial" w:eastAsia="Arial"/>
          <w:b/>
          <w:bCs/>
          <w:color w:val="2E5E3A"/>
          <w:sz w:val="34"/>
          <w:szCs w:val="34"/>
        </w:rPr>
        <w:t xml:space="preserve">Avon Meadows</w:t>
      </w:r>
    </w:p>
    <w:tbl>
      <w:tblPr>
        <w:tblW w:w="9026" w:type="dxa"/>
        <w:tblLayout w:type="fixed"/>
        <w:tblBorders>
          <w:top w:val="single" w:sz="6" w:space="0" w:color="C8D6CB"/>
          <w:left w:val="single" w:sz="6" w:space="0" w:color="C8D6CB"/>
          <w:bottom w:val="single" w:sz="6" w:space="0" w:color="C8D6CB"/>
          <w:right w:val="single" w:sz="6" w:space="0" w:color="C8D6CB"/>
          <w:insideH w:val="single" w:sz="6" w:space="0" w:color="C8D6CB"/>
          <w:insideV w:val="single" w:sz="6" w:space="0" w:color="C8D6CB"/>
        </w:tblBorders>
      </w:tblPr>
      <w:tblGrid>
        <w:gridCol w:w="2900"/>
        <w:gridCol w:w="6126"/>
      </w:tblGrid>
      <w:tr>
        <w:trPr>
          <w:cantSplit/>
        </w:trPr>
        <w:tc>
          <w:tcPr>
            <w:tcW w:w="2900" w:type="dxa"/>
            <w:tcBorders>
              <w:top w:val="single" w:sz="6" w:space="0" w:color="C8D6CB"/>
              <w:left w:val="single" w:sz="6" w:space="0" w:color="C8D6CB"/>
              <w:bottom w:val="single" w:sz="6" w:space="0" w:color="C8D6CB"/>
              <w:right w:val="single" w:sz="6" w:space="0" w:color="C8D6CB"/>
            </w:tcBorders>
            <w:shd w:val="clear" w:color="auto" w:fill="EEF4EF"/>
            <w:tcMar>
              <w:top w:w="100" w:type="dxa"/>
              <w:left w:w="100" w:type="dxa"/>
              <w:bottom w:w="100" w:type="dxa"/>
              <w:right w:w="100" w:type="dxa"/>
            </w:tcMar>
            <w:vAlign w:val="top"/>
          </w:tcPr>
          <w:p>
            <w:pPr>
              <w:spacing w:before="0" w:after="0" w:line="276" w:lineRule="auto"/>
            </w:pPr>
            <w:r>
              <w:rPr>
                <w:rFonts w:ascii="Arial" w:hAnsi="Arial" w:cs="Arial" w:eastAsia="Arial"/>
                <w:b/>
                <w:bCs/>
                <w:color w:val="000000"/>
                <w:sz w:val="20"/>
                <w:szCs w:val="20"/>
              </w:rPr>
              <w:t xml:space="preserve">Site postcode</w:t>
            </w:r>
          </w:p>
        </w:tc>
        <w:tc>
          <w:tcPr>
            <w:tcW w:w="6126" w:type="dxa"/>
            <w:tcBorders>
              <w:top w:val="single" w:sz="6" w:space="0" w:color="C8D6CB"/>
              <w:left w:val="single" w:sz="6" w:space="0" w:color="C8D6CB"/>
              <w:bottom w:val="single" w:sz="6" w:space="0" w:color="C8D6CB"/>
              <w:right w:val="single" w:sz="6" w:space="0" w:color="C8D6CB"/>
            </w:tcBorders>
            <w:tcMar>
              <w:top w:w="100" w:type="dxa"/>
              <w:left w:w="100" w:type="dxa"/>
              <w:bottom w:w="100" w:type="dxa"/>
              <w:right w:w="100" w:type="dxa"/>
            </w:tcMar>
            <w:vAlign w:val="top"/>
          </w:tcPr>
          <w:p>
            <w:pPr>
              <w:spacing w:before="0" w:after="0" w:line="276" w:lineRule="auto"/>
            </w:pPr>
            <w:r>
              <w:rPr>
                <w:rFonts w:ascii="Arial" w:hAnsi="Arial" w:cs="Arial" w:eastAsia="Arial"/>
                <w:color w:val="000000"/>
                <w:sz w:val="20"/>
                <w:szCs w:val="20"/>
              </w:rPr>
              <w:t xml:space="preserve">CV37 0NS</w:t>
            </w:r>
          </w:p>
        </w:tc>
      </w:tr>
      <w:tr>
        <w:trPr>
          <w:cantSplit/>
        </w:trPr>
        <w:tc>
          <w:tcPr>
            <w:tcW w:w="2900" w:type="dxa"/>
            <w:tcBorders>
              <w:top w:val="single" w:sz="6" w:space="0" w:color="C8D6CB"/>
              <w:left w:val="single" w:sz="6" w:space="0" w:color="C8D6CB"/>
              <w:bottom w:val="single" w:sz="6" w:space="0" w:color="C8D6CB"/>
              <w:right w:val="single" w:sz="6" w:space="0" w:color="C8D6CB"/>
            </w:tcBorders>
            <w:shd w:val="clear" w:color="auto" w:fill="EEF4EF"/>
            <w:tcMar>
              <w:top w:w="100" w:type="dxa"/>
              <w:left w:w="100" w:type="dxa"/>
              <w:bottom w:w="100" w:type="dxa"/>
              <w:right w:w="100" w:type="dxa"/>
            </w:tcMar>
            <w:vAlign w:val="top"/>
          </w:tcPr>
          <w:p>
            <w:pPr>
              <w:spacing w:before="0" w:after="0" w:line="276" w:lineRule="auto"/>
            </w:pPr>
            <w:r>
              <w:rPr>
                <w:rFonts w:ascii="Arial" w:hAnsi="Arial" w:cs="Arial" w:eastAsia="Arial"/>
                <w:b/>
                <w:bCs/>
                <w:color w:val="000000"/>
                <w:sz w:val="20"/>
                <w:szCs w:val="20"/>
              </w:rPr>
              <w:t xml:space="preserve">Local planning authority</w:t>
            </w:r>
          </w:p>
        </w:tc>
        <w:tc>
          <w:tcPr>
            <w:tcW w:w="6126" w:type="dxa"/>
            <w:tcBorders>
              <w:top w:val="single" w:sz="6" w:space="0" w:color="C8D6CB"/>
              <w:left w:val="single" w:sz="6" w:space="0" w:color="C8D6CB"/>
              <w:bottom w:val="single" w:sz="6" w:space="0" w:color="C8D6CB"/>
              <w:right w:val="single" w:sz="6" w:space="0" w:color="C8D6CB"/>
            </w:tcBorders>
            <w:tcMar>
              <w:top w:w="100" w:type="dxa"/>
              <w:left w:w="100" w:type="dxa"/>
              <w:bottom w:w="100" w:type="dxa"/>
              <w:right w:w="100" w:type="dxa"/>
            </w:tcMar>
            <w:vAlign w:val="top"/>
          </w:tcPr>
          <w:p>
            <w:pPr>
              <w:spacing w:before="0" w:after="0" w:line="276" w:lineRule="auto"/>
            </w:pPr>
            <w:r>
              <w:rPr>
                <w:rFonts w:ascii="Arial" w:hAnsi="Arial" w:cs="Arial" w:eastAsia="Arial"/>
                <w:color w:val="000000"/>
                <w:sz w:val="20"/>
                <w:szCs w:val="20"/>
              </w:rPr>
              <w:t xml:space="preserve">Stratford-on-Avon District Council</w:t>
            </w:r>
          </w:p>
        </w:tc>
      </w:tr>
      <w:tr>
        <w:trPr>
          <w:cantSplit/>
        </w:trPr>
        <w:tc>
          <w:tcPr>
            <w:tcW w:w="2900" w:type="dxa"/>
            <w:tcBorders>
              <w:top w:val="single" w:sz="6" w:space="0" w:color="C8D6CB"/>
              <w:left w:val="single" w:sz="6" w:space="0" w:color="C8D6CB"/>
              <w:bottom w:val="single" w:sz="6" w:space="0" w:color="C8D6CB"/>
              <w:right w:val="single" w:sz="6" w:space="0" w:color="C8D6CB"/>
            </w:tcBorders>
            <w:shd w:val="clear" w:color="auto" w:fill="EEF4EF"/>
            <w:tcMar>
              <w:top w:w="100" w:type="dxa"/>
              <w:left w:w="100" w:type="dxa"/>
              <w:bottom w:w="100" w:type="dxa"/>
              <w:right w:w="100" w:type="dxa"/>
            </w:tcMar>
            <w:vAlign w:val="top"/>
          </w:tcPr>
          <w:p>
            <w:pPr>
              <w:spacing w:before="0" w:after="0" w:line="276" w:lineRule="auto"/>
            </w:pPr>
            <w:r>
              <w:rPr>
                <w:rFonts w:ascii="Arial" w:hAnsi="Arial" w:cs="Arial" w:eastAsia="Arial"/>
                <w:b/>
                <w:bCs/>
                <w:color w:val="000000"/>
                <w:sz w:val="20"/>
                <w:szCs w:val="20"/>
              </w:rPr>
              <w:t xml:space="preserve">National Character Area</w:t>
            </w:r>
          </w:p>
        </w:tc>
        <w:tc>
          <w:tcPr>
            <w:tcW w:w="6126" w:type="dxa"/>
            <w:tcBorders>
              <w:top w:val="single" w:sz="6" w:space="0" w:color="C8D6CB"/>
              <w:left w:val="single" w:sz="6" w:space="0" w:color="C8D6CB"/>
              <w:bottom w:val="single" w:sz="6" w:space="0" w:color="C8D6CB"/>
              <w:right w:val="single" w:sz="6" w:space="0" w:color="C8D6CB"/>
            </w:tcBorders>
            <w:tcMar>
              <w:top w:w="100" w:type="dxa"/>
              <w:left w:w="100" w:type="dxa"/>
              <w:bottom w:w="100" w:type="dxa"/>
              <w:right w:w="100" w:type="dxa"/>
            </w:tcMar>
            <w:vAlign w:val="top"/>
          </w:tcPr>
          <w:p>
            <w:pPr>
              <w:spacing w:before="0" w:after="0" w:line="276" w:lineRule="auto"/>
            </w:pPr>
            <w:r>
              <w:rPr>
                <w:rFonts w:ascii="Arial" w:hAnsi="Arial" w:cs="Arial" w:eastAsia="Arial"/>
                <w:color w:val="000000"/>
                <w:sz w:val="20"/>
                <w:szCs w:val="20"/>
              </w:rPr>
              <w:t xml:space="preserve">Severn and Avon Vales</w:t>
            </w:r>
          </w:p>
        </w:tc>
      </w:tr>
      <w:tr>
        <w:trPr>
          <w:cantSplit/>
        </w:trPr>
        <w:tc>
          <w:tcPr>
            <w:tcW w:w="2900" w:type="dxa"/>
            <w:tcBorders>
              <w:top w:val="single" w:sz="6" w:space="0" w:color="C8D6CB"/>
              <w:left w:val="single" w:sz="6" w:space="0" w:color="C8D6CB"/>
              <w:bottom w:val="single" w:sz="6" w:space="0" w:color="C8D6CB"/>
              <w:right w:val="single" w:sz="6" w:space="0" w:color="C8D6CB"/>
            </w:tcBorders>
            <w:shd w:val="clear" w:color="auto" w:fill="EEF4EF"/>
            <w:tcMar>
              <w:top w:w="100" w:type="dxa"/>
              <w:left w:w="100" w:type="dxa"/>
              <w:bottom w:w="100" w:type="dxa"/>
              <w:right w:w="100" w:type="dxa"/>
            </w:tcMar>
            <w:vAlign w:val="top"/>
          </w:tcPr>
          <w:p>
            <w:pPr>
              <w:spacing w:before="0" w:after="0" w:line="276" w:lineRule="auto"/>
            </w:pPr>
            <w:r>
              <w:rPr>
                <w:rFonts w:ascii="Arial" w:hAnsi="Arial" w:cs="Arial" w:eastAsia="Arial"/>
                <w:b/>
                <w:bCs/>
                <w:color w:val="000000"/>
                <w:sz w:val="20"/>
                <w:szCs w:val="20"/>
              </w:rPr>
              <w:t xml:space="preserve">Neighbouring councils</w:t>
            </w:r>
          </w:p>
        </w:tc>
        <w:tc>
          <w:tcPr>
            <w:tcW w:w="6126" w:type="dxa"/>
            <w:tcBorders>
              <w:top w:val="single" w:sz="6" w:space="0" w:color="C8D6CB"/>
              <w:left w:val="single" w:sz="6" w:space="0" w:color="C8D6CB"/>
              <w:bottom w:val="single" w:sz="6" w:space="0" w:color="C8D6CB"/>
              <w:right w:val="single" w:sz="6" w:space="0" w:color="C8D6CB"/>
            </w:tcBorders>
            <w:tcMar>
              <w:top w:w="100" w:type="dxa"/>
              <w:left w:w="100" w:type="dxa"/>
              <w:bottom w:w="100" w:type="dxa"/>
              <w:right w:w="100" w:type="dxa"/>
            </w:tcMar>
            <w:vAlign w:val="top"/>
          </w:tcPr>
          <w:p>
            <w:pPr>
              <w:spacing w:before="0" w:after="0" w:line="276" w:lineRule="auto"/>
            </w:pPr>
            <w:r>
              <w:rPr>
                <w:rFonts w:ascii="Arial" w:hAnsi="Arial" w:cs="Arial" w:eastAsia="Arial"/>
                <w:color w:val="000000"/>
                <w:sz w:val="20"/>
                <w:szCs w:val="20"/>
              </w:rPr>
              <w:t xml:space="preserve">West Oxfordshire, Redditch, Bromsgrove, Solihull, West Northamptonshire, Warwick, Cherwell, Cotswold, Wychavon, Rugby</w:t>
            </w:r>
          </w:p>
        </w:tc>
      </w:tr>
      <w:tr>
        <w:trPr>
          <w:cantSplit/>
        </w:trPr>
        <w:tc>
          <w:tcPr>
            <w:tcW w:w="2900" w:type="dxa"/>
            <w:tcBorders>
              <w:top w:val="single" w:sz="6" w:space="0" w:color="C8D6CB"/>
              <w:left w:val="single" w:sz="6" w:space="0" w:color="C8D6CB"/>
              <w:bottom w:val="single" w:sz="6" w:space="0" w:color="C8D6CB"/>
              <w:right w:val="single" w:sz="6" w:space="0" w:color="C8D6CB"/>
            </w:tcBorders>
            <w:shd w:val="clear" w:color="auto" w:fill="EEF4EF"/>
            <w:tcMar>
              <w:top w:w="100" w:type="dxa"/>
              <w:left w:w="100" w:type="dxa"/>
              <w:bottom w:w="100" w:type="dxa"/>
              <w:right w:w="100" w:type="dxa"/>
            </w:tcMar>
            <w:vAlign w:val="top"/>
          </w:tcPr>
          <w:p>
            <w:pPr>
              <w:spacing w:before="0" w:after="0" w:line="276" w:lineRule="auto"/>
            </w:pPr>
            <w:r>
              <w:rPr>
                <w:rFonts w:ascii="Arial" w:hAnsi="Arial" w:cs="Arial" w:eastAsia="Arial"/>
                <w:b/>
                <w:bCs/>
                <w:color w:val="000000"/>
                <w:sz w:val="20"/>
                <w:szCs w:val="20"/>
              </w:rPr>
              <w:t xml:space="preserve">Neighbouring character areas</w:t>
            </w:r>
          </w:p>
        </w:tc>
        <w:tc>
          <w:tcPr>
            <w:tcW w:w="6126" w:type="dxa"/>
            <w:tcBorders>
              <w:top w:val="single" w:sz="6" w:space="0" w:color="C8D6CB"/>
              <w:left w:val="single" w:sz="6" w:space="0" w:color="C8D6CB"/>
              <w:bottom w:val="single" w:sz="6" w:space="0" w:color="C8D6CB"/>
              <w:right w:val="single" w:sz="6" w:space="0" w:color="C8D6CB"/>
            </w:tcBorders>
            <w:tcMar>
              <w:top w:w="100" w:type="dxa"/>
              <w:left w:w="100" w:type="dxa"/>
              <w:bottom w:w="100" w:type="dxa"/>
              <w:right w:w="100" w:type="dxa"/>
            </w:tcMar>
            <w:vAlign w:val="top"/>
          </w:tcPr>
          <w:p>
            <w:pPr>
              <w:spacing w:before="0" w:after="0" w:line="276" w:lineRule="auto"/>
            </w:pPr>
            <w:r>
              <w:rPr>
                <w:rFonts w:ascii="Arial" w:hAnsi="Arial" w:cs="Arial" w:eastAsia="Arial"/>
                <w:color w:val="000000"/>
                <w:sz w:val="20"/>
                <w:szCs w:val="20"/>
              </w:rPr>
              <w:t xml:space="preserve">Mid Severn Sandstone Plateau, Dunsmore and Feldon, Arden, Teme Valley, Malvern Hills, South Herefordshire and Over Severn, Forest of Dean and Lower Wye, Cotswolds, Bristol, Avon Valleys and Ridges</w:t>
            </w:r>
          </w:p>
        </w:tc>
      </w:tr>
    </w:tbl>
    <w:p>
      <w:pPr>
        <w:pBdr>
          <w:bottom w:val="single" w:sz="6" w:space="4" w:color="C8D6CB"/>
        </w:pBdr>
        <w:spacing w:before="400" w:after="200" w:line="300" w:lineRule="auto"/>
        <w:keepNext/>
      </w:pPr>
      <w:r>
        <w:rPr>
          <w:rFonts w:ascii="Arial" w:hAnsi="Arial" w:cs="Arial" w:eastAsia="Arial"/>
          <w:b/>
          <w:bCs/>
          <w:color w:val="2E5E3A"/>
          <w:sz w:val="26"/>
          <w:szCs w:val="26"/>
        </w:rPr>
        <w:t xml:space="preserve">Full value</w:t>
      </w:r>
      <w:r>
        <w:rPr>
          <w:rFonts w:ascii="Arial" w:hAnsi="Arial" w:cs="Arial" w:eastAsia="Arial"/>
          <w:color w:val="666666"/>
          <w:sz w:val="22"/>
          <w:szCs w:val="22"/>
        </w:rPr>
        <w:t xml:space="preserve">  –  own council and character area (1.0 multiplier)</w:t>
      </w:r>
    </w:p>
    <w:p>
      <w:pPr>
        <w:spacing w:before="220" w:after="80" w:line="320" w:lineRule="auto"/>
        <w:keepNext/>
      </w:pPr>
      <w:r>
        <w:rPr>
          <w:rFonts w:ascii="Arial" w:hAnsi="Arial" w:cs="Arial" w:eastAsia="Arial"/>
          <w:b/>
          <w:bCs/>
          <w:color w:val="2E5E3A"/>
          <w:sz w:val="22"/>
          <w:szCs w:val="22"/>
        </w:rPr>
        <w:t xml:space="preserve">Core districts (33)</w:t>
      </w:r>
    </w:p>
    <w:p>
      <w:pPr>
        <w:spacing w:before="0" w:after="160" w:line="320" w:lineRule="auto"/>
      </w:pPr>
      <w:r>
        <w:rPr>
          <w:rFonts w:ascii="Arial" w:hAnsi="Arial" w:cs="Arial" w:eastAsia="Arial"/>
          <w:color w:val="000000"/>
          <w:sz w:val="22"/>
          <w:szCs w:val="22"/>
        </w:rPr>
        <w:t xml:space="preserve">B49, B50, B80, B95, CV33, CV35, CV36, CV37, CV47, GL1, GL2, GL3, GL4, GL10, GL13, GL19, GL20, GL50, GL51, GL52, GL53, WR1, WR2, WR3, WR4, WR5, WR7, WR8, WR9, WR10, WR11, WR12, WR14</w:t>
      </w:r>
    </w:p>
    <w:p>
      <w:pPr>
        <w:spacing w:before="220" w:after="80" w:line="320" w:lineRule="auto"/>
        <w:keepNext/>
      </w:pPr>
      <w:r>
        <w:rPr>
          <w:rFonts w:ascii="Arial" w:hAnsi="Arial" w:cs="Arial" w:eastAsia="Arial"/>
          <w:b/>
          <w:bCs/>
          <w:color w:val="2E5E3A"/>
          <w:sz w:val="22"/>
          <w:szCs w:val="22"/>
        </w:rPr>
        <w:t xml:space="preserve">Partial (14)</w:t>
      </w:r>
    </w:p>
    <w:p>
      <w:pPr>
        <w:spacing w:before="0" w:after="160" w:line="320" w:lineRule="auto"/>
      </w:pPr>
      <w:r>
        <w:rPr>
          <w:rFonts w:ascii="Arial" w:hAnsi="Arial" w:cs="Arial" w:eastAsia="Arial"/>
          <w:color w:val="000000"/>
          <w:sz w:val="22"/>
          <w:szCs w:val="22"/>
        </w:rPr>
        <w:t xml:space="preserve">WR13 (45%, +39% catchment), BS11 (44%, +56% catchment), BS35 (41%, +59% catchment), B94 (39%, +61% catchment), B96 (36%, +64% catchment), WR6 (33%, +36% catchment), B60 (30%, +70% catchment), GL55 (29%, +71% catchment), BS20 (29%, +71% catchment), GL54 (19%, +81% catchment), GL11 (18%, +82% catchment), GL14 (18%, +82% catchment), GL56 (11%, +89% catchment), NP16 (10%, +14% catchment)</w:t>
      </w:r>
    </w:p>
    <w:p>
      <w:pPr>
        <w:spacing w:before="220" w:after="80" w:line="320" w:lineRule="auto"/>
        <w:keepNext/>
      </w:pPr>
      <w:r>
        <w:rPr>
          <w:rFonts w:ascii="Arial" w:hAnsi="Arial" w:cs="Arial" w:eastAsia="Arial"/>
          <w:b/>
          <w:bCs/>
          <w:color w:val="2E5E3A"/>
          <w:sz w:val="22"/>
          <w:szCs w:val="22"/>
        </w:rPr>
        <w:t xml:space="preserve">Fringe, not recommended (0)</w:t>
      </w:r>
    </w:p>
    <w:p>
      <w:pPr>
        <w:spacing w:before="0" w:after="160" w:line="320" w:lineRule="auto"/>
      </w:pPr>
      <w:r>
        <w:rPr>
          <w:rFonts w:ascii="Arial" w:hAnsi="Arial" w:cs="Arial" w:eastAsia="Arial"/>
          <w:color w:val="000000"/>
          <w:sz w:val="22"/>
          <w:szCs w:val="22"/>
        </w:rPr>
        <w:t xml:space="preserve">none</w:t>
      </w:r>
    </w:p>
    <w:p>
      <w:pPr>
        <w:spacing w:before="220" w:after="80" w:line="320" w:lineRule="auto"/>
        <w:keepNext/>
      </w:pPr>
      <w:r>
        <w:rPr>
          <w:rFonts w:ascii="Arial" w:hAnsi="Arial" w:cs="Arial" w:eastAsia="Arial"/>
          <w:b/>
          <w:bCs/>
          <w:color w:val="2E5E3A"/>
          <w:sz w:val="22"/>
          <w:szCs w:val="22"/>
        </w:rPr>
        <w:t xml:space="preserve">Non-geographic, do not target</w:t>
      </w:r>
    </w:p>
    <w:p>
      <w:pPr>
        <w:spacing w:before="0" w:after="160" w:line="320" w:lineRule="auto"/>
      </w:pPr>
      <w:r>
        <w:rPr>
          <w:rFonts w:ascii="Arial" w:hAnsi="Arial" w:cs="Arial" w:eastAsia="Arial"/>
          <w:color w:val="000000"/>
          <w:sz w:val="22"/>
          <w:szCs w:val="22"/>
        </w:rPr>
        <w:t xml:space="preserve">WR99</w:t>
      </w:r>
    </w:p>
    <w:p>
      <w:pPr>
        <w:pBdr>
          <w:bottom w:val="single" w:sz="6" w:space="4" w:color="C8D6CB"/>
        </w:pBdr>
        <w:spacing w:before="400" w:after="200" w:line="300" w:lineRule="auto"/>
        <w:keepNext/>
      </w:pPr>
      <w:r>
        <w:rPr>
          <w:rFonts w:ascii="Arial" w:hAnsi="Arial" w:cs="Arial" w:eastAsia="Arial"/>
          <w:b/>
          <w:bCs/>
          <w:color w:val="2E5E3A"/>
          <w:sz w:val="26"/>
          <w:szCs w:val="26"/>
        </w:rPr>
        <w:t xml:space="preserve">Catchment</w:t>
      </w:r>
      <w:r>
        <w:rPr>
          <w:rFonts w:ascii="Arial" w:hAnsi="Arial" w:cs="Arial" w:eastAsia="Arial"/>
          <w:color w:val="666666"/>
          <w:sz w:val="22"/>
          <w:szCs w:val="22"/>
        </w:rPr>
        <w:t xml:space="preserve">  –  neighbouring councils and character areas (0.75 multiplier)</w:t>
      </w:r>
    </w:p>
    <w:p>
      <w:pPr>
        <w:ind w:left="567"/>
        <w:jc w:val="both"/>
        <w:spacing w:before="120" w:after="200" w:line="300" w:lineRule="auto"/>
      </w:pPr>
      <w:r>
        <w:rPr>
          <w:rFonts w:ascii="Arial" w:hAnsi="Arial" w:cs="Arial" w:eastAsia="Arial"/>
          <w:b/>
          <w:bCs/>
          <w:i/>
          <w:iCs/>
          <w:color w:val="666666"/>
          <w:sz w:val="21"/>
          <w:szCs w:val="21"/>
        </w:rPr>
        <w:t xml:space="preserve">Note: </w:t>
      </w:r>
      <w:r>
        <w:rPr>
          <w:rFonts w:ascii="Arial" w:hAnsi="Arial" w:cs="Arial" w:eastAsia="Arial"/>
          <w:i/>
          <w:iCs/>
          <w:color w:val="666666"/>
          <w:sz w:val="21"/>
          <w:szCs w:val="21"/>
        </w:rPr>
        <w:t xml:space="preserve">Already full value at another Biofarm bank, so that bank is the better match: Sleight Farm: BA1, BA2, BA3, BS1, BS2, BS3, BS4, BS5, BS6, BS7, BS8, BS9, BS10, BS13, BS14, BS15, BS16, BS21, BS30, BS31, BS32, BS34, BS36, BS37, BS39, BS40, BS41, BS48, GL12; Rycote Farm: OX5, OX18, OX26, OX28, OX29, OX33.</w:t>
      </w:r>
    </w:p>
    <w:p>
      <w:pPr>
        <w:spacing w:before="220" w:after="80" w:line="320" w:lineRule="auto"/>
        <w:keepNext/>
      </w:pPr>
      <w:r>
        <w:rPr>
          <w:rFonts w:ascii="Arial" w:hAnsi="Arial" w:cs="Arial" w:eastAsia="Arial"/>
          <w:b/>
          <w:bCs/>
          <w:color w:val="2E5E3A"/>
          <w:sz w:val="22"/>
          <w:szCs w:val="22"/>
        </w:rPr>
        <w:t xml:space="preserve">Core districts (157)</w:t>
      </w:r>
    </w:p>
    <w:p>
      <w:pPr>
        <w:spacing w:before="0" w:after="160" w:line="320" w:lineRule="auto"/>
      </w:pPr>
      <w:r>
        <w:rPr>
          <w:rFonts w:ascii="Arial" w:hAnsi="Arial" w:cs="Arial" w:eastAsia="Arial"/>
          <w:color w:val="000000"/>
          <w:sz w:val="22"/>
          <w:szCs w:val="22"/>
        </w:rPr>
        <w:t xml:space="preserve">B1, B2, B3, B4, B5, B6, B7, B8, B9, B10, B11, B12, B13, B14, B15, B16, B17, B18, B19, B20, B23, B24, B25, B26, B27, B28, B29, B30, B31, B32, B33, B34, B35, B36, B37, B38, B40, B45, B46, B47, B48, B61, B62, B63, B76, B77, B90, B91, B92, B93, B97, B98, BA1, BA2, BA3, BA15, BS1, BS2, BS3, BS4, BS5, BS6, BS7, BS8, BS9, BS10, BS13, BS14, BS15, BS16, BS21, BS30, BS31, BS32, BS34, BS36, BS37, BS39, BS40, BS41, BS48, CV1, CV2, CV3, CV4, CV5, CV6, CV7, CV8, CV10, CV11, CV12, CV21, CV22, CV23, CV31, CV32, CV34, DY6, DY7, DY8, DY9, DY10, DY11, DY12, DY13, DY14, GL5, GL6, GL7, GL8, GL9, GL12, GL15, GL16, GL17, GL18, HR9, MK19, NN1, NN2, NN3, NN4, NN5, NN6, NN7, NN11, NN12, NN13, OX5, OX7, OX15, OX16, OX17, OX18, OX20, OX25, OX26, OX27, OX28, OX29, SN13, TF2, TF3, TF4, TF7, TF8, TF11, TF12, WV3, WV4, WV5, WV6, WV9, WV10, WV15, WV16</w:t>
      </w:r>
    </w:p>
    <w:p>
      <w:pPr>
        <w:spacing w:before="220" w:after="80" w:line="320" w:lineRule="auto"/>
        <w:keepNext/>
      </w:pPr>
      <w:r>
        <w:rPr>
          <w:rFonts w:ascii="Arial" w:hAnsi="Arial" w:cs="Arial" w:eastAsia="Arial"/>
          <w:b/>
          <w:bCs/>
          <w:color w:val="2E5E3A"/>
          <w:sz w:val="22"/>
          <w:szCs w:val="22"/>
        </w:rPr>
        <w:t xml:space="preserve">Partial (26)</w:t>
      </w:r>
    </w:p>
    <w:p>
      <w:pPr>
        <w:spacing w:before="0" w:after="160" w:line="320" w:lineRule="auto"/>
      </w:pPr>
      <w:r>
        <w:rPr>
          <w:rFonts w:ascii="Arial" w:hAnsi="Arial" w:cs="Arial" w:eastAsia="Arial"/>
          <w:color w:val="000000"/>
          <w:sz w:val="22"/>
          <w:szCs w:val="22"/>
        </w:rPr>
        <w:t xml:space="preserve">WR15 (48%), SN14 (48%), WV2 (47%), WV7 (47%), WV1 (45%), BS49 (42%), B68 (40%), B78 (37%), B72 (32%), B66 (30%), B67 (29%), CV9 (26%), B21 (24%), SN16 (24%), WV8 (23%), HR2 (23%), TF1 (22%), B42 (21%), BS25 (20%), DY5 (18%), TF10 (17%), B73 (16%), HR8 (16%), B44 (12%), OX33 (12%), HR1 (11%)</w:t>
      </w:r>
    </w:p>
    <w:p>
      <w:pPr>
        <w:spacing w:before="220" w:after="80" w:line="320" w:lineRule="auto"/>
        <w:keepNext/>
      </w:pPr>
      <w:r>
        <w:rPr>
          <w:rFonts w:ascii="Arial" w:hAnsi="Arial" w:cs="Arial" w:eastAsia="Arial"/>
          <w:b/>
          <w:bCs/>
          <w:color w:val="2E5E3A"/>
          <w:sz w:val="22"/>
          <w:szCs w:val="22"/>
        </w:rPr>
        <w:t xml:space="preserve">Fringe, not recommended (20)</w:t>
      </w:r>
    </w:p>
    <w:p>
      <w:pPr>
        <w:spacing w:before="0" w:after="160" w:line="320" w:lineRule="auto"/>
      </w:pPr>
      <w:r>
        <w:rPr>
          <w:rFonts w:ascii="Arial" w:hAnsi="Arial" w:cs="Arial" w:eastAsia="Arial"/>
          <w:color w:val="000000"/>
          <w:sz w:val="22"/>
          <w:szCs w:val="22"/>
        </w:rPr>
        <w:t xml:space="preserve">B64, LE16, DY3, SN12, NP25, BA11, LE10, TF6, B65, MK18, SY8, HP18, LE17, OX2, OX3, B79, MK16, OX13, BA14, SN6</w:t>
      </w:r>
    </w:p>
    <w:p>
      <w:pPr>
        <w:spacing w:before="220" w:after="80" w:line="320" w:lineRule="auto"/>
        <w:keepNext/>
      </w:pPr>
      <w:r>
        <w:rPr>
          <w:rFonts w:ascii="Arial" w:hAnsi="Arial" w:cs="Arial" w:eastAsia="Arial"/>
          <w:b/>
          <w:bCs/>
          <w:color w:val="2E5E3A"/>
          <w:sz w:val="22"/>
          <w:szCs w:val="22"/>
        </w:rPr>
        <w:t xml:space="preserve">Non-geographic, do not target</w:t>
      </w:r>
    </w:p>
    <w:p>
      <w:pPr>
        <w:spacing w:before="0" w:after="160" w:line="320" w:lineRule="auto"/>
      </w:pPr>
      <w:r>
        <w:rPr>
          <w:rFonts w:ascii="Arial" w:hAnsi="Arial" w:cs="Arial" w:eastAsia="Arial"/>
          <w:color w:val="000000"/>
          <w:sz w:val="22"/>
          <w:szCs w:val="22"/>
        </w:rPr>
        <w:t xml:space="preserve">B99, BS98, BS99, WV98, WV99</w:t>
      </w:r>
    </w:p>
    <w:p>
      <w:pPr>
        <w:pageBreakBefore/>
        <w:pBdr>
          <w:bottom w:val="single" w:sz="6" w:space="4" w:color="C8D6CB"/>
        </w:pBdr>
        <w:spacing w:before="0" w:after="280" w:line="276" w:lineRule="auto"/>
        <w:keepNext/>
      </w:pPr>
      <w:r>
        <w:rPr>
          <w:rFonts w:ascii="Arial" w:hAnsi="Arial" w:cs="Arial" w:eastAsia="Arial"/>
          <w:b/>
          <w:bCs/>
          <w:color w:val="2E5E3A"/>
          <w:sz w:val="34"/>
          <w:szCs w:val="34"/>
        </w:rPr>
        <w:t xml:space="preserve">Badger Bank Farm</w:t>
      </w:r>
    </w:p>
    <w:tbl>
      <w:tblPr>
        <w:tblW w:w="9026" w:type="dxa"/>
        <w:tblLayout w:type="fixed"/>
        <w:tblBorders>
          <w:top w:val="single" w:sz="6" w:space="0" w:color="C8D6CB"/>
          <w:left w:val="single" w:sz="6" w:space="0" w:color="C8D6CB"/>
          <w:bottom w:val="single" w:sz="6" w:space="0" w:color="C8D6CB"/>
          <w:right w:val="single" w:sz="6" w:space="0" w:color="C8D6CB"/>
          <w:insideH w:val="single" w:sz="6" w:space="0" w:color="C8D6CB"/>
          <w:insideV w:val="single" w:sz="6" w:space="0" w:color="C8D6CB"/>
        </w:tblBorders>
      </w:tblPr>
      <w:tblGrid>
        <w:gridCol w:w="2900"/>
        <w:gridCol w:w="6126"/>
      </w:tblGrid>
      <w:tr>
        <w:trPr>
          <w:cantSplit/>
        </w:trPr>
        <w:tc>
          <w:tcPr>
            <w:tcW w:w="2900" w:type="dxa"/>
            <w:tcBorders>
              <w:top w:val="single" w:sz="6" w:space="0" w:color="C8D6CB"/>
              <w:left w:val="single" w:sz="6" w:space="0" w:color="C8D6CB"/>
              <w:bottom w:val="single" w:sz="6" w:space="0" w:color="C8D6CB"/>
              <w:right w:val="single" w:sz="6" w:space="0" w:color="C8D6CB"/>
            </w:tcBorders>
            <w:shd w:val="clear" w:color="auto" w:fill="EEF4EF"/>
            <w:tcMar>
              <w:top w:w="100" w:type="dxa"/>
              <w:left w:w="100" w:type="dxa"/>
              <w:bottom w:w="100" w:type="dxa"/>
              <w:right w:w="100" w:type="dxa"/>
            </w:tcMar>
            <w:vAlign w:val="top"/>
          </w:tcPr>
          <w:p>
            <w:pPr>
              <w:spacing w:before="0" w:after="0" w:line="276" w:lineRule="auto"/>
            </w:pPr>
            <w:r>
              <w:rPr>
                <w:rFonts w:ascii="Arial" w:hAnsi="Arial" w:cs="Arial" w:eastAsia="Arial"/>
                <w:b/>
                <w:bCs/>
                <w:color w:val="000000"/>
                <w:sz w:val="20"/>
                <w:szCs w:val="20"/>
              </w:rPr>
              <w:t xml:space="preserve">Site postcode</w:t>
            </w:r>
          </w:p>
        </w:tc>
        <w:tc>
          <w:tcPr>
            <w:tcW w:w="6126" w:type="dxa"/>
            <w:tcBorders>
              <w:top w:val="single" w:sz="6" w:space="0" w:color="C8D6CB"/>
              <w:left w:val="single" w:sz="6" w:space="0" w:color="C8D6CB"/>
              <w:bottom w:val="single" w:sz="6" w:space="0" w:color="C8D6CB"/>
              <w:right w:val="single" w:sz="6" w:space="0" w:color="C8D6CB"/>
            </w:tcBorders>
            <w:tcMar>
              <w:top w:w="100" w:type="dxa"/>
              <w:left w:w="100" w:type="dxa"/>
              <w:bottom w:w="100" w:type="dxa"/>
              <w:right w:w="100" w:type="dxa"/>
            </w:tcMar>
            <w:vAlign w:val="top"/>
          </w:tcPr>
          <w:p>
            <w:pPr>
              <w:spacing w:before="0" w:after="0" w:line="276" w:lineRule="auto"/>
            </w:pPr>
            <w:r>
              <w:rPr>
                <w:rFonts w:ascii="Arial" w:hAnsi="Arial" w:cs="Arial" w:eastAsia="Arial"/>
                <w:color w:val="000000"/>
                <w:sz w:val="20"/>
                <w:szCs w:val="20"/>
              </w:rPr>
              <w:t xml:space="preserve">HG4 3HT</w:t>
            </w:r>
          </w:p>
        </w:tc>
      </w:tr>
      <w:tr>
        <w:trPr>
          <w:cantSplit/>
        </w:trPr>
        <w:tc>
          <w:tcPr>
            <w:tcW w:w="2900" w:type="dxa"/>
            <w:tcBorders>
              <w:top w:val="single" w:sz="6" w:space="0" w:color="C8D6CB"/>
              <w:left w:val="single" w:sz="6" w:space="0" w:color="C8D6CB"/>
              <w:bottom w:val="single" w:sz="6" w:space="0" w:color="C8D6CB"/>
              <w:right w:val="single" w:sz="6" w:space="0" w:color="C8D6CB"/>
            </w:tcBorders>
            <w:shd w:val="clear" w:color="auto" w:fill="EEF4EF"/>
            <w:tcMar>
              <w:top w:w="100" w:type="dxa"/>
              <w:left w:w="100" w:type="dxa"/>
              <w:bottom w:w="100" w:type="dxa"/>
              <w:right w:w="100" w:type="dxa"/>
            </w:tcMar>
            <w:vAlign w:val="top"/>
          </w:tcPr>
          <w:p>
            <w:pPr>
              <w:spacing w:before="0" w:after="0" w:line="276" w:lineRule="auto"/>
            </w:pPr>
            <w:r>
              <w:rPr>
                <w:rFonts w:ascii="Arial" w:hAnsi="Arial" w:cs="Arial" w:eastAsia="Arial"/>
                <w:b/>
                <w:bCs/>
                <w:color w:val="000000"/>
                <w:sz w:val="20"/>
                <w:szCs w:val="20"/>
              </w:rPr>
              <w:t xml:space="preserve">Local planning authority</w:t>
            </w:r>
          </w:p>
        </w:tc>
        <w:tc>
          <w:tcPr>
            <w:tcW w:w="6126" w:type="dxa"/>
            <w:tcBorders>
              <w:top w:val="single" w:sz="6" w:space="0" w:color="C8D6CB"/>
              <w:left w:val="single" w:sz="6" w:space="0" w:color="C8D6CB"/>
              <w:bottom w:val="single" w:sz="6" w:space="0" w:color="C8D6CB"/>
              <w:right w:val="single" w:sz="6" w:space="0" w:color="C8D6CB"/>
            </w:tcBorders>
            <w:tcMar>
              <w:top w:w="100" w:type="dxa"/>
              <w:left w:w="100" w:type="dxa"/>
              <w:bottom w:w="100" w:type="dxa"/>
              <w:right w:w="100" w:type="dxa"/>
            </w:tcMar>
            <w:vAlign w:val="top"/>
          </w:tcPr>
          <w:p>
            <w:pPr>
              <w:spacing w:before="0" w:after="0" w:line="276" w:lineRule="auto"/>
            </w:pPr>
            <w:r>
              <w:rPr>
                <w:rFonts w:ascii="Arial" w:hAnsi="Arial" w:cs="Arial" w:eastAsia="Arial"/>
                <w:color w:val="000000"/>
                <w:sz w:val="20"/>
                <w:szCs w:val="20"/>
              </w:rPr>
              <w:t xml:space="preserve">North Yorkshire Council</w:t>
            </w:r>
          </w:p>
        </w:tc>
      </w:tr>
      <w:tr>
        <w:trPr>
          <w:cantSplit/>
        </w:trPr>
        <w:tc>
          <w:tcPr>
            <w:tcW w:w="2900" w:type="dxa"/>
            <w:tcBorders>
              <w:top w:val="single" w:sz="6" w:space="0" w:color="C8D6CB"/>
              <w:left w:val="single" w:sz="6" w:space="0" w:color="C8D6CB"/>
              <w:bottom w:val="single" w:sz="6" w:space="0" w:color="C8D6CB"/>
              <w:right w:val="single" w:sz="6" w:space="0" w:color="C8D6CB"/>
            </w:tcBorders>
            <w:shd w:val="clear" w:color="auto" w:fill="EEF4EF"/>
            <w:tcMar>
              <w:top w:w="100" w:type="dxa"/>
              <w:left w:w="100" w:type="dxa"/>
              <w:bottom w:w="100" w:type="dxa"/>
              <w:right w:w="100" w:type="dxa"/>
            </w:tcMar>
            <w:vAlign w:val="top"/>
          </w:tcPr>
          <w:p>
            <w:pPr>
              <w:spacing w:before="0" w:after="0" w:line="276" w:lineRule="auto"/>
            </w:pPr>
            <w:r>
              <w:rPr>
                <w:rFonts w:ascii="Arial" w:hAnsi="Arial" w:cs="Arial" w:eastAsia="Arial"/>
                <w:b/>
                <w:bCs/>
                <w:color w:val="000000"/>
                <w:sz w:val="20"/>
                <w:szCs w:val="20"/>
              </w:rPr>
              <w:t xml:space="preserve">National Character Area</w:t>
            </w:r>
          </w:p>
        </w:tc>
        <w:tc>
          <w:tcPr>
            <w:tcW w:w="6126" w:type="dxa"/>
            <w:tcBorders>
              <w:top w:val="single" w:sz="6" w:space="0" w:color="C8D6CB"/>
              <w:left w:val="single" w:sz="6" w:space="0" w:color="C8D6CB"/>
              <w:bottom w:val="single" w:sz="6" w:space="0" w:color="C8D6CB"/>
              <w:right w:val="single" w:sz="6" w:space="0" w:color="C8D6CB"/>
            </w:tcBorders>
            <w:tcMar>
              <w:top w:w="100" w:type="dxa"/>
              <w:left w:w="100" w:type="dxa"/>
              <w:bottom w:w="100" w:type="dxa"/>
              <w:right w:w="100" w:type="dxa"/>
            </w:tcMar>
            <w:vAlign w:val="top"/>
          </w:tcPr>
          <w:p>
            <w:pPr>
              <w:spacing w:before="0" w:after="0" w:line="276" w:lineRule="auto"/>
            </w:pPr>
            <w:r>
              <w:rPr>
                <w:rFonts w:ascii="Arial" w:hAnsi="Arial" w:cs="Arial" w:eastAsia="Arial"/>
                <w:color w:val="000000"/>
                <w:sz w:val="20"/>
                <w:szCs w:val="20"/>
              </w:rPr>
              <w:t xml:space="preserve">Southern Magnesian Limestone</w:t>
            </w:r>
          </w:p>
        </w:tc>
      </w:tr>
      <w:tr>
        <w:trPr>
          <w:cantSplit/>
        </w:trPr>
        <w:tc>
          <w:tcPr>
            <w:tcW w:w="2900" w:type="dxa"/>
            <w:tcBorders>
              <w:top w:val="single" w:sz="6" w:space="0" w:color="C8D6CB"/>
              <w:left w:val="single" w:sz="6" w:space="0" w:color="C8D6CB"/>
              <w:bottom w:val="single" w:sz="6" w:space="0" w:color="C8D6CB"/>
              <w:right w:val="single" w:sz="6" w:space="0" w:color="C8D6CB"/>
            </w:tcBorders>
            <w:shd w:val="clear" w:color="auto" w:fill="EEF4EF"/>
            <w:tcMar>
              <w:top w:w="100" w:type="dxa"/>
              <w:left w:w="100" w:type="dxa"/>
              <w:bottom w:w="100" w:type="dxa"/>
              <w:right w:w="100" w:type="dxa"/>
            </w:tcMar>
            <w:vAlign w:val="top"/>
          </w:tcPr>
          <w:p>
            <w:pPr>
              <w:spacing w:before="0" w:after="0" w:line="276" w:lineRule="auto"/>
            </w:pPr>
            <w:r>
              <w:rPr>
                <w:rFonts w:ascii="Arial" w:hAnsi="Arial" w:cs="Arial" w:eastAsia="Arial"/>
                <w:b/>
                <w:bCs/>
                <w:color w:val="000000"/>
                <w:sz w:val="20"/>
                <w:szCs w:val="20"/>
              </w:rPr>
              <w:t xml:space="preserve">Neighbouring councils</w:t>
            </w:r>
          </w:p>
        </w:tc>
        <w:tc>
          <w:tcPr>
            <w:tcW w:w="6126" w:type="dxa"/>
            <w:tcBorders>
              <w:top w:val="single" w:sz="6" w:space="0" w:color="C8D6CB"/>
              <w:left w:val="single" w:sz="6" w:space="0" w:color="C8D6CB"/>
              <w:bottom w:val="single" w:sz="6" w:space="0" w:color="C8D6CB"/>
              <w:right w:val="single" w:sz="6" w:space="0" w:color="C8D6CB"/>
            </w:tcBorders>
            <w:tcMar>
              <w:top w:w="100" w:type="dxa"/>
              <w:left w:w="100" w:type="dxa"/>
              <w:bottom w:w="100" w:type="dxa"/>
              <w:right w:w="100" w:type="dxa"/>
            </w:tcMar>
            <w:vAlign w:val="top"/>
          </w:tcPr>
          <w:p>
            <w:pPr>
              <w:spacing w:before="0" w:after="0" w:line="276" w:lineRule="auto"/>
            </w:pPr>
            <w:r>
              <w:rPr>
                <w:rFonts w:ascii="Arial" w:hAnsi="Arial" w:cs="Arial" w:eastAsia="Arial"/>
                <w:color w:val="000000"/>
                <w:sz w:val="20"/>
                <w:szCs w:val="20"/>
              </w:rPr>
              <w:t xml:space="preserve">Redcar and Cleveland, Ribble Valley, Leeds, Bradford, Lancaster, Westmorland and Furness, Stockton-on-Tees, Pendle, Darlington, County Durham, Middlesbrough, East Riding of Yorkshire, Wakefield, York, Doncaster</w:t>
            </w:r>
          </w:p>
        </w:tc>
      </w:tr>
      <w:tr>
        <w:trPr>
          <w:cantSplit/>
        </w:trPr>
        <w:tc>
          <w:tcPr>
            <w:tcW w:w="2900" w:type="dxa"/>
            <w:tcBorders>
              <w:top w:val="single" w:sz="6" w:space="0" w:color="C8D6CB"/>
              <w:left w:val="single" w:sz="6" w:space="0" w:color="C8D6CB"/>
              <w:bottom w:val="single" w:sz="6" w:space="0" w:color="C8D6CB"/>
              <w:right w:val="single" w:sz="6" w:space="0" w:color="C8D6CB"/>
            </w:tcBorders>
            <w:shd w:val="clear" w:color="auto" w:fill="EEF4EF"/>
            <w:tcMar>
              <w:top w:w="100" w:type="dxa"/>
              <w:left w:w="100" w:type="dxa"/>
              <w:bottom w:w="100" w:type="dxa"/>
              <w:right w:w="100" w:type="dxa"/>
            </w:tcMar>
            <w:vAlign w:val="top"/>
          </w:tcPr>
          <w:p>
            <w:pPr>
              <w:spacing w:before="0" w:after="0" w:line="276" w:lineRule="auto"/>
            </w:pPr>
            <w:r>
              <w:rPr>
                <w:rFonts w:ascii="Arial" w:hAnsi="Arial" w:cs="Arial" w:eastAsia="Arial"/>
                <w:b/>
                <w:bCs/>
                <w:color w:val="000000"/>
                <w:sz w:val="20"/>
                <w:szCs w:val="20"/>
              </w:rPr>
              <w:t xml:space="preserve">Neighbouring character areas</w:t>
            </w:r>
          </w:p>
        </w:tc>
        <w:tc>
          <w:tcPr>
            <w:tcW w:w="6126" w:type="dxa"/>
            <w:tcBorders>
              <w:top w:val="single" w:sz="6" w:space="0" w:color="C8D6CB"/>
              <w:left w:val="single" w:sz="6" w:space="0" w:color="C8D6CB"/>
              <w:bottom w:val="single" w:sz="6" w:space="0" w:color="C8D6CB"/>
              <w:right w:val="single" w:sz="6" w:space="0" w:color="C8D6CB"/>
            </w:tcBorders>
            <w:tcMar>
              <w:top w:w="100" w:type="dxa"/>
              <w:left w:w="100" w:type="dxa"/>
              <w:bottom w:w="100" w:type="dxa"/>
              <w:right w:w="100" w:type="dxa"/>
            </w:tcMar>
            <w:vAlign w:val="top"/>
          </w:tcPr>
          <w:p>
            <w:pPr>
              <w:spacing w:before="0" w:after="0" w:line="276" w:lineRule="auto"/>
            </w:pPr>
            <w:r>
              <w:rPr>
                <w:rFonts w:ascii="Arial" w:hAnsi="Arial" w:cs="Arial" w:eastAsia="Arial"/>
                <w:color w:val="000000"/>
                <w:sz w:val="20"/>
                <w:szCs w:val="20"/>
              </w:rPr>
              <w:t xml:space="preserve">Pennine Dales Fringe, Vale of Mowbray, Vale of York, Nottinghamshire, Derbyshire and Yorkshire Coalfield, Humberhead Levels, Sherwood</w:t>
            </w:r>
          </w:p>
        </w:tc>
      </w:tr>
    </w:tbl>
    <w:p>
      <w:pPr>
        <w:pBdr>
          <w:bottom w:val="single" w:sz="6" w:space="4" w:color="C8D6CB"/>
        </w:pBdr>
        <w:spacing w:before="400" w:after="200" w:line="300" w:lineRule="auto"/>
        <w:keepNext/>
      </w:pPr>
      <w:r>
        <w:rPr>
          <w:rFonts w:ascii="Arial" w:hAnsi="Arial" w:cs="Arial" w:eastAsia="Arial"/>
          <w:b/>
          <w:bCs/>
          <w:color w:val="2E5E3A"/>
          <w:sz w:val="26"/>
          <w:szCs w:val="26"/>
        </w:rPr>
        <w:t xml:space="preserve">Full value</w:t>
      </w:r>
      <w:r>
        <w:rPr>
          <w:rFonts w:ascii="Arial" w:hAnsi="Arial" w:cs="Arial" w:eastAsia="Arial"/>
          <w:color w:val="666666"/>
          <w:sz w:val="22"/>
          <w:szCs w:val="22"/>
        </w:rPr>
        <w:t xml:space="preserve">  –  own council and character area (1.0 multiplier)</w:t>
      </w:r>
    </w:p>
    <w:p>
      <w:pPr>
        <w:ind w:left="567"/>
        <w:jc w:val="both"/>
        <w:spacing w:before="120" w:after="200" w:line="300" w:lineRule="auto"/>
      </w:pPr>
      <w:r>
        <w:rPr>
          <w:rFonts w:ascii="Arial" w:hAnsi="Arial" w:cs="Arial" w:eastAsia="Arial"/>
          <w:b/>
          <w:bCs/>
          <w:i/>
          <w:iCs/>
          <w:color w:val="666666"/>
          <w:sz w:val="21"/>
          <w:szCs w:val="21"/>
        </w:rPr>
        <w:t xml:space="preserve">Note: </w:t>
      </w:r>
      <w:r>
        <w:rPr>
          <w:rFonts w:ascii="Arial" w:hAnsi="Arial" w:cs="Arial" w:eastAsia="Arial"/>
          <w:i/>
          <w:iCs/>
          <w:color w:val="666666"/>
          <w:sz w:val="21"/>
          <w:szCs w:val="21"/>
        </w:rPr>
        <w:t xml:space="preserve">The character area is a long strip running south from North Yorkshire, which is why some South Yorkshire and Nottinghamshire districts (S, DN, NG) appear. Postcodes inside the Yorkshire Dales and North York Moors national parks are excluded from the council area, as those parks have their own planning authorities (see the catchment note).</w:t>
      </w:r>
    </w:p>
    <w:p>
      <w:pPr>
        <w:spacing w:before="220" w:after="80" w:line="320" w:lineRule="auto"/>
        <w:keepNext/>
      </w:pPr>
      <w:r>
        <w:rPr>
          <w:rFonts w:ascii="Arial" w:hAnsi="Arial" w:cs="Arial" w:eastAsia="Arial"/>
          <w:b/>
          <w:bCs/>
          <w:color w:val="2E5E3A"/>
          <w:sz w:val="22"/>
          <w:szCs w:val="22"/>
        </w:rPr>
        <w:t xml:space="preserve">Core districts (40)</w:t>
      </w:r>
    </w:p>
    <w:p>
      <w:pPr>
        <w:spacing w:before="0" w:after="160" w:line="320" w:lineRule="auto"/>
      </w:pPr>
      <w:r>
        <w:rPr>
          <w:rFonts w:ascii="Arial" w:hAnsi="Arial" w:cs="Arial" w:eastAsia="Arial"/>
          <w:color w:val="000000"/>
          <w:sz w:val="22"/>
          <w:szCs w:val="22"/>
        </w:rPr>
        <w:t xml:space="preserve">BD23, BD24, DL6, DL7, DL8, DL9, DL10, DN6, DN12, HG1, HG2, HG3, HG4, HG5, LS22, LS23, LS24, LS25, NG15, NG17, NG20, S25, S66, TS9, WF8, WF10, WF11, YO7, YO8, YO11, YO12, YO13, YO14, YO17, YO18, YO21, YO51, YO60, YO61, YO62</w:t>
      </w:r>
    </w:p>
    <w:p>
      <w:pPr>
        <w:spacing w:before="220" w:after="80" w:line="320" w:lineRule="auto"/>
        <w:keepNext/>
      </w:pPr>
      <w:r>
        <w:rPr>
          <w:rFonts w:ascii="Arial" w:hAnsi="Arial" w:cs="Arial" w:eastAsia="Arial"/>
          <w:b/>
          <w:bCs/>
          <w:color w:val="2E5E3A"/>
          <w:sz w:val="22"/>
          <w:szCs w:val="22"/>
        </w:rPr>
        <w:t xml:space="preserve">Partial (28)</w:t>
      </w:r>
    </w:p>
    <w:p>
      <w:pPr>
        <w:spacing w:before="0" w:after="160" w:line="320" w:lineRule="auto"/>
      </w:pPr>
      <w:r>
        <w:rPr>
          <w:rFonts w:ascii="Arial" w:hAnsi="Arial" w:cs="Arial" w:eastAsia="Arial"/>
          <w:color w:val="000000"/>
          <w:sz w:val="22"/>
          <w:szCs w:val="22"/>
        </w:rPr>
        <w:t xml:space="preserve">DL11 (48%), S44 (44%, +56% catchment), YO22 (43%), DN4 (42%, +58% catchment), S81 (42%, +58% catchment), DN5 (38%, +62% catchment), NG6 (38%, +62% catchment), BD20 (37%, +63% catchment), YO19 (37%, +63% catchment), WF9 (37%, +63% catchment), S26 (36%, +64% catchment), S80 (35%, +65% catchment), YO26 (31%, +69% catchment), S64 (31%, +69% catchment), S43 (28%, +72% catchment), DN11 (27%, +73% catchment), TS15 (26%, +74% catchment), NG19 (23%, +77% catchment), LA6 (23%, +73% catchment), LA2 (21%, +73% catchment), DN14 (20%, +80% catchment), LS21 (20%, +80% catchment), YO30 (15%, +85% catchment), YO23 (15%, +85% catchment), NG16 (15%, +85% catchment), LS17 (14%, +86% catchment), DL2 (12%, +88% catchment), YO41 (11%, +89% catchment)</w:t>
      </w:r>
    </w:p>
    <w:p>
      <w:pPr>
        <w:spacing w:before="220" w:after="80" w:line="320" w:lineRule="auto"/>
        <w:keepNext/>
      </w:pPr>
      <w:r>
        <w:rPr>
          <w:rFonts w:ascii="Arial" w:hAnsi="Arial" w:cs="Arial" w:eastAsia="Arial"/>
          <w:b/>
          <w:bCs/>
          <w:color w:val="2E5E3A"/>
          <w:sz w:val="22"/>
          <w:szCs w:val="22"/>
        </w:rPr>
        <w:t xml:space="preserve">Fringe, not recommended (0)</w:t>
      </w:r>
    </w:p>
    <w:p>
      <w:pPr>
        <w:spacing w:before="0" w:after="160" w:line="320" w:lineRule="auto"/>
      </w:pPr>
      <w:r>
        <w:rPr>
          <w:rFonts w:ascii="Arial" w:hAnsi="Arial" w:cs="Arial" w:eastAsia="Arial"/>
          <w:color w:val="000000"/>
          <w:sz w:val="22"/>
          <w:szCs w:val="22"/>
        </w:rPr>
        <w:t xml:space="preserve">none</w:t>
      </w:r>
    </w:p>
    <w:p>
      <w:pPr>
        <w:pBdr>
          <w:bottom w:val="single" w:sz="6" w:space="4" w:color="C8D6CB"/>
        </w:pBdr>
        <w:spacing w:before="400" w:after="200" w:line="300" w:lineRule="auto"/>
        <w:keepNext/>
      </w:pPr>
      <w:r>
        <w:rPr>
          <w:rFonts w:ascii="Arial" w:hAnsi="Arial" w:cs="Arial" w:eastAsia="Arial"/>
          <w:b/>
          <w:bCs/>
          <w:color w:val="2E5E3A"/>
          <w:sz w:val="26"/>
          <w:szCs w:val="26"/>
        </w:rPr>
        <w:t xml:space="preserve">Catchment</w:t>
      </w:r>
      <w:r>
        <w:rPr>
          <w:rFonts w:ascii="Arial" w:hAnsi="Arial" w:cs="Arial" w:eastAsia="Arial"/>
          <w:color w:val="666666"/>
          <w:sz w:val="22"/>
          <w:szCs w:val="22"/>
        </w:rPr>
        <w:t xml:space="preserve">  –  neighbouring councils and character areas (0.75 multiplier)</w:t>
      </w:r>
    </w:p>
    <w:p>
      <w:pPr>
        <w:ind w:left="567"/>
        <w:jc w:val="both"/>
        <w:spacing w:before="120" w:after="200" w:line="300" w:lineRule="auto"/>
      </w:pPr>
      <w:r>
        <w:rPr>
          <w:rFonts w:ascii="Arial" w:hAnsi="Arial" w:cs="Arial" w:eastAsia="Arial"/>
          <w:b/>
          <w:bCs/>
          <w:i/>
          <w:iCs/>
          <w:color w:val="666666"/>
          <w:sz w:val="21"/>
          <w:szCs w:val="21"/>
        </w:rPr>
        <w:t xml:space="preserve">Note: </w:t>
      </w:r>
      <w:r>
        <w:rPr>
          <w:rFonts w:ascii="Arial" w:hAnsi="Arial" w:cs="Arial" w:eastAsia="Arial"/>
          <w:i/>
          <w:iCs/>
          <w:color w:val="666666"/>
          <w:sz w:val="21"/>
          <w:szCs w:val="21"/>
        </w:rPr>
        <w:t xml:space="preserve">Westmorland and Furness brings in the Lake District (LA8, LA11, LA12, LA20 to LA23, CA10, CA11); the park authority doesn't border North Yorkshire, so strictly those sit outside the tier, but the live map includes them. The Yorkshire Dales and North York Moors postcodes inside North Yorkshire itself (about 2,400, mainly BD23, BD24, DL8, DL11, YO13, YO18, YO21, YO22 and YO62) are in neither tier: the live map treats them as full value, while the full-value tier leaves them out because the park authorities are the planners there. A decision is needed on where they belong.</w:t>
      </w:r>
    </w:p>
    <w:p>
      <w:pPr>
        <w:spacing w:before="220" w:after="80" w:line="320" w:lineRule="auto"/>
        <w:keepNext/>
      </w:pPr>
      <w:r>
        <w:rPr>
          <w:rFonts w:ascii="Arial" w:hAnsi="Arial" w:cs="Arial" w:eastAsia="Arial"/>
          <w:b/>
          <w:bCs/>
          <w:color w:val="2E5E3A"/>
          <w:sz w:val="22"/>
          <w:szCs w:val="22"/>
        </w:rPr>
        <w:t xml:space="preserve">Core districts (190)</w:t>
      </w:r>
    </w:p>
    <w:p>
      <w:pPr>
        <w:spacing w:before="0" w:after="160" w:line="320" w:lineRule="auto"/>
      </w:pPr>
      <w:r>
        <w:rPr>
          <w:rFonts w:ascii="Arial" w:hAnsi="Arial" w:cs="Arial" w:eastAsia="Arial"/>
          <w:color w:val="000000"/>
          <w:sz w:val="22"/>
          <w:szCs w:val="22"/>
        </w:rPr>
        <w:t xml:space="preserve">BB7, BB8, BB9, BB18, BD1, BD2, BD3, BD4, BD5, BD6, BD7, BD8, BD9, BD10, BD11, BD12, BD13, BD14, BD15, BD16, BD17, BD18, BD21, BD22, CA9, CA10, CA11, CA16, CA17, DE5, DE7, DE55, DE75, DH1, DH2, DH3, DH6, DH7, DH8, DH9, DL1, DL3, DL4, DL5, DL12, DL13, DL14, DL15, DL16, DL17, DN1, DN2, DN3, DN7, DN8, DN9, DN10, DN22, HD8, HU10, HU11, HU12, HU13, HU14, HU15, HU16, HU17, HU18, HU19, HU20, LA1, LA3, LA4, LA5, LA7, LA8, LA9, LA10, LA11, LA12, LA13, LA14, LA15, LA16, LA17, LA20, LA21, LA22, LA23, LS1, LS2, LS3, LS4, LS5, LS6, LS7, LS8, LS9, LS10, LS11, LS12, LS13, LS14, LS15, LS16, LS18, LS19, LS20, LS26, LS27, LS28, LS29, NG1, NG5, NG7, NG8, NG9, NG18, NG21, NG22, S2, S4, S5, S9, S12, S13, S14, S18, S20, S21, S35, S40, S41, S42, S45, S60, S61, S62, S63, S65, S70, S71, S72, S73, S74, S75, SR7, SR8, TS1, TS2, TS3, TS4, TS5, TS6, TS7, TS8, TS10, TS11, TS12, TS13, TS14, TS16, TS17, TS18, TS19, TS20, TS21, TS22, TS23, TS27, TS28, TS29, WF1, WF2, WF3, WF4, WF5, WF6, WF7, WF12, YO1, YO10, YO15, YO16, YO24, YO25, YO31, YO32, YO42, YO43</w:t>
      </w:r>
    </w:p>
    <w:p>
      <w:pPr>
        <w:spacing w:before="220" w:after="80" w:line="320" w:lineRule="auto"/>
        <w:keepNext/>
      </w:pPr>
      <w:r>
        <w:rPr>
          <w:rFonts w:ascii="Arial" w:hAnsi="Arial" w:cs="Arial" w:eastAsia="Arial"/>
          <w:b/>
          <w:bCs/>
          <w:color w:val="2E5E3A"/>
          <w:sz w:val="22"/>
          <w:szCs w:val="22"/>
        </w:rPr>
        <w:t xml:space="preserve">Partial (20)</w:t>
      </w:r>
    </w:p>
    <w:p>
      <w:pPr>
        <w:spacing w:before="0" w:after="160" w:line="320" w:lineRule="auto"/>
      </w:pPr>
      <w:r>
        <w:rPr>
          <w:rFonts w:ascii="Arial" w:hAnsi="Arial" w:cs="Arial" w:eastAsia="Arial"/>
          <w:color w:val="000000"/>
          <w:sz w:val="22"/>
          <w:szCs w:val="22"/>
        </w:rPr>
        <w:t xml:space="preserve">S3 (49%), DE21 (44%), WF17 (40%), DN17 (37%), CA4 (36%), NG3 (33%), S1 (31%), NG14 (30%), PR3 (28%), BB12 (26%), BB6 (26%), NE17 (25%), NE16 (22%), DN15 (18%), DH4 (17%), S8 (17%), DE72 (13%), HU4 (12%), NG10 (12%), S36 (10%)</w:t>
      </w:r>
    </w:p>
    <w:p>
      <w:pPr>
        <w:spacing w:before="220" w:after="80" w:line="320" w:lineRule="auto"/>
        <w:keepNext/>
      </w:pPr>
      <w:r>
        <w:rPr>
          <w:rFonts w:ascii="Arial" w:hAnsi="Arial" w:cs="Arial" w:eastAsia="Arial"/>
          <w:b/>
          <w:bCs/>
          <w:color w:val="2E5E3A"/>
          <w:sz w:val="22"/>
          <w:szCs w:val="22"/>
        </w:rPr>
        <w:t xml:space="preserve">Fringe, not recommended (22)</w:t>
      </w:r>
    </w:p>
    <w:p>
      <w:pPr>
        <w:spacing w:before="0" w:after="160" w:line="320" w:lineRule="auto"/>
      </w:pPr>
      <w:r>
        <w:rPr>
          <w:rFonts w:ascii="Arial" w:hAnsi="Arial" w:cs="Arial" w:eastAsia="Arial"/>
          <w:color w:val="000000"/>
          <w:sz w:val="22"/>
          <w:szCs w:val="22"/>
        </w:rPr>
        <w:t xml:space="preserve">BB1, NE39, NG2, HU6, BB10, BB2, CA12, HU5, NG25, S6, DN21, HU7, CA5, NE38, WF16, CA7, WF15, DH5, HX3, WF14, CA8, HU8</w:t>
      </w:r>
    </w:p>
    <w:p>
      <w:pPr>
        <w:spacing w:before="220" w:after="80" w:line="320" w:lineRule="auto"/>
        <w:keepNext/>
      </w:pPr>
      <w:r>
        <w:rPr>
          <w:rFonts w:ascii="Arial" w:hAnsi="Arial" w:cs="Arial" w:eastAsia="Arial"/>
          <w:b/>
          <w:bCs/>
          <w:color w:val="2E5E3A"/>
          <w:sz w:val="22"/>
          <w:szCs w:val="22"/>
        </w:rPr>
        <w:t xml:space="preserve">Non-geographic, do not target</w:t>
      </w:r>
    </w:p>
    <w:p>
      <w:pPr>
        <w:spacing w:before="0" w:after="160" w:line="320" w:lineRule="auto"/>
      </w:pPr>
      <w:r>
        <w:rPr>
          <w:rFonts w:ascii="Arial" w:hAnsi="Arial" w:cs="Arial" w:eastAsia="Arial"/>
          <w:color w:val="000000"/>
          <w:sz w:val="22"/>
          <w:szCs w:val="22"/>
        </w:rPr>
        <w:t xml:space="preserve">BD97, BD98, BD99, DH97, DH98, DH99, DL98, LS88, LS98, LS99, NG80, NG90, S49, S95, S96, S97, S98, S99, WF90, YO90</w:t>
      </w:r>
    </w:p>
    <w:p>
      <w:pPr>
        <w:pageBreakBefore/>
        <w:pBdr>
          <w:bottom w:val="single" w:sz="6" w:space="4" w:color="C8D6CB"/>
        </w:pBdr>
        <w:spacing w:before="0" w:after="280" w:line="276" w:lineRule="auto"/>
        <w:keepNext/>
      </w:pPr>
      <w:r>
        <w:rPr>
          <w:rFonts w:ascii="Arial" w:hAnsi="Arial" w:cs="Arial" w:eastAsia="Arial"/>
          <w:b/>
          <w:bCs/>
          <w:color w:val="2E5E3A"/>
          <w:sz w:val="34"/>
          <w:szCs w:val="34"/>
        </w:rPr>
        <w:t xml:space="preserve">Slades Farm</w:t>
      </w:r>
    </w:p>
    <w:tbl>
      <w:tblPr>
        <w:tblW w:w="9026" w:type="dxa"/>
        <w:tblLayout w:type="fixed"/>
        <w:tblBorders>
          <w:top w:val="single" w:sz="6" w:space="0" w:color="C8D6CB"/>
          <w:left w:val="single" w:sz="6" w:space="0" w:color="C8D6CB"/>
          <w:bottom w:val="single" w:sz="6" w:space="0" w:color="C8D6CB"/>
          <w:right w:val="single" w:sz="6" w:space="0" w:color="C8D6CB"/>
          <w:insideH w:val="single" w:sz="6" w:space="0" w:color="C8D6CB"/>
          <w:insideV w:val="single" w:sz="6" w:space="0" w:color="C8D6CB"/>
        </w:tblBorders>
      </w:tblPr>
      <w:tblGrid>
        <w:gridCol w:w="2900"/>
        <w:gridCol w:w="6126"/>
      </w:tblGrid>
      <w:tr>
        <w:trPr>
          <w:cantSplit/>
        </w:trPr>
        <w:tc>
          <w:tcPr>
            <w:tcW w:w="2900" w:type="dxa"/>
            <w:tcBorders>
              <w:top w:val="single" w:sz="6" w:space="0" w:color="C8D6CB"/>
              <w:left w:val="single" w:sz="6" w:space="0" w:color="C8D6CB"/>
              <w:bottom w:val="single" w:sz="6" w:space="0" w:color="C8D6CB"/>
              <w:right w:val="single" w:sz="6" w:space="0" w:color="C8D6CB"/>
            </w:tcBorders>
            <w:shd w:val="clear" w:color="auto" w:fill="EEF4EF"/>
            <w:tcMar>
              <w:top w:w="100" w:type="dxa"/>
              <w:left w:w="100" w:type="dxa"/>
              <w:bottom w:w="100" w:type="dxa"/>
              <w:right w:w="100" w:type="dxa"/>
            </w:tcMar>
            <w:vAlign w:val="top"/>
          </w:tcPr>
          <w:p>
            <w:pPr>
              <w:spacing w:before="0" w:after="0" w:line="276" w:lineRule="auto"/>
            </w:pPr>
            <w:r>
              <w:rPr>
                <w:rFonts w:ascii="Arial" w:hAnsi="Arial" w:cs="Arial" w:eastAsia="Arial"/>
                <w:b/>
                <w:bCs/>
                <w:color w:val="000000"/>
                <w:sz w:val="20"/>
                <w:szCs w:val="20"/>
              </w:rPr>
              <w:t xml:space="preserve">Site postcode</w:t>
            </w:r>
          </w:p>
        </w:tc>
        <w:tc>
          <w:tcPr>
            <w:tcW w:w="6126" w:type="dxa"/>
            <w:tcBorders>
              <w:top w:val="single" w:sz="6" w:space="0" w:color="C8D6CB"/>
              <w:left w:val="single" w:sz="6" w:space="0" w:color="C8D6CB"/>
              <w:bottom w:val="single" w:sz="6" w:space="0" w:color="C8D6CB"/>
              <w:right w:val="single" w:sz="6" w:space="0" w:color="C8D6CB"/>
            </w:tcBorders>
            <w:tcMar>
              <w:top w:w="100" w:type="dxa"/>
              <w:left w:w="100" w:type="dxa"/>
              <w:bottom w:w="100" w:type="dxa"/>
              <w:right w:w="100" w:type="dxa"/>
            </w:tcMar>
            <w:vAlign w:val="top"/>
          </w:tcPr>
          <w:p>
            <w:pPr>
              <w:spacing w:before="0" w:after="0" w:line="276" w:lineRule="auto"/>
            </w:pPr>
            <w:r>
              <w:rPr>
                <w:rFonts w:ascii="Arial" w:hAnsi="Arial" w:cs="Arial" w:eastAsia="Arial"/>
                <w:color w:val="000000"/>
                <w:sz w:val="20"/>
                <w:szCs w:val="20"/>
              </w:rPr>
              <w:t xml:space="preserve">GU5 0LT</w:t>
            </w:r>
          </w:p>
        </w:tc>
      </w:tr>
      <w:tr>
        <w:trPr>
          <w:cantSplit/>
        </w:trPr>
        <w:tc>
          <w:tcPr>
            <w:tcW w:w="2900" w:type="dxa"/>
            <w:tcBorders>
              <w:top w:val="single" w:sz="6" w:space="0" w:color="C8D6CB"/>
              <w:left w:val="single" w:sz="6" w:space="0" w:color="C8D6CB"/>
              <w:bottom w:val="single" w:sz="6" w:space="0" w:color="C8D6CB"/>
              <w:right w:val="single" w:sz="6" w:space="0" w:color="C8D6CB"/>
            </w:tcBorders>
            <w:shd w:val="clear" w:color="auto" w:fill="EEF4EF"/>
            <w:tcMar>
              <w:top w:w="100" w:type="dxa"/>
              <w:left w:w="100" w:type="dxa"/>
              <w:bottom w:w="100" w:type="dxa"/>
              <w:right w:w="100" w:type="dxa"/>
            </w:tcMar>
            <w:vAlign w:val="top"/>
          </w:tcPr>
          <w:p>
            <w:pPr>
              <w:spacing w:before="0" w:after="0" w:line="276" w:lineRule="auto"/>
            </w:pPr>
            <w:r>
              <w:rPr>
                <w:rFonts w:ascii="Arial" w:hAnsi="Arial" w:cs="Arial" w:eastAsia="Arial"/>
                <w:b/>
                <w:bCs/>
                <w:color w:val="000000"/>
                <w:sz w:val="20"/>
                <w:szCs w:val="20"/>
              </w:rPr>
              <w:t xml:space="preserve">Local planning authority</w:t>
            </w:r>
          </w:p>
        </w:tc>
        <w:tc>
          <w:tcPr>
            <w:tcW w:w="6126" w:type="dxa"/>
            <w:tcBorders>
              <w:top w:val="single" w:sz="6" w:space="0" w:color="C8D6CB"/>
              <w:left w:val="single" w:sz="6" w:space="0" w:color="C8D6CB"/>
              <w:bottom w:val="single" w:sz="6" w:space="0" w:color="C8D6CB"/>
              <w:right w:val="single" w:sz="6" w:space="0" w:color="C8D6CB"/>
            </w:tcBorders>
            <w:tcMar>
              <w:top w:w="100" w:type="dxa"/>
              <w:left w:w="100" w:type="dxa"/>
              <w:bottom w:w="100" w:type="dxa"/>
              <w:right w:w="100" w:type="dxa"/>
            </w:tcMar>
            <w:vAlign w:val="top"/>
          </w:tcPr>
          <w:p>
            <w:pPr>
              <w:spacing w:before="0" w:after="0" w:line="276" w:lineRule="auto"/>
            </w:pPr>
            <w:r>
              <w:rPr>
                <w:rFonts w:ascii="Arial" w:hAnsi="Arial" w:cs="Arial" w:eastAsia="Arial"/>
                <w:color w:val="000000"/>
                <w:sz w:val="20"/>
                <w:szCs w:val="20"/>
              </w:rPr>
              <w:t xml:space="preserve">Waverley Borough Council</w:t>
            </w:r>
          </w:p>
        </w:tc>
      </w:tr>
      <w:tr>
        <w:trPr>
          <w:cantSplit/>
        </w:trPr>
        <w:tc>
          <w:tcPr>
            <w:tcW w:w="2900" w:type="dxa"/>
            <w:tcBorders>
              <w:top w:val="single" w:sz="6" w:space="0" w:color="C8D6CB"/>
              <w:left w:val="single" w:sz="6" w:space="0" w:color="C8D6CB"/>
              <w:bottom w:val="single" w:sz="6" w:space="0" w:color="C8D6CB"/>
              <w:right w:val="single" w:sz="6" w:space="0" w:color="C8D6CB"/>
            </w:tcBorders>
            <w:shd w:val="clear" w:color="auto" w:fill="EEF4EF"/>
            <w:tcMar>
              <w:top w:w="100" w:type="dxa"/>
              <w:left w:w="100" w:type="dxa"/>
              <w:bottom w:w="100" w:type="dxa"/>
              <w:right w:w="100" w:type="dxa"/>
            </w:tcMar>
            <w:vAlign w:val="top"/>
          </w:tcPr>
          <w:p>
            <w:pPr>
              <w:spacing w:before="0" w:after="0" w:line="276" w:lineRule="auto"/>
            </w:pPr>
            <w:r>
              <w:rPr>
                <w:rFonts w:ascii="Arial" w:hAnsi="Arial" w:cs="Arial" w:eastAsia="Arial"/>
                <w:b/>
                <w:bCs/>
                <w:color w:val="000000"/>
                <w:sz w:val="20"/>
                <w:szCs w:val="20"/>
              </w:rPr>
              <w:t xml:space="preserve">National Character Area</w:t>
            </w:r>
          </w:p>
        </w:tc>
        <w:tc>
          <w:tcPr>
            <w:tcW w:w="6126" w:type="dxa"/>
            <w:tcBorders>
              <w:top w:val="single" w:sz="6" w:space="0" w:color="C8D6CB"/>
              <w:left w:val="single" w:sz="6" w:space="0" w:color="C8D6CB"/>
              <w:bottom w:val="single" w:sz="6" w:space="0" w:color="C8D6CB"/>
              <w:right w:val="single" w:sz="6" w:space="0" w:color="C8D6CB"/>
            </w:tcBorders>
            <w:tcMar>
              <w:top w:w="100" w:type="dxa"/>
              <w:left w:w="100" w:type="dxa"/>
              <w:bottom w:w="100" w:type="dxa"/>
              <w:right w:w="100" w:type="dxa"/>
            </w:tcMar>
            <w:vAlign w:val="top"/>
          </w:tcPr>
          <w:p>
            <w:pPr>
              <w:spacing w:before="0" w:after="0" w:line="276" w:lineRule="auto"/>
            </w:pPr>
            <w:r>
              <w:rPr>
                <w:rFonts w:ascii="Arial" w:hAnsi="Arial" w:cs="Arial" w:eastAsia="Arial"/>
                <w:color w:val="000000"/>
                <w:sz w:val="20"/>
                <w:szCs w:val="20"/>
              </w:rPr>
              <w:t xml:space="preserve">Wealden Greensand</w:t>
            </w:r>
          </w:p>
        </w:tc>
      </w:tr>
      <w:tr>
        <w:trPr>
          <w:cantSplit/>
        </w:trPr>
        <w:tc>
          <w:tcPr>
            <w:tcW w:w="2900" w:type="dxa"/>
            <w:tcBorders>
              <w:top w:val="single" w:sz="6" w:space="0" w:color="C8D6CB"/>
              <w:left w:val="single" w:sz="6" w:space="0" w:color="C8D6CB"/>
              <w:bottom w:val="single" w:sz="6" w:space="0" w:color="C8D6CB"/>
              <w:right w:val="single" w:sz="6" w:space="0" w:color="C8D6CB"/>
            </w:tcBorders>
            <w:shd w:val="clear" w:color="auto" w:fill="EEF4EF"/>
            <w:tcMar>
              <w:top w:w="100" w:type="dxa"/>
              <w:left w:w="100" w:type="dxa"/>
              <w:bottom w:w="100" w:type="dxa"/>
              <w:right w:w="100" w:type="dxa"/>
            </w:tcMar>
            <w:vAlign w:val="top"/>
          </w:tcPr>
          <w:p>
            <w:pPr>
              <w:spacing w:before="0" w:after="0" w:line="276" w:lineRule="auto"/>
            </w:pPr>
            <w:r>
              <w:rPr>
                <w:rFonts w:ascii="Arial" w:hAnsi="Arial" w:cs="Arial" w:eastAsia="Arial"/>
                <w:b/>
                <w:bCs/>
                <w:color w:val="000000"/>
                <w:sz w:val="20"/>
                <w:szCs w:val="20"/>
              </w:rPr>
              <w:t xml:space="preserve">Neighbouring councils</w:t>
            </w:r>
          </w:p>
        </w:tc>
        <w:tc>
          <w:tcPr>
            <w:tcW w:w="6126" w:type="dxa"/>
            <w:tcBorders>
              <w:top w:val="single" w:sz="6" w:space="0" w:color="C8D6CB"/>
              <w:left w:val="single" w:sz="6" w:space="0" w:color="C8D6CB"/>
              <w:bottom w:val="single" w:sz="6" w:space="0" w:color="C8D6CB"/>
              <w:right w:val="single" w:sz="6" w:space="0" w:color="C8D6CB"/>
            </w:tcBorders>
            <w:tcMar>
              <w:top w:w="100" w:type="dxa"/>
              <w:left w:w="100" w:type="dxa"/>
              <w:bottom w:w="100" w:type="dxa"/>
              <w:right w:w="100" w:type="dxa"/>
            </w:tcMar>
            <w:vAlign w:val="top"/>
          </w:tcPr>
          <w:p>
            <w:pPr>
              <w:spacing w:before="0" w:after="0" w:line="276" w:lineRule="auto"/>
            </w:pPr>
            <w:r>
              <w:rPr>
                <w:rFonts w:ascii="Arial" w:hAnsi="Arial" w:cs="Arial" w:eastAsia="Arial"/>
                <w:color w:val="000000"/>
                <w:sz w:val="20"/>
                <w:szCs w:val="20"/>
              </w:rPr>
              <w:t xml:space="preserve">East Hampshire, Guildford, Horsham, Hart, Mole Valley, Chichester, Rushmoor</w:t>
            </w:r>
          </w:p>
        </w:tc>
      </w:tr>
      <w:tr>
        <w:trPr>
          <w:cantSplit/>
        </w:trPr>
        <w:tc>
          <w:tcPr>
            <w:tcW w:w="2900" w:type="dxa"/>
            <w:tcBorders>
              <w:top w:val="single" w:sz="6" w:space="0" w:color="C8D6CB"/>
              <w:left w:val="single" w:sz="6" w:space="0" w:color="C8D6CB"/>
              <w:bottom w:val="single" w:sz="6" w:space="0" w:color="C8D6CB"/>
              <w:right w:val="single" w:sz="6" w:space="0" w:color="C8D6CB"/>
            </w:tcBorders>
            <w:shd w:val="clear" w:color="auto" w:fill="EEF4EF"/>
            <w:tcMar>
              <w:top w:w="100" w:type="dxa"/>
              <w:left w:w="100" w:type="dxa"/>
              <w:bottom w:w="100" w:type="dxa"/>
              <w:right w:w="100" w:type="dxa"/>
            </w:tcMar>
            <w:vAlign w:val="top"/>
          </w:tcPr>
          <w:p>
            <w:pPr>
              <w:spacing w:before="0" w:after="0" w:line="276" w:lineRule="auto"/>
            </w:pPr>
            <w:r>
              <w:rPr>
                <w:rFonts w:ascii="Arial" w:hAnsi="Arial" w:cs="Arial" w:eastAsia="Arial"/>
                <w:b/>
                <w:bCs/>
                <w:color w:val="000000"/>
                <w:sz w:val="20"/>
                <w:szCs w:val="20"/>
              </w:rPr>
              <w:t xml:space="preserve">Neighbouring character areas</w:t>
            </w:r>
          </w:p>
        </w:tc>
        <w:tc>
          <w:tcPr>
            <w:tcW w:w="6126" w:type="dxa"/>
            <w:tcBorders>
              <w:top w:val="single" w:sz="6" w:space="0" w:color="C8D6CB"/>
              <w:left w:val="single" w:sz="6" w:space="0" w:color="C8D6CB"/>
              <w:bottom w:val="single" w:sz="6" w:space="0" w:color="C8D6CB"/>
              <w:right w:val="single" w:sz="6" w:space="0" w:color="C8D6CB"/>
            </w:tcBorders>
            <w:tcMar>
              <w:top w:w="100" w:type="dxa"/>
              <w:left w:w="100" w:type="dxa"/>
              <w:bottom w:w="100" w:type="dxa"/>
              <w:right w:w="100" w:type="dxa"/>
            </w:tcMar>
            <w:vAlign w:val="top"/>
          </w:tcPr>
          <w:p>
            <w:pPr>
              <w:spacing w:before="0" w:after="0" w:line="276" w:lineRule="auto"/>
            </w:pPr>
            <w:r>
              <w:rPr>
                <w:rFonts w:ascii="Arial" w:hAnsi="Arial" w:cs="Arial" w:eastAsia="Arial"/>
                <w:color w:val="000000"/>
                <w:sz w:val="20"/>
                <w:szCs w:val="20"/>
              </w:rPr>
              <w:t xml:space="preserve">North Downs, Low Weald, Romney Marshes, South Downs, Hampshire Downs</w:t>
            </w:r>
          </w:p>
        </w:tc>
      </w:tr>
    </w:tbl>
    <w:p>
      <w:pPr>
        <w:pBdr>
          <w:bottom w:val="single" w:sz="6" w:space="4" w:color="C8D6CB"/>
        </w:pBdr>
        <w:spacing w:before="400" w:after="200" w:line="300" w:lineRule="auto"/>
        <w:keepNext/>
      </w:pPr>
      <w:r>
        <w:rPr>
          <w:rFonts w:ascii="Arial" w:hAnsi="Arial" w:cs="Arial" w:eastAsia="Arial"/>
          <w:b/>
          <w:bCs/>
          <w:color w:val="2E5E3A"/>
          <w:sz w:val="26"/>
          <w:szCs w:val="26"/>
        </w:rPr>
        <w:t xml:space="preserve">Full value</w:t>
      </w:r>
      <w:r>
        <w:rPr>
          <w:rFonts w:ascii="Arial" w:hAnsi="Arial" w:cs="Arial" w:eastAsia="Arial"/>
          <w:color w:val="666666"/>
          <w:sz w:val="22"/>
          <w:szCs w:val="22"/>
        </w:rPr>
        <w:t xml:space="preserve">  –  own council and character area (1.0 multiplier)</w:t>
      </w:r>
    </w:p>
    <w:p>
      <w:pPr>
        <w:ind w:left="567"/>
        <w:jc w:val="both"/>
        <w:spacing w:before="120" w:after="200" w:line="300" w:lineRule="auto"/>
      </w:pPr>
      <w:r>
        <w:rPr>
          <w:rFonts w:ascii="Arial" w:hAnsi="Arial" w:cs="Arial" w:eastAsia="Arial"/>
          <w:b/>
          <w:bCs/>
          <w:i/>
          <w:iCs/>
          <w:color w:val="666666"/>
          <w:sz w:val="21"/>
          <w:szCs w:val="21"/>
        </w:rPr>
        <w:t xml:space="preserve">Note: </w:t>
      </w:r>
      <w:r>
        <w:rPr>
          <w:rFonts w:ascii="Arial" w:hAnsi="Arial" w:cs="Arial" w:eastAsia="Arial"/>
          <w:i/>
          <w:iCs/>
          <w:color w:val="666666"/>
          <w:sz w:val="21"/>
          <w:szCs w:val="21"/>
        </w:rPr>
        <w:t xml:space="preserve">The character area runs east from Surrey into Kent, which is why Maidstone, Ashford and Folkestone districts (ME, TN, CT) appear in the core list.</w:t>
      </w:r>
    </w:p>
    <w:p>
      <w:pPr>
        <w:spacing w:before="220" w:after="80" w:line="320" w:lineRule="auto"/>
        <w:keepNext/>
      </w:pPr>
      <w:r>
        <w:rPr>
          <w:rFonts w:ascii="Arial" w:hAnsi="Arial" w:cs="Arial" w:eastAsia="Arial"/>
          <w:b/>
          <w:bCs/>
          <w:color w:val="2E5E3A"/>
          <w:sz w:val="22"/>
          <w:szCs w:val="22"/>
        </w:rPr>
        <w:t xml:space="preserve">Core districts (38)</w:t>
      </w:r>
    </w:p>
    <w:p>
      <w:pPr>
        <w:spacing w:before="0" w:after="160" w:line="320" w:lineRule="auto"/>
      </w:pPr>
      <w:r>
        <w:rPr>
          <w:rFonts w:ascii="Arial" w:hAnsi="Arial" w:cs="Arial" w:eastAsia="Arial"/>
          <w:color w:val="000000"/>
          <w:sz w:val="22"/>
          <w:szCs w:val="22"/>
        </w:rPr>
        <w:t xml:space="preserve">CT19, CT20, CT21, GU5, GU6, GU7, GU8, GU9, GU10, GU26, GU27, GU28, GU29, GU30, GU31, GU32, GU33, GU35, ME6, ME14, ME15, ME16, ME17, ME18, ME19, ME20, RH1, RH2, RH3, RH4, RH8, RH9, RH20, TN13, TN15, TN23, TN24, TN25</w:t>
      </w:r>
    </w:p>
    <w:p>
      <w:pPr>
        <w:spacing w:before="220" w:after="80" w:line="320" w:lineRule="auto"/>
        <w:keepNext/>
      </w:pPr>
      <w:r>
        <w:rPr>
          <w:rFonts w:ascii="Arial" w:hAnsi="Arial" w:cs="Arial" w:eastAsia="Arial"/>
          <w:b/>
          <w:bCs/>
          <w:color w:val="2E5E3A"/>
          <w:sz w:val="22"/>
          <w:szCs w:val="22"/>
        </w:rPr>
        <w:t xml:space="preserve">Partial (6)</w:t>
      </w:r>
    </w:p>
    <w:p>
      <w:pPr>
        <w:spacing w:before="0" w:after="160" w:line="320" w:lineRule="auto"/>
      </w:pPr>
      <w:r>
        <w:rPr>
          <w:rFonts w:ascii="Arial" w:hAnsi="Arial" w:cs="Arial" w:eastAsia="Arial"/>
          <w:color w:val="000000"/>
          <w:sz w:val="22"/>
          <w:szCs w:val="22"/>
        </w:rPr>
        <w:t xml:space="preserve">TN16 (38%, +62% catchment), TN14 (36%, +64% catchment), GU4 (30%, +67% catchment), RH5 (25%, +75% catchment), TN27 (23%, +73% catchment), GU3 (17%, +80% catchment)</w:t>
      </w:r>
    </w:p>
    <w:p>
      <w:pPr>
        <w:spacing w:before="220" w:after="80" w:line="320" w:lineRule="auto"/>
        <w:keepNext/>
      </w:pPr>
      <w:r>
        <w:rPr>
          <w:rFonts w:ascii="Arial" w:hAnsi="Arial" w:cs="Arial" w:eastAsia="Arial"/>
          <w:b/>
          <w:bCs/>
          <w:color w:val="2E5E3A"/>
          <w:sz w:val="22"/>
          <w:szCs w:val="22"/>
        </w:rPr>
        <w:t xml:space="preserve">Fringe, not recommended (0)</w:t>
      </w:r>
    </w:p>
    <w:p>
      <w:pPr>
        <w:spacing w:before="0" w:after="160" w:line="320" w:lineRule="auto"/>
      </w:pPr>
      <w:r>
        <w:rPr>
          <w:rFonts w:ascii="Arial" w:hAnsi="Arial" w:cs="Arial" w:eastAsia="Arial"/>
          <w:color w:val="000000"/>
          <w:sz w:val="22"/>
          <w:szCs w:val="22"/>
        </w:rPr>
        <w:t xml:space="preserve">none</w:t>
      </w:r>
    </w:p>
    <w:p>
      <w:pPr>
        <w:spacing w:before="220" w:after="80" w:line="320" w:lineRule="auto"/>
        <w:keepNext/>
      </w:pPr>
      <w:r>
        <w:rPr>
          <w:rFonts w:ascii="Arial" w:hAnsi="Arial" w:cs="Arial" w:eastAsia="Arial"/>
          <w:b/>
          <w:bCs/>
          <w:color w:val="2E5E3A"/>
          <w:sz w:val="22"/>
          <w:szCs w:val="22"/>
        </w:rPr>
        <w:t xml:space="preserve">Non-geographic, do not target</w:t>
      </w:r>
    </w:p>
    <w:p>
      <w:pPr>
        <w:spacing w:before="0" w:after="160" w:line="320" w:lineRule="auto"/>
      </w:pPr>
      <w:r>
        <w:rPr>
          <w:rFonts w:ascii="Arial" w:hAnsi="Arial" w:cs="Arial" w:eastAsia="Arial"/>
          <w:color w:val="000000"/>
          <w:sz w:val="22"/>
          <w:szCs w:val="22"/>
        </w:rPr>
        <w:t xml:space="preserve">CT50</w:t>
      </w:r>
    </w:p>
    <w:p>
      <w:pPr>
        <w:pBdr>
          <w:bottom w:val="single" w:sz="6" w:space="4" w:color="C8D6CB"/>
        </w:pBdr>
        <w:spacing w:before="400" w:after="200" w:line="300" w:lineRule="auto"/>
        <w:keepNext/>
      </w:pPr>
      <w:r>
        <w:rPr>
          <w:rFonts w:ascii="Arial" w:hAnsi="Arial" w:cs="Arial" w:eastAsia="Arial"/>
          <w:b/>
          <w:bCs/>
          <w:color w:val="2E5E3A"/>
          <w:sz w:val="26"/>
          <w:szCs w:val="26"/>
        </w:rPr>
        <w:t xml:space="preserve">Catchment</w:t>
      </w:r>
      <w:r>
        <w:rPr>
          <w:rFonts w:ascii="Arial" w:hAnsi="Arial" w:cs="Arial" w:eastAsia="Arial"/>
          <w:color w:val="666666"/>
          <w:sz w:val="22"/>
          <w:szCs w:val="22"/>
        </w:rPr>
        <w:t xml:space="preserve">  –  neighbouring councils and character areas (0.75 multiplier)</w:t>
      </w:r>
    </w:p>
    <w:p>
      <w:pPr>
        <w:ind w:left="567"/>
        <w:jc w:val="both"/>
        <w:spacing w:before="120" w:after="200" w:line="300" w:lineRule="auto"/>
      </w:pPr>
      <w:r>
        <w:rPr>
          <w:rFonts w:ascii="Arial" w:hAnsi="Arial" w:cs="Arial" w:eastAsia="Arial"/>
          <w:b/>
          <w:bCs/>
          <w:i/>
          <w:iCs/>
          <w:color w:val="666666"/>
          <w:sz w:val="21"/>
          <w:szCs w:val="21"/>
        </w:rPr>
        <w:t xml:space="preserve">Note: </w:t>
      </w:r>
      <w:r>
        <w:rPr>
          <w:rFonts w:ascii="Arial" w:hAnsi="Arial" w:cs="Arial" w:eastAsia="Arial"/>
          <w:i/>
          <w:iCs/>
          <w:color w:val="666666"/>
          <w:sz w:val="21"/>
          <w:szCs w:val="21"/>
        </w:rPr>
        <w:t xml:space="preserve">The South Downs National Park covers part of this area; its authority borders Waverley, so those postcodes count. The Romney Marshes character area is a neighbour, which is why Kent coast districts (CT, TN28, TN29) appear.</w:t>
      </w:r>
    </w:p>
    <w:p>
      <w:pPr>
        <w:spacing w:before="220" w:after="80" w:line="320" w:lineRule="auto"/>
        <w:keepNext/>
      </w:pPr>
      <w:r>
        <w:rPr>
          <w:rFonts w:ascii="Arial" w:hAnsi="Arial" w:cs="Arial" w:eastAsia="Arial"/>
          <w:b/>
          <w:bCs/>
          <w:color w:val="2E5E3A"/>
          <w:sz w:val="22"/>
          <w:szCs w:val="22"/>
        </w:rPr>
        <w:t xml:space="preserve">Core districts (90)</w:t>
      </w:r>
    </w:p>
    <w:p>
      <w:pPr>
        <w:spacing w:before="0" w:after="160" w:line="320" w:lineRule="auto"/>
      </w:pPr>
      <w:r>
        <w:rPr>
          <w:rFonts w:ascii="Arial" w:hAnsi="Arial" w:cs="Arial" w:eastAsia="Arial"/>
          <w:color w:val="000000"/>
          <w:sz w:val="22"/>
          <w:szCs w:val="22"/>
        </w:rPr>
        <w:t xml:space="preserve">BN1, BN2, BN3, BN5, BN6, BN7, BN8, BN9, BN10, BN20, BN25, BN26, BN27, BN41, BN42, BN44, BN45, CR2, CR3, CR5, CR6, CR8, CT4, CT14, CT15, CT16, CT17, CT18, DA3, DA4, DA13, GU1, GU2, GU11, GU12, GU14, GU17, GU23, GU34, GU46, GU51, GU52, KT18, KT20, KT21, KT22, KT23, KT24, ME1, ME2, ME4, ME5, PO8, PO10, PO18, PO19, PO20, RG21, RG22, RG23, RG24, RG25, RG27, RG28, RG29, RH6, RH7, RH10, RH11, RH12, RH13, RH14, RH15, SM7, SO20, SO21, SO22, SO23, SO24, SP10, SP11, TN8, TN9, TN10, TN11, TN12, TN26, TN28, TN29, TN36</w:t>
      </w:r>
    </w:p>
    <w:p>
      <w:pPr>
        <w:spacing w:before="220" w:after="80" w:line="320" w:lineRule="auto"/>
        <w:keepNext/>
      </w:pPr>
      <w:r>
        <w:rPr>
          <w:rFonts w:ascii="Arial" w:hAnsi="Arial" w:cs="Arial" w:eastAsia="Arial"/>
          <w:b/>
          <w:bCs/>
          <w:color w:val="2E5E3A"/>
          <w:sz w:val="22"/>
          <w:szCs w:val="22"/>
        </w:rPr>
        <w:t xml:space="preserve">Partial (22)</w:t>
      </w:r>
    </w:p>
    <w:p>
      <w:pPr>
        <w:spacing w:before="0" w:after="160" w:line="320" w:lineRule="auto"/>
      </w:pPr>
      <w:r>
        <w:rPr>
          <w:rFonts w:ascii="Arial" w:hAnsi="Arial" w:cs="Arial" w:eastAsia="Arial"/>
          <w:color w:val="000000"/>
          <w:sz w:val="22"/>
          <w:szCs w:val="22"/>
        </w:rPr>
        <w:t xml:space="preserve">BR6 (41%), TN31 (40%), CT3 (38%), BN18 (37%), TN22 (30%), BN21 (29%), KT17 (29%), ME9 (28%), BN14 (28%), TN30 (28%), CT13 (25%), BN43 (23%), SO32 (22%), RH17 (19%), PO7 (18%), GU24 (17%), RH16 (15%), BN15 (14%), CR0 (13%), BN13 (13%), ME13 (12%), ME7 (12%)</w:t>
      </w:r>
    </w:p>
    <w:p>
      <w:pPr>
        <w:spacing w:before="220" w:after="80" w:line="320" w:lineRule="auto"/>
        <w:keepNext/>
      </w:pPr>
      <w:r>
        <w:rPr>
          <w:rFonts w:ascii="Arial" w:hAnsi="Arial" w:cs="Arial" w:eastAsia="Arial"/>
          <w:b/>
          <w:bCs/>
          <w:color w:val="2E5E3A"/>
          <w:sz w:val="22"/>
          <w:szCs w:val="22"/>
        </w:rPr>
        <w:t xml:space="preserve">Fringe, not recommended (31)</w:t>
      </w:r>
    </w:p>
    <w:p>
      <w:pPr>
        <w:spacing w:before="0" w:after="160" w:line="320" w:lineRule="auto"/>
      </w:pPr>
      <w:r>
        <w:rPr>
          <w:rFonts w:ascii="Arial" w:hAnsi="Arial" w:cs="Arial" w:eastAsia="Arial"/>
          <w:color w:val="000000"/>
          <w:sz w:val="22"/>
          <w:szCs w:val="22"/>
        </w:rPr>
        <w:t xml:space="preserve">ME8, PO9, TN17, SM2, KT11, BR8, RG26, RG20, SO51, BR2, DA12, TN18, TN35, TN2, RH19, CT1, SM5, SN8, TN20, TN1, TN21, RG17, RG7, TN3, TN32, ME3, GU16, BR5, TN5, BN16, TN4</w:t>
      </w:r>
    </w:p>
    <w:p>
      <w:pPr>
        <w:spacing w:before="220" w:after="80" w:line="320" w:lineRule="auto"/>
        <w:keepNext/>
      </w:pPr>
      <w:r>
        <w:rPr>
          <w:rFonts w:ascii="Arial" w:hAnsi="Arial" w:cs="Arial" w:eastAsia="Arial"/>
          <w:b/>
          <w:bCs/>
          <w:color w:val="2E5E3A"/>
          <w:sz w:val="22"/>
          <w:szCs w:val="22"/>
        </w:rPr>
        <w:t xml:space="preserve">Non-geographic, do not target</w:t>
      </w:r>
    </w:p>
    <w:p>
      <w:pPr>
        <w:spacing w:before="0" w:after="160" w:line="320" w:lineRule="auto"/>
      </w:pPr>
      <w:r>
        <w:rPr>
          <w:rFonts w:ascii="Arial" w:hAnsi="Arial" w:cs="Arial" w:eastAsia="Arial"/>
          <w:color w:val="000000"/>
          <w:sz w:val="22"/>
          <w:szCs w:val="22"/>
        </w:rPr>
        <w:t xml:space="preserve">BN50, BN51, BN52, BN88, CR9, RH77, SO25</w:t>
      </w:r>
    </w:p>
    <w:p>
      <w:pPr>
        <w:pBdr>
          <w:bottom w:val="single" w:sz="6" w:space="4" w:color="C8D6CB"/>
        </w:pBdr>
        <w:spacing w:before="480" w:after="120" w:line="320" w:lineRule="auto"/>
        <w:keepNext/>
      </w:pPr>
      <w:r>
        <w:rPr>
          <w:rFonts w:ascii="Arial" w:hAnsi="Arial" w:cs="Arial" w:eastAsia="Arial"/>
          <w:b/>
          <w:bCs/>
          <w:color w:val="666666"/>
          <w:sz w:val="22"/>
          <w:szCs w:val="22"/>
        </w:rPr>
        <w:t xml:space="preserve">Sources</w:t>
      </w:r>
    </w:p>
    <w:p>
      <w:pPr>
        <w:jc w:val="both"/>
        <w:spacing w:before="0" w:after="120" w:line="300" w:lineRule="auto"/>
      </w:pPr>
      <w:r>
        <w:rPr>
          <w:rFonts w:ascii="Arial" w:hAnsi="Arial" w:cs="Arial" w:eastAsia="Arial"/>
          <w:color w:val="666666"/>
          <w:sz w:val="19"/>
          <w:szCs w:val="19"/>
        </w:rPr>
        <w:t xml:space="preserve">Bank location: Biodiversity Gain Sites register (environment.data.gov.uk), grid reference of each registered site. Council and character area: ONS Local Authority Districts (May 2026) and Natural England National Character Areas; the catchment councils and character areas are those that share a boundary with the bank's own, checked against the map on each live bank page. Postcodes: ONS Postcode Directory (August 2026) and the ONSPD centroid layer, live postcodes only, grouped by district and measured against each district's national total. National parks: ONS National Parks boundaries (December 2022). Non-geographic codes: Royal Mail non-geographic list (July 2019) and ONSPD user-type coding. Multiplier tiers: Statutory Biodiversity Metric User Guide (July 2025), Table 9. Prepared 16 October 2026.</w:t>
      </w:r>
    </w:p>
    <w:sectPr>
      <w:footerReference w:type="default" r:id="rId4"/>
      <w:pgSz w:w="11906" w:h="16838"/>
      <w:pgMar w:top="1440" w:right="1440" w:bottom="1440" w:left="1440" w:header="708" w:footer="708" w:gutter="0"/>
      <w:cols w:space="708"/>
      <w:docGrid w:linePitch="360"/>
    </w:sectPr>
  </w:body>
</w:document>
</file>

<file path=word/footer1.xml><?xml version="1.0" encoding="utf-8"?>
<w:ftr xmlns:w="http://schemas.openxmlformats.org/wordprocessingml/2006/main" xmlns:r="http://schemas.openxmlformats.org/officeDocument/2006/relationships">
  <w:p>
    <w:pPr>
      <w:tabs>
        <w:tab w:val="right" w:pos="9026"/>
      </w:tabs>
      <w:spacing w:before="0" w:after="0" w:line="240" w:lineRule="auto"/>
    </w:pPr>
    <w:r>
      <w:rPr>
        <w:rFonts w:ascii="Arial" w:hAnsi="Arial" w:cs="Arial" w:eastAsia="Arial"/>
        <w:color w:val="666666"/>
        <w:sz w:val="18"/>
        <w:szCs w:val="18"/>
      </w:rPr>
      <w:t xml:space="preserve">Biofarm habitat bank service areas</w:t>
    </w:r>
    <w:r>
      <w:tab/>
    </w:r>
    <w:r>
      <w:rPr>
        <w:rFonts w:ascii="Arial" w:hAnsi="Arial" w:cs="Arial" w:eastAsia="Arial"/>
        <w:color w:val="666666"/>
        <w:sz w:val="18"/>
        <w:szCs w:val="18"/>
      </w:rPr>
      <w:t xml:space="preserve">Page </w:t>
    </w:r>
    <w:fldSimple w:instr=" PAGE ">
      <w:r>
        <w:rPr>
          <w:rFonts w:ascii="Arial" w:hAnsi="Arial" w:cs="Arial" w:eastAsia="Arial"/>
          <w:color w:val="666666"/>
          <w:sz w:val="18"/>
          <w:szCs w:val="18"/>
        </w:rPr>
        <w:t>1</w:t>
      </w:r>
    </w:fldSimple>
  </w:p>
</w:ftr>
</file>

<file path=word/numbering.xml><?xml version="1.0" encoding="utf-8"?>
<w:numbering xmlns:w="http://schemas.openxmlformats.org/wordprocessingml/2006/main" xmlns:r="http://schemas.openxmlformats.org/officeDocument/2006/relationships">
  <w:abstractNum w:abstractNumId="0">
    <w:multiLevelType w:val="hybridMultilevel"/>
    <w:lvl w:ilvl="0">
      <w:start w:val="1"/>
      <w:numFmt w:val="bullet"/>
      <w:lvlText w:val="•"/>
      <w:lvlJc w:val="left"/>
      <w:pPr>
        <w:ind w:left="567" w:hanging="283"/>
      </w:pPr>
      <w:rPr>
        <w:rFonts w:ascii="Arial" w:hAnsi="Arial" w:cs="Arial"/>
      </w:rPr>
    </w:lvl>
  </w:abstractNum>
  <w:num w:numId="1">
    <w:abstractNumId w:val="0"/>
  </w:num>
</w:numbering>
</file>

<file path=word/settings.xml><?xml version="1.0" encoding="utf-8"?>
<w:settings xmlns:w="http://schemas.openxmlformats.org/wordprocessingml/2006/main" xmlns:r="http://schemas.openxmlformats.org/officeDocument/2006/relationships">
  <w:defaultTabStop w:val="720"/>
  <w:characterSpacingControl w:val="doNotCompress"/>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Arial" w:hAnsi="Arial" w:cs="Arial" w:eastAsia="Arial"/>
        <w:color w:val="000000"/>
        <w:sz w:val="22"/>
        <w:szCs w:val="22"/>
        <w:lang w:val="en-GB"/>
      </w:rPr>
    </w:rPrDefault>
    <w:pPrDefault>
      <w:pPr>
        <w:spacing w:after="160" w:line="320" w:lineRule="auto"/>
      </w:pPr>
    </w:pPrDefault>
  </w:docDefaults>
  <w:style w:type="paragraph" w:default="1" w:styleId="Normal">
    <w:name w:val="Normal"/>
    <w:qFormat/>
  </w:style>
  <w:style w:type="table" w:default="1" w:styleId="TableNormal">
    <w:name w:val="Normal Table"/>
    <w:tblPr>
      <w:tblInd w:w="0" w:type="dxa"/>
      <w:tblCellMar>
        <w:top w:w="0" w:type="dxa"/>
        <w:left w:w="108" w:type="dxa"/>
        <w:bottom w:w="0" w:type="dxa"/>
        <w:right w:w="108"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Habitat bank service areas</dc:title>
  <dc:creator>Biofarm</dc:creator>
  <cp:lastModifiedBy>Biofarm</cp:lastModifiedBy>
  <dcterms:created xsi:type="dcterms:W3CDTF">2026-10-16T00:00:00Z</dcterms:created>
  <dcterms:modified xsi:type="dcterms:W3CDTF">2026-10-16T00:00:00Z</dcterms:modified>
</cp:coreProperties>
</file>