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36BEA" w14:textId="73D0315C" w:rsidR="00550DEF" w:rsidRDefault="5BD17917" w:rsidP="145EDE3A">
      <w:pPr>
        <w:spacing w:after="0"/>
      </w:pPr>
      <w:r w:rsidRPr="145EDE3A">
        <w:rPr>
          <w:b/>
          <w:bCs/>
        </w:rPr>
        <w:t>Live Date:</w:t>
      </w:r>
      <w:r>
        <w:t xml:space="preserve"> Monday 18 May</w:t>
      </w:r>
    </w:p>
    <w:p w14:paraId="21E7A551" w14:textId="6ADBCF8A" w:rsidR="00550DEF" w:rsidRDefault="5BD17917" w:rsidP="145EDE3A">
      <w:pPr>
        <w:spacing w:after="0"/>
      </w:pPr>
      <w:r w:rsidRPr="321DE79C">
        <w:rPr>
          <w:b/>
          <w:bCs/>
        </w:rPr>
        <w:t xml:space="preserve">Targeting: </w:t>
      </w:r>
      <w:r>
        <w:t>Full base</w:t>
      </w:r>
      <w:r w:rsidR="06D3A6DA">
        <w:t xml:space="preserve"> (</w:t>
      </w:r>
      <w:r>
        <w:t xml:space="preserve">including UKREiiF prospects </w:t>
      </w:r>
      <w:r w:rsidR="0E7A661F">
        <w:t>if we can get that fixed)</w:t>
      </w:r>
    </w:p>
    <w:p w14:paraId="0B1EDB15" w14:textId="0536F47C" w:rsidR="5BD17917" w:rsidRDefault="5BD17917" w:rsidP="321DE79C">
      <w:pPr>
        <w:spacing w:after="0"/>
      </w:pPr>
      <w:r w:rsidRPr="321DE79C">
        <w:rPr>
          <w:b/>
          <w:bCs/>
        </w:rPr>
        <w:t xml:space="preserve">Template: </w:t>
      </w:r>
      <w:r>
        <w:t>April</w:t>
      </w:r>
      <w:r w:rsidRPr="321DE79C">
        <w:rPr>
          <w:rFonts w:ascii="Aptos" w:eastAsia="Aptos" w:hAnsi="Aptos" w:cs="Aptos"/>
          <w:color w:val="000000" w:themeColor="text1"/>
        </w:rPr>
        <w:t xml:space="preserve"> template </w:t>
      </w:r>
    </w:p>
    <w:p w14:paraId="41106384" w14:textId="18004898" w:rsidR="321DE79C" w:rsidRDefault="321DE79C" w:rsidP="321DE79C">
      <w:pPr>
        <w:spacing w:after="0"/>
        <w:rPr>
          <w:rFonts w:ascii="Aptos" w:eastAsia="Aptos" w:hAnsi="Aptos" w:cs="Aptos"/>
          <w:color w:val="000000" w:themeColor="text1"/>
        </w:rPr>
      </w:pPr>
    </w:p>
    <w:p w14:paraId="620FEC1C" w14:textId="1C7ECD44" w:rsidR="75BBE716" w:rsidRDefault="75BBE716" w:rsidP="321DE79C">
      <w:pPr>
        <w:spacing w:after="0"/>
      </w:pPr>
      <w:r w:rsidRPr="321DE79C">
        <w:rPr>
          <w:rFonts w:ascii="Aptos" w:eastAsia="Aptos" w:hAnsi="Aptos" w:cs="Aptos"/>
          <w:color w:val="000000" w:themeColor="text1"/>
        </w:rPr>
        <w:t>-------------------------------------------------------------------------------------------------------------</w:t>
      </w:r>
    </w:p>
    <w:p w14:paraId="53CB8FE9" w14:textId="636A0331" w:rsidR="5BD17917" w:rsidRDefault="5BD17917" w:rsidP="321DE79C">
      <w:pPr>
        <w:spacing w:before="240" w:after="240"/>
      </w:pPr>
      <w:r w:rsidRPr="321DE79C">
        <w:rPr>
          <w:rFonts w:ascii="Aptos" w:eastAsia="Aptos" w:hAnsi="Aptos" w:cs="Aptos"/>
          <w:b/>
          <w:bCs/>
          <w:color w:val="000000" w:themeColor="text1"/>
        </w:rPr>
        <w:t>Subject line:</w:t>
      </w:r>
      <w:r w:rsidR="7A98BAFD" w:rsidRPr="321DE79C">
        <w:rPr>
          <w:rFonts w:ascii="Aptos" w:eastAsia="Aptos" w:hAnsi="Aptos" w:cs="Aptos"/>
          <w:b/>
          <w:bCs/>
          <w:color w:val="000000" w:themeColor="text1"/>
        </w:rPr>
        <w:t xml:space="preserve"> </w:t>
      </w:r>
      <w:r w:rsidR="32DFF208" w:rsidRPr="321DE79C">
        <w:rPr>
          <w:rFonts w:ascii="Aptos" w:eastAsia="Aptos" w:hAnsi="Aptos" w:cs="Aptos"/>
          <w:color w:val="000000" w:themeColor="text1"/>
        </w:rPr>
        <w:t xml:space="preserve">New </w:t>
      </w:r>
      <w:r w:rsidR="7A98BAFD" w:rsidRPr="321DE79C">
        <w:rPr>
          <w:rFonts w:ascii="Aptos" w:eastAsia="Aptos" w:hAnsi="Aptos" w:cs="Aptos"/>
          <w:color w:val="000000" w:themeColor="text1"/>
        </w:rPr>
        <w:t xml:space="preserve">solutions </w:t>
      </w:r>
      <w:r w:rsidR="57040CED" w:rsidRPr="321DE79C">
        <w:rPr>
          <w:rFonts w:ascii="Aptos" w:eastAsia="Aptos" w:hAnsi="Aptos" w:cs="Aptos"/>
          <w:color w:val="000000" w:themeColor="text1"/>
        </w:rPr>
        <w:t xml:space="preserve">and smarter approaches </w:t>
      </w:r>
      <w:r w:rsidR="7A98BAFD" w:rsidRPr="321DE79C">
        <w:rPr>
          <w:rFonts w:ascii="Aptos" w:eastAsia="Aptos" w:hAnsi="Aptos" w:cs="Aptos"/>
          <w:color w:val="000000" w:themeColor="text1"/>
        </w:rPr>
        <w:t xml:space="preserve">to BNG </w:t>
      </w:r>
      <w:r w:rsidR="56C08756" w:rsidRPr="321DE79C">
        <w:rPr>
          <w:rFonts w:ascii="Aptos" w:eastAsia="Aptos" w:hAnsi="Aptos" w:cs="Aptos"/>
          <w:color w:val="000000" w:themeColor="text1"/>
        </w:rPr>
        <w:t>delivery</w:t>
      </w:r>
    </w:p>
    <w:p w14:paraId="1830C3B2" w14:textId="0FF46585" w:rsidR="4EDFDF87" w:rsidRDefault="4EDFDF87" w:rsidP="321DE79C">
      <w:pPr>
        <w:spacing w:before="240" w:after="240"/>
      </w:pPr>
      <w:r w:rsidRPr="321DE79C">
        <w:rPr>
          <w:rFonts w:ascii="Aptos" w:eastAsia="Aptos" w:hAnsi="Aptos" w:cs="Aptos"/>
        </w:rPr>
        <w:t xml:space="preserve">This month, we look at the tools, thinking and partnerships shaping better BNG outcomes. Inside, we explore how drone technology is improving ecological surveying and habitat monitoring, how early engagement helped unlock development and nature recovery in Cornwall, and how our tailored CPD sessions are giving developers greater confidence in navigating BNG.  </w:t>
      </w:r>
    </w:p>
    <w:p w14:paraId="4AB209E5" w14:textId="4F4B1AED" w:rsidR="00550DEF" w:rsidRDefault="5BD17917" w:rsidP="321DE79C">
      <w:pPr>
        <w:spacing w:after="0"/>
        <w:rPr>
          <w:rFonts w:ascii="Aptos" w:eastAsia="Aptos" w:hAnsi="Aptos" w:cs="Aptos"/>
          <w:b/>
          <w:bCs/>
          <w:color w:val="000000" w:themeColor="text1"/>
        </w:rPr>
      </w:pPr>
      <w:r w:rsidRPr="321DE79C">
        <w:rPr>
          <w:rFonts w:ascii="Aptos" w:eastAsia="Aptos" w:hAnsi="Aptos" w:cs="Aptos"/>
          <w:b/>
          <w:bCs/>
          <w:color w:val="000000" w:themeColor="text1"/>
        </w:rPr>
        <w:t xml:space="preserve">Delivering </w:t>
      </w:r>
      <w:r w:rsidR="7354BF11" w:rsidRPr="321DE79C">
        <w:rPr>
          <w:rFonts w:ascii="Aptos" w:eastAsia="Aptos" w:hAnsi="Aptos" w:cs="Aptos"/>
          <w:b/>
          <w:bCs/>
          <w:color w:val="000000" w:themeColor="text1"/>
        </w:rPr>
        <w:t>a</w:t>
      </w:r>
      <w:r w:rsidRPr="321DE79C">
        <w:rPr>
          <w:rFonts w:ascii="Aptos" w:eastAsia="Aptos" w:hAnsi="Aptos" w:cs="Aptos"/>
          <w:b/>
          <w:bCs/>
          <w:color w:val="000000" w:themeColor="text1"/>
        </w:rPr>
        <w:t xml:space="preserve"> local BNG solution that kept Onyx moving</w:t>
      </w:r>
    </w:p>
    <w:p w14:paraId="2A5626F6" w14:textId="7D606A23" w:rsidR="00550DEF" w:rsidRDefault="39236053" w:rsidP="321DE79C">
      <w:pPr>
        <w:spacing w:after="0"/>
      </w:pPr>
      <w:r w:rsidRPr="321DE79C">
        <w:rPr>
          <w:rFonts w:ascii="Aptos" w:eastAsia="Aptos" w:hAnsi="Aptos" w:cs="Aptos"/>
        </w:rPr>
        <w:t xml:space="preserve">Early collaboration between Biofarm and Onyx helped unlock a locally aligned BNG solution for a commercial scheme in Cornwall. </w:t>
      </w:r>
    </w:p>
    <w:p w14:paraId="5CE72DEA" w14:textId="116EA079" w:rsidR="00550DEF" w:rsidRDefault="00550DEF" w:rsidP="321DE79C">
      <w:pPr>
        <w:spacing w:after="0"/>
        <w:rPr>
          <w:rFonts w:ascii="Aptos" w:eastAsia="Aptos" w:hAnsi="Aptos" w:cs="Aptos"/>
        </w:rPr>
      </w:pPr>
    </w:p>
    <w:p w14:paraId="41B4CD52" w14:textId="3A3A63CD" w:rsidR="00550DEF" w:rsidRDefault="39236053" w:rsidP="321DE79C">
      <w:pPr>
        <w:spacing w:after="0"/>
      </w:pPr>
      <w:r w:rsidRPr="321DE79C">
        <w:rPr>
          <w:rFonts w:ascii="Aptos" w:eastAsia="Aptos" w:hAnsi="Aptos" w:cs="Aptos"/>
        </w:rPr>
        <w:t>With no suitable local units available, we brought forward the registration of our Lesnewth habitat bank, enabling the project to progress while supporting long-term habitat restoration in the region.</w:t>
      </w:r>
    </w:p>
    <w:p w14:paraId="2FAB8B8F" w14:textId="22D0CF91" w:rsidR="00550DEF" w:rsidRDefault="00550DEF" w:rsidP="321DE79C">
      <w:pPr>
        <w:spacing w:after="0"/>
        <w:rPr>
          <w:rFonts w:ascii="Aptos" w:eastAsia="Aptos" w:hAnsi="Aptos" w:cs="Aptos"/>
        </w:rPr>
      </w:pPr>
    </w:p>
    <w:p w14:paraId="519B4D60" w14:textId="396F8104" w:rsidR="00550DEF" w:rsidRDefault="47177B3E" w:rsidP="321DE79C">
      <w:pPr>
        <w:spacing w:after="0"/>
      </w:pPr>
      <w:r w:rsidRPr="321DE79C">
        <w:rPr>
          <w:rFonts w:ascii="Aptos" w:eastAsia="Aptos" w:hAnsi="Aptos" w:cs="Aptos"/>
        </w:rPr>
        <w:t>[Read the full story]</w:t>
      </w:r>
    </w:p>
    <w:p w14:paraId="3D47339B" w14:textId="430EE472" w:rsidR="00550DEF" w:rsidRDefault="00550DEF" w:rsidP="321DE79C">
      <w:pPr>
        <w:spacing w:after="0"/>
      </w:pPr>
    </w:p>
    <w:p w14:paraId="43C5AC99" w14:textId="105346E9" w:rsidR="00550DEF" w:rsidRDefault="00550DEF" w:rsidP="321DE79C">
      <w:pPr>
        <w:spacing w:after="0"/>
        <w:rPr>
          <w:b/>
          <w:bCs/>
        </w:rPr>
      </w:pPr>
    </w:p>
    <w:p w14:paraId="6DB0716A" w14:textId="67F4DD38" w:rsidR="00550DEF" w:rsidRDefault="4BD3E007" w:rsidP="321DE79C">
      <w:pPr>
        <w:spacing w:after="0"/>
      </w:pPr>
      <w:r w:rsidRPr="321DE79C">
        <w:rPr>
          <w:b/>
          <w:bCs/>
        </w:rPr>
        <w:t xml:space="preserve">Practical BNG CPD for better development decisions </w:t>
      </w:r>
    </w:p>
    <w:p w14:paraId="75642E2D" w14:textId="0EF59956" w:rsidR="00550DEF" w:rsidRDefault="18FEBE84" w:rsidP="321DE79C">
      <w:pPr>
        <w:spacing w:after="0"/>
      </w:pPr>
      <w:r w:rsidRPr="321DE79C">
        <w:rPr>
          <w:rFonts w:ascii="Aptos" w:eastAsia="Aptos" w:hAnsi="Aptos" w:cs="Aptos"/>
        </w:rPr>
        <w:t xml:space="preserve">Better BNG decisions start earlier. </w:t>
      </w:r>
    </w:p>
    <w:p w14:paraId="2405ED6B" w14:textId="03F81FB6" w:rsidR="00550DEF" w:rsidRDefault="00550DEF" w:rsidP="321DE79C">
      <w:pPr>
        <w:spacing w:after="0"/>
        <w:rPr>
          <w:rFonts w:ascii="Aptos" w:eastAsia="Aptos" w:hAnsi="Aptos" w:cs="Aptos"/>
        </w:rPr>
      </w:pPr>
    </w:p>
    <w:p w14:paraId="068332FC" w14:textId="0D3D0513" w:rsidR="00550DEF" w:rsidRDefault="18FEBE84" w:rsidP="321DE79C">
      <w:pPr>
        <w:spacing w:after="0"/>
      </w:pPr>
      <w:r w:rsidRPr="321DE79C">
        <w:rPr>
          <w:rFonts w:ascii="Aptos" w:eastAsia="Aptos" w:hAnsi="Aptos" w:cs="Aptos"/>
        </w:rPr>
        <w:t xml:space="preserve">Biofarm’s tailored CPD sessions help development teams build confidence in the planning process through practical, commercially grounded guidance shaped by real project experience. </w:t>
      </w:r>
    </w:p>
    <w:p w14:paraId="5624EA23" w14:textId="6D7F111A" w:rsidR="00550DEF" w:rsidRDefault="00550DEF" w:rsidP="321DE79C">
      <w:pPr>
        <w:spacing w:after="0"/>
        <w:rPr>
          <w:rFonts w:ascii="Aptos" w:eastAsia="Aptos" w:hAnsi="Aptos" w:cs="Aptos"/>
        </w:rPr>
      </w:pPr>
    </w:p>
    <w:p w14:paraId="534BEB67" w14:textId="4C886C52" w:rsidR="00550DEF" w:rsidRDefault="18FEBE84" w:rsidP="321DE79C">
      <w:pPr>
        <w:spacing w:after="0"/>
      </w:pPr>
      <w:r w:rsidRPr="321DE79C">
        <w:rPr>
          <w:rFonts w:ascii="Aptos" w:eastAsia="Aptos" w:hAnsi="Aptos" w:cs="Aptos"/>
        </w:rPr>
        <w:t xml:space="preserve">The result is clearer decision-making, stronger outcomes and a smoother path to delivery. </w:t>
      </w:r>
    </w:p>
    <w:p w14:paraId="6D2F8111" w14:textId="74E9C698" w:rsidR="00550DEF" w:rsidRDefault="00550DEF" w:rsidP="321DE79C">
      <w:pPr>
        <w:spacing w:after="0"/>
        <w:rPr>
          <w:rFonts w:ascii="Aptos" w:eastAsia="Aptos" w:hAnsi="Aptos" w:cs="Aptos"/>
        </w:rPr>
      </w:pPr>
    </w:p>
    <w:p w14:paraId="42AB0239" w14:textId="4709BFDE" w:rsidR="00550DEF" w:rsidRDefault="6BDDF090" w:rsidP="321DE79C">
      <w:pPr>
        <w:spacing w:after="0"/>
      </w:pPr>
      <w:r w:rsidRPr="321DE79C">
        <w:rPr>
          <w:rFonts w:ascii="Aptos" w:eastAsia="Aptos" w:hAnsi="Aptos" w:cs="Aptos"/>
        </w:rPr>
        <w:t>It’s already helping teams like Newland Homes navigate BNG with confidence.</w:t>
      </w:r>
    </w:p>
    <w:p w14:paraId="3A5C5EEA" w14:textId="092743AA" w:rsidR="00550DEF" w:rsidRDefault="00550DEF" w:rsidP="321DE79C">
      <w:pPr>
        <w:spacing w:after="0"/>
        <w:rPr>
          <w:rFonts w:ascii="Aptos" w:eastAsia="Aptos" w:hAnsi="Aptos" w:cs="Aptos"/>
        </w:rPr>
      </w:pPr>
    </w:p>
    <w:p w14:paraId="588FD7B5" w14:textId="39012A95" w:rsidR="00550DEF" w:rsidRDefault="6BDDF090" w:rsidP="321DE79C">
      <w:pPr>
        <w:spacing w:after="0"/>
        <w:rPr>
          <w:rFonts w:ascii="Aptos" w:eastAsia="Aptos" w:hAnsi="Aptos" w:cs="Aptos"/>
        </w:rPr>
      </w:pPr>
      <w:r w:rsidRPr="321DE79C">
        <w:rPr>
          <w:rFonts w:ascii="Aptos" w:eastAsia="Aptos" w:hAnsi="Aptos" w:cs="Aptos"/>
        </w:rPr>
        <w:t>[</w:t>
      </w:r>
      <w:r w:rsidR="18FEBE84" w:rsidRPr="321DE79C">
        <w:rPr>
          <w:rFonts w:ascii="Aptos" w:eastAsia="Aptos" w:hAnsi="Aptos" w:cs="Aptos"/>
        </w:rPr>
        <w:t>Find out how</w:t>
      </w:r>
      <w:r w:rsidR="07EC3F9A" w:rsidRPr="321DE79C">
        <w:rPr>
          <w:rFonts w:ascii="Aptos" w:eastAsia="Aptos" w:hAnsi="Aptos" w:cs="Aptos"/>
        </w:rPr>
        <w:t>]</w:t>
      </w:r>
    </w:p>
    <w:p w14:paraId="32EFFC24" w14:textId="5405B1CA" w:rsidR="00550DEF" w:rsidRDefault="00550DEF" w:rsidP="321DE79C">
      <w:pPr>
        <w:spacing w:after="0"/>
      </w:pPr>
    </w:p>
    <w:p w14:paraId="2035D1A5" w14:textId="4C14D186" w:rsidR="321DE79C" w:rsidRDefault="321DE79C" w:rsidP="321DE79C">
      <w:pPr>
        <w:spacing w:after="0"/>
      </w:pPr>
    </w:p>
    <w:p w14:paraId="3DC53E71" w14:textId="1FF95E6A" w:rsidR="00550DEF" w:rsidRDefault="5BD17917" w:rsidP="321DE79C">
      <w:pPr>
        <w:spacing w:after="0"/>
        <w:rPr>
          <w:rFonts w:ascii="Aptos" w:eastAsia="Aptos" w:hAnsi="Aptos" w:cs="Aptos"/>
          <w:b/>
          <w:bCs/>
          <w:color w:val="000000" w:themeColor="text1"/>
        </w:rPr>
      </w:pPr>
      <w:r w:rsidRPr="321DE79C">
        <w:rPr>
          <w:rFonts w:ascii="Aptos" w:eastAsia="Aptos" w:hAnsi="Aptos" w:cs="Aptos"/>
          <w:b/>
          <w:bCs/>
          <w:color w:val="000000" w:themeColor="text1"/>
        </w:rPr>
        <w:t xml:space="preserve">How drone technology is </w:t>
      </w:r>
      <w:r w:rsidR="56848817" w:rsidRPr="321DE79C">
        <w:rPr>
          <w:rFonts w:ascii="Aptos" w:eastAsia="Aptos" w:hAnsi="Aptos" w:cs="Aptos"/>
          <w:b/>
          <w:bCs/>
          <w:color w:val="000000" w:themeColor="text1"/>
        </w:rPr>
        <w:t xml:space="preserve">improving </w:t>
      </w:r>
      <w:r w:rsidRPr="321DE79C">
        <w:rPr>
          <w:rFonts w:ascii="Aptos" w:eastAsia="Aptos" w:hAnsi="Aptos" w:cs="Aptos"/>
          <w:b/>
          <w:bCs/>
          <w:color w:val="000000" w:themeColor="text1"/>
        </w:rPr>
        <w:t>habitat delivery</w:t>
      </w:r>
    </w:p>
    <w:p w14:paraId="16D5823F" w14:textId="010A945E" w:rsidR="7C099FE5" w:rsidRDefault="7C099FE5" w:rsidP="321DE79C">
      <w:pPr>
        <w:spacing w:after="0"/>
      </w:pPr>
      <w:r w:rsidRPr="321DE79C">
        <w:rPr>
          <w:rFonts w:ascii="Aptos" w:eastAsia="Aptos" w:hAnsi="Aptos" w:cs="Aptos"/>
        </w:rPr>
        <w:t xml:space="preserve">At Rycote Farm in South Oxfordshire, Biofarm’s new drone technology is helping us deliver BNG with greater accuracy and insight. </w:t>
      </w:r>
    </w:p>
    <w:p w14:paraId="1267DD50" w14:textId="44FEE0FB" w:rsidR="321DE79C" w:rsidRDefault="321DE79C" w:rsidP="321DE79C">
      <w:pPr>
        <w:spacing w:after="0"/>
        <w:rPr>
          <w:rFonts w:ascii="Aptos" w:eastAsia="Aptos" w:hAnsi="Aptos" w:cs="Aptos"/>
        </w:rPr>
      </w:pPr>
    </w:p>
    <w:p w14:paraId="779673A6" w14:textId="0C584C08" w:rsidR="7C099FE5" w:rsidRDefault="7C099FE5" w:rsidP="321DE79C">
      <w:pPr>
        <w:spacing w:after="0"/>
      </w:pPr>
      <w:r w:rsidRPr="321DE79C">
        <w:rPr>
          <w:rFonts w:ascii="Aptos" w:eastAsia="Aptos" w:hAnsi="Aptos" w:cs="Aptos"/>
        </w:rPr>
        <w:t>From mapping habitat corridors to monitoring river systems, aerial surveying gives our ecology team a more detailed understanding of how sites function, supporting smarter decisions and stronger outcomes for developers, landowners and nature.</w:t>
      </w:r>
    </w:p>
    <w:p w14:paraId="0A45B592" w14:textId="309D1267" w:rsidR="321DE79C" w:rsidRDefault="321DE79C" w:rsidP="321DE79C">
      <w:pPr>
        <w:spacing w:after="0"/>
        <w:rPr>
          <w:rFonts w:ascii="Aptos" w:eastAsia="Aptos" w:hAnsi="Aptos" w:cs="Aptos"/>
        </w:rPr>
      </w:pPr>
    </w:p>
    <w:p w14:paraId="11BAAE1B" w14:textId="725321F1" w:rsidR="7C099FE5" w:rsidRDefault="7C099FE5" w:rsidP="321DE79C">
      <w:pPr>
        <w:spacing w:after="0"/>
      </w:pPr>
      <w:r w:rsidRPr="321DE79C">
        <w:rPr>
          <w:rFonts w:ascii="Aptos" w:eastAsia="Aptos" w:hAnsi="Aptos" w:cs="Aptos"/>
        </w:rPr>
        <w:t>[</w:t>
      </w:r>
      <w:r w:rsidR="35012BDD" w:rsidRPr="321DE79C">
        <w:rPr>
          <w:rFonts w:ascii="Aptos" w:eastAsia="Aptos" w:hAnsi="Aptos" w:cs="Aptos"/>
        </w:rPr>
        <w:t>Learn more</w:t>
      </w:r>
      <w:r w:rsidRPr="321DE79C">
        <w:rPr>
          <w:rFonts w:ascii="Aptos" w:eastAsia="Aptos" w:hAnsi="Aptos" w:cs="Aptos"/>
        </w:rPr>
        <w:t xml:space="preserve">] </w:t>
      </w:r>
    </w:p>
    <w:p w14:paraId="1CBB3CEE" w14:textId="513FCF01" w:rsidR="321DE79C" w:rsidRDefault="321DE79C" w:rsidP="321DE79C">
      <w:pPr>
        <w:spacing w:after="0"/>
        <w:rPr>
          <w:rFonts w:ascii="Aptos" w:eastAsia="Aptos" w:hAnsi="Aptos" w:cs="Aptos"/>
        </w:rPr>
      </w:pPr>
    </w:p>
    <w:p w14:paraId="1BCCC75A" w14:textId="40833348" w:rsidR="321DE79C" w:rsidRDefault="321DE79C" w:rsidP="321DE79C">
      <w:pPr>
        <w:spacing w:after="0"/>
        <w:rPr>
          <w:rFonts w:ascii="Aptos" w:eastAsia="Aptos" w:hAnsi="Aptos" w:cs="Aptos"/>
          <w:b/>
          <w:bCs/>
          <w:color w:val="000000" w:themeColor="text1"/>
        </w:rPr>
      </w:pPr>
    </w:p>
    <w:p w14:paraId="589C3FEE" w14:textId="09438F2E" w:rsidR="00550DEF" w:rsidRDefault="5BD17917" w:rsidP="145EDE3A">
      <w:pPr>
        <w:spacing w:after="0"/>
      </w:pPr>
      <w:r w:rsidRPr="145EDE3A">
        <w:rPr>
          <w:rFonts w:ascii="Aptos" w:eastAsia="Aptos" w:hAnsi="Aptos" w:cs="Aptos"/>
          <w:b/>
          <w:bCs/>
          <w:color w:val="000000" w:themeColor="text1"/>
        </w:rPr>
        <w:t xml:space="preserve">Stacking BNG: how Biofarm is leading the next phase of nature returns </w:t>
      </w:r>
    </w:p>
    <w:p w14:paraId="72483A32" w14:textId="51C4417A" w:rsidR="219BE683" w:rsidRDefault="219BE683" w:rsidP="321DE79C">
      <w:pPr>
        <w:spacing w:after="0"/>
      </w:pPr>
      <w:r w:rsidRPr="321DE79C">
        <w:rPr>
          <w:rFonts w:ascii="Segoe UI" w:eastAsia="Segoe UI" w:hAnsi="Segoe UI" w:cs="Segoe UI"/>
          <w:color w:val="242424"/>
          <w:sz w:val="22"/>
          <w:szCs w:val="22"/>
        </w:rPr>
        <w:t>Most BNG schemes focus on what the land needs to deliver today. We focus on what it can deliver next.</w:t>
      </w:r>
    </w:p>
    <w:p w14:paraId="0E6AE3BC" w14:textId="7607B13E" w:rsidR="219BE683" w:rsidRDefault="219BE683" w:rsidP="321DE79C">
      <w:pPr>
        <w:shd w:val="clear" w:color="auto" w:fill="FFFFFF" w:themeFill="background1"/>
        <w:spacing w:before="225" w:after="225"/>
      </w:pPr>
      <w:r w:rsidRPr="321DE79C">
        <w:rPr>
          <w:rFonts w:ascii="Segoe UI" w:eastAsia="Segoe UI" w:hAnsi="Segoe UI" w:cs="Segoe UI"/>
          <w:color w:val="242424"/>
          <w:sz w:val="22"/>
          <w:szCs w:val="22"/>
        </w:rPr>
        <w:t>Through stacking, we design habitats that evolve over time, creating long-term ecological value, stronger natural capital outcomes and future opportunities for landowners and developers alike.</w:t>
      </w:r>
    </w:p>
    <w:p w14:paraId="66FE3D0C" w14:textId="26011224" w:rsidR="219BE683" w:rsidRDefault="219BE683" w:rsidP="321DE79C">
      <w:pPr>
        <w:shd w:val="clear" w:color="auto" w:fill="FFFFFF" w:themeFill="background1"/>
        <w:spacing w:before="225" w:after="225"/>
      </w:pPr>
      <w:r w:rsidRPr="321DE79C">
        <w:rPr>
          <w:rFonts w:ascii="Segoe UI" w:eastAsia="Segoe UI" w:hAnsi="Segoe UI" w:cs="Segoe UI"/>
          <w:color w:val="242424"/>
          <w:sz w:val="22"/>
          <w:szCs w:val="22"/>
        </w:rPr>
        <w:t>This is about moving beyond short-term compliance and thinking more strategically about how landscapes mature, recover and perform over decades.</w:t>
      </w:r>
    </w:p>
    <w:p w14:paraId="2353F5E6" w14:textId="224262D9" w:rsidR="5CF8AD08" w:rsidRDefault="5CF8AD08" w:rsidP="321DE79C">
      <w:pPr>
        <w:shd w:val="clear" w:color="auto" w:fill="FFFFFF" w:themeFill="background1"/>
        <w:spacing w:before="225" w:after="225"/>
        <w:rPr>
          <w:rFonts w:ascii="Segoe UI" w:eastAsia="Segoe UI" w:hAnsi="Segoe UI" w:cs="Segoe UI"/>
          <w:color w:val="242424"/>
          <w:sz w:val="22"/>
          <w:szCs w:val="22"/>
        </w:rPr>
      </w:pPr>
      <w:r w:rsidRPr="321DE79C">
        <w:rPr>
          <w:rFonts w:ascii="Segoe UI" w:eastAsia="Segoe UI" w:hAnsi="Segoe UI" w:cs="Segoe UI"/>
          <w:color w:val="242424"/>
          <w:sz w:val="22"/>
          <w:szCs w:val="22"/>
        </w:rPr>
        <w:t>[</w:t>
      </w:r>
      <w:r w:rsidR="219BE683" w:rsidRPr="321DE79C">
        <w:rPr>
          <w:rFonts w:ascii="Segoe UI" w:eastAsia="Segoe UI" w:hAnsi="Segoe UI" w:cs="Segoe UI"/>
          <w:color w:val="242424"/>
          <w:sz w:val="22"/>
          <w:szCs w:val="22"/>
        </w:rPr>
        <w:t xml:space="preserve">Read </w:t>
      </w:r>
      <w:r w:rsidR="5F3B36C6" w:rsidRPr="321DE79C">
        <w:rPr>
          <w:rFonts w:ascii="Segoe UI" w:eastAsia="Segoe UI" w:hAnsi="Segoe UI" w:cs="Segoe UI"/>
          <w:color w:val="242424"/>
          <w:sz w:val="22"/>
          <w:szCs w:val="22"/>
        </w:rPr>
        <w:t>in full]</w:t>
      </w:r>
    </w:p>
    <w:p w14:paraId="383B70F9" w14:textId="7077619F" w:rsidR="321DE79C" w:rsidRDefault="321DE79C" w:rsidP="321DE79C">
      <w:pPr>
        <w:spacing w:after="0"/>
        <w:rPr>
          <w:rFonts w:ascii="Aptos" w:eastAsia="Aptos" w:hAnsi="Aptos" w:cs="Aptos"/>
          <w:color w:val="000000" w:themeColor="text1"/>
        </w:rPr>
      </w:pPr>
    </w:p>
    <w:p w14:paraId="2B239BD6" w14:textId="6ECEF69D" w:rsidR="00550DEF" w:rsidRDefault="00550DEF" w:rsidP="145EDE3A">
      <w:pPr>
        <w:spacing w:after="0"/>
      </w:pPr>
    </w:p>
    <w:p w14:paraId="5E5787A5" w14:textId="33BD86A7" w:rsidR="00550DEF" w:rsidRDefault="00550DEF"/>
    <w:sectPr w:rsidR="00550DE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BFED54"/>
    <w:rsid w:val="00550DEF"/>
    <w:rsid w:val="00904DC0"/>
    <w:rsid w:val="027961A6"/>
    <w:rsid w:val="0302F903"/>
    <w:rsid w:val="0455CA6E"/>
    <w:rsid w:val="04F78014"/>
    <w:rsid w:val="0678BD13"/>
    <w:rsid w:val="06D3A6DA"/>
    <w:rsid w:val="07EC3F9A"/>
    <w:rsid w:val="0CF23857"/>
    <w:rsid w:val="0E7A661F"/>
    <w:rsid w:val="13D99F63"/>
    <w:rsid w:val="145EDE3A"/>
    <w:rsid w:val="17F5A258"/>
    <w:rsid w:val="18FEBE84"/>
    <w:rsid w:val="219BE683"/>
    <w:rsid w:val="2734838E"/>
    <w:rsid w:val="321DE79C"/>
    <w:rsid w:val="32DFF208"/>
    <w:rsid w:val="35012BDD"/>
    <w:rsid w:val="39236053"/>
    <w:rsid w:val="40346665"/>
    <w:rsid w:val="47177B3E"/>
    <w:rsid w:val="487E7053"/>
    <w:rsid w:val="4BD3E007"/>
    <w:rsid w:val="4EDFDF87"/>
    <w:rsid w:val="50EDD7DF"/>
    <w:rsid w:val="5263B3F0"/>
    <w:rsid w:val="56848817"/>
    <w:rsid w:val="56C08756"/>
    <w:rsid w:val="57040CED"/>
    <w:rsid w:val="592F46C2"/>
    <w:rsid w:val="59F04303"/>
    <w:rsid w:val="5BD17917"/>
    <w:rsid w:val="5CF8AD08"/>
    <w:rsid w:val="5E8FF4AD"/>
    <w:rsid w:val="5F3B36C6"/>
    <w:rsid w:val="63B535A7"/>
    <w:rsid w:val="6BDDF090"/>
    <w:rsid w:val="6DA76E77"/>
    <w:rsid w:val="6E535420"/>
    <w:rsid w:val="715FB6D2"/>
    <w:rsid w:val="7354BF11"/>
    <w:rsid w:val="75BBE716"/>
    <w:rsid w:val="78E2BB75"/>
    <w:rsid w:val="79BFED54"/>
    <w:rsid w:val="7A98BAFD"/>
    <w:rsid w:val="7BD1347D"/>
    <w:rsid w:val="7C099F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7E3513C"/>
  <w15:chartTrackingRefBased/>
  <w15:docId w15:val="{903FA99B-5F56-4E5F-A6B4-88F2E8C03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224173DC75E0840B15A9E0CD0F41B94" ma:contentTypeVersion="19" ma:contentTypeDescription="Create a new document." ma:contentTypeScope="" ma:versionID="c469d0f9744b8315ce2d2ce807ea2434">
  <xsd:schema xmlns:xsd="http://www.w3.org/2001/XMLSchema" xmlns:xs="http://www.w3.org/2001/XMLSchema" xmlns:p="http://schemas.microsoft.com/office/2006/metadata/properties" xmlns:ns2="50bbf295-9519-4431-a772-1b67b62be4e5" xmlns:ns3="0956e2c2-a06f-4f8e-8fc1-5cb05764e3c6" targetNamespace="http://schemas.microsoft.com/office/2006/metadata/properties" ma:root="true" ma:fieldsID="5fd5408c43281d4b25edcd4a1f4b2ec5" ns2:_="" ns3:_="">
    <xsd:import namespace="50bbf295-9519-4431-a772-1b67b62be4e5"/>
    <xsd:import namespace="0956e2c2-a06f-4f8e-8fc1-5cb05764e3c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TaxCatchAll" minOccurs="0"/>
                <xsd:element ref="ns2:MediaServiceGenerationTime" minOccurs="0"/>
                <xsd:element ref="ns2:MediaServiceEventHashCode" minOccurs="0"/>
                <xsd:element ref="ns2:lcf76f155ced4ddcb4097134ff3c332f"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bbf295-9519-4431-a772-1b67b62be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8f07484-17dd-4072-acde-31b03039dbd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56e2c2-a06f-4f8e-8fc1-5cb05764e3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5761e8-eb0c-4173-adf5-1fb70847a5ec}" ma:internalName="TaxCatchAll" ma:showField="CatchAllData" ma:web="0956e2c2-a06f-4f8e-8fc1-5cb05764e3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0bbf295-9519-4431-a772-1b67b62be4e5">
      <Terms xmlns="http://schemas.microsoft.com/office/infopath/2007/PartnerControls"/>
    </lcf76f155ced4ddcb4097134ff3c332f>
    <TaxCatchAll xmlns="0956e2c2-a06f-4f8e-8fc1-5cb05764e3c6" xsi:nil="true"/>
  </documentManagement>
</p:properties>
</file>

<file path=customXml/itemProps1.xml><?xml version="1.0" encoding="utf-8"?>
<ds:datastoreItem xmlns:ds="http://schemas.openxmlformats.org/officeDocument/2006/customXml" ds:itemID="{5D9B1616-7A03-4F12-BD8F-99461636A0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bbf295-9519-4431-a772-1b67b62be4e5"/>
    <ds:schemaRef ds:uri="0956e2c2-a06f-4f8e-8fc1-5cb05764e3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A325BD-D6D3-406D-AADE-C700751C0519}">
  <ds:schemaRefs>
    <ds:schemaRef ds:uri="http://schemas.microsoft.com/sharepoint/v3/contenttype/forms"/>
  </ds:schemaRefs>
</ds:datastoreItem>
</file>

<file path=customXml/itemProps3.xml><?xml version="1.0" encoding="utf-8"?>
<ds:datastoreItem xmlns:ds="http://schemas.openxmlformats.org/officeDocument/2006/customXml" ds:itemID="{312F3C45-F147-4961-BCE6-6571EEBE2415}">
  <ds:schemaRefs>
    <ds:schemaRef ds:uri="http://schemas.microsoft.com/office/2006/metadata/properties"/>
    <ds:schemaRef ds:uri="http://schemas.microsoft.com/office/infopath/2007/PartnerControls"/>
    <ds:schemaRef ds:uri="50bbf295-9519-4431-a772-1b67b62be4e5"/>
    <ds:schemaRef ds:uri="0956e2c2-a06f-4f8e-8fc1-5cb05764e3c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Gold</dc:creator>
  <cp:keywords/>
  <dc:description/>
  <cp:lastModifiedBy>Victoria Gold</cp:lastModifiedBy>
  <cp:revision>4</cp:revision>
  <dcterms:created xsi:type="dcterms:W3CDTF">2026-05-14T07:54:00Z</dcterms:created>
  <dcterms:modified xsi:type="dcterms:W3CDTF">2026-05-14T12:44:00Z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0x0101004224173DC75E0840B15A9E0CD0F41B94</vt:lpwstr>
  </property>
  <property fmtid="{D5CDD505-2E9C-101B-9397-08002B2CF9AE}" pid="3" name="MediaServiceImageTags">
    <vt:lpwstr/>
  </property>
</Properties>
</file>