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4C9A2A"/>
          <w:spacing w:val="60"/>
          <w:sz w:val="18"/>
          <w:szCs w:val="18"/>
        </w:rPr>
        <w:t xml:space="preserve">COMPANY CONFIDENTIAL</w:t>
      </w:r>
    </w:p>
    <w:p>
      <w:pPr>
        <w:pBdr>
          <w:bottom w:val="single" w:color="4C9A2A" w:sz="18" w:space="4"/>
        </w:pBdr>
        <w:spacing w:after="200" w:before="200"/>
      </w:pPr>
      <w:r>
        <w:t xml:space="preserve"/>
      </w:r>
    </w:p>
    <w:p>
      <w:pPr>
        <w:spacing w:after="60" w:before="260"/>
      </w:pPr>
      <w:r>
        <w:rPr>
          <w:rFonts w:ascii="Calibri" w:cs="Calibri" w:eastAsia="Calibri" w:hAnsi="Calibri"/>
          <w:b/>
          <w:bCs/>
          <w:color w:val="10362B"/>
          <w:sz w:val="68"/>
          <w:szCs w:val="68"/>
        </w:rPr>
        <w:t xml:space="preserve">UK Competitor Analysis</w:t>
      </w:r>
    </w:p>
    <w:p>
      <w:pPr>
        <w:spacing w:after="320"/>
      </w:pPr>
      <w:r>
        <w:rPr>
          <w:rFonts w:ascii="Calibri" w:cs="Calibri" w:eastAsia="Calibri" w:hAnsi="Calibri"/>
          <w:color w:val="1C6B4C"/>
          <w:sz w:val="44"/>
          <w:szCs w:val="44"/>
        </w:rPr>
        <w:t xml:space="preserve">The full 360° market</w:t>
      </w:r>
    </w:p>
    <w:p>
      <w:pPr>
        <w:spacing w:after="120"/>
      </w:pPr>
      <w:r>
        <w:rPr>
          <w:rFonts w:ascii="Calibri" w:cs="Calibri" w:eastAsia="Calibri" w:hAnsi="Calibri"/>
          <w:color w:val="5A5A5A"/>
          <w:sz w:val="24"/>
          <w:szCs w:val="24"/>
        </w:rPr>
        <w:t xml:space="preserve">Who competes with Ameresco in the UK — across Industrial &amp; Commercial, Public Sector, Grid-Scale, Cities, Data Centres, Retrofit and EV — and how we counter them.</w:t>
      </w:r>
    </w:p>
    <w:p>
      <w:pPr>
        <w:pBdr>
          <w:bottom w:val="single" w:color="4C9A2A" w:sz="18" w:space="4"/>
        </w:pBdr>
        <w:spacing w:after="200" w:before="200"/>
      </w:pPr>
      <w:r>
        <w:t xml:space="preserve"/>
      </w:r>
    </w:p>
    <w:p>
      <w:pPr>
        <w:spacing w:after="40" w:before="200"/>
      </w:pPr>
      <w:r>
        <w:rPr>
          <w:rFonts w:ascii="Calibri" w:cs="Calibri" w:eastAsia="Calibri" w:hAnsi="Calibri"/>
          <w:b/>
          <w:bCs/>
          <w:color w:val="222222"/>
          <w:sz w:val="22"/>
          <w:szCs w:val="22"/>
        </w:rPr>
        <w:t xml:space="preserve">Prepared for: Ameresco UK</w:t>
      </w:r>
    </w:p>
    <w:p>
      <w:pPr>
        <w:spacing w:after="40"/>
      </w:pPr>
      <w:r>
        <w:rPr>
          <w:rFonts w:ascii="Calibri" w:cs="Calibri" w:eastAsia="Calibri" w:hAnsi="Calibri"/>
          <w:color w:val="5A5A5A"/>
          <w:sz w:val="20"/>
          <w:szCs w:val="20"/>
        </w:rPr>
        <w:t xml:space="preserve">Companion to: The Ameresco UK Value Proposition (June 2026)</w:t>
      </w:r>
    </w:p>
    <w:p>
      <w:pPr>
        <w:spacing w:after="40"/>
      </w:pPr>
      <w:r>
        <w:rPr>
          <w:rFonts w:ascii="Calibri" w:cs="Calibri" w:eastAsia="Calibri" w:hAnsi="Calibri"/>
          <w:color w:val="5A5A5A"/>
          <w:sz w:val="20"/>
          <w:szCs w:val="20"/>
        </w:rPr>
        <w:t xml:space="preserve">Date: August 2026</w:t>
      </w:r>
    </w:p>
    <w:p>
      <w:pPr>
        <w:spacing w:after="0"/>
      </w:pPr>
      <w:r>
        <w:rPr>
          <w:rFonts w:ascii="Calibri" w:cs="Calibri" w:eastAsia="Calibri" w:hAnsi="Calibri"/>
          <w:color w:val="5A5A5A"/>
          <w:sz w:val="20"/>
          <w:szCs w:val="20"/>
        </w:rPr>
        <w:t xml:space="preserve">Scope: 10 competitors in detail · 3 challengers · 7 segment maps · c.200 organisations indexed</w:t>
      </w:r>
    </w:p>
    <w:p>
      <w:r>
        <w:br w:type="page"/>
      </w:r>
    </w:p>
    <w:p>
      <w:pPr>
        <w:pStyle w:val="Heading1"/>
        <w:pBdr>
          <w:bottom w:val="single" w:color="4C9A2A" w:sz="12" w:space="6"/>
        </w:pBdr>
        <w:spacing w:after="200" w:before="200"/>
      </w:pPr>
      <w:r>
        <w:rPr>
          <w:rFonts w:ascii="Calibri" w:cs="Calibri" w:eastAsia="Calibri" w:hAnsi="Calibri"/>
          <w:b/>
          <w:bCs/>
          <w:color w:val="10362B"/>
          <w:sz w:val="34"/>
          <w:szCs w:val="34"/>
        </w:rPr>
        <w:t xml:space="preserve">Contents</w:t>
      </w:r>
    </w:p>
    <w:p>
      <w:pPr>
        <w:spacing w:after="160"/>
      </w:pPr>
      <w:r>
        <w:rPr>
          <w:rFonts w:ascii="Calibri" w:cs="Calibri" w:eastAsia="Calibri" w:hAnsi="Calibri"/>
          <w:i/>
          <w:iCs/>
          <w:color w:val="5A5A5A"/>
          <w:sz w:val="17"/>
          <w:szCs w:val="17"/>
        </w:rPr>
        <w:t xml:space="preserve">Right-click and choose "Update Field" to refresh page numbers after editing.</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 Executive summary</w:t>
      </w:r>
    </w:p>
    <w:p>
      <w:pPr>
        <w:spacing w:after="140" w:line="276"/>
        <w:jc w:val="left"/>
      </w:pPr>
      <w:r>
        <w:rPr>
          <w:rFonts w:ascii="Calibri" w:cs="Calibri" w:eastAsia="Calibri" w:hAnsi="Calibri"/>
          <w:i w:val="false"/>
          <w:iCs w:val="false"/>
          <w:color w:val="222222"/>
          <w:sz w:val="20"/>
          <w:szCs w:val="20"/>
        </w:rPr>
        <w:t xml:space="preserve">This document maps the full UK competitive landscape for Ameresco across Industrial &amp; Commercial, Public Sector, Grid-Scale / Front-of-Meter, Cities, Data Centres, Social Housing &amp; Schools Retrofit, and EV Infrastructure. It covers organisations that compete with the whole Ameresco proposition — design, finance, deliver, operate, optimise — and, separately, the much larger population of organisations that compete with parts of it.</w:t>
      </w:r>
    </w:p>
    <w:p>
      <w:pPr>
        <w:spacing w:after="140" w:line="276"/>
        <w:jc w:val="left"/>
      </w:pPr>
      <w:r>
        <w:rPr>
          <w:rFonts w:ascii="Calibri" w:cs="Calibri" w:eastAsia="Calibri" w:hAnsi="Calibri"/>
          <w:i w:val="false"/>
          <w:iCs w:val="false"/>
          <w:color w:val="222222"/>
          <w:sz w:val="20"/>
          <w:szCs w:val="20"/>
        </w:rPr>
        <w:t xml:space="preserve">The central finding is simple and uncomfortable. </w:t>
      </w:r>
      <w:r>
        <w:rPr>
          <w:rFonts w:ascii="Calibri" w:cs="Calibri" w:eastAsia="Calibri" w:hAnsi="Calibri"/>
          <w:b/>
          <w:bCs/>
          <w:i w:val="false"/>
          <w:iCs w:val="false"/>
          <w:color w:val="222222"/>
          <w:sz w:val="20"/>
          <w:szCs w:val="20"/>
        </w:rPr>
        <w:t xml:space="preserve">Our proposition is genuinely rare; our competitive risk is not that someone replicates it, but that buyers stop asking for it.</w:t>
      </w:r>
      <w:r>
        <w:rPr>
          <w:rFonts w:ascii="Calibri" w:cs="Calibri" w:eastAsia="Calibri" w:hAnsi="Calibri"/>
          <w:i w:val="false"/>
          <w:iCs w:val="false"/>
          <w:color w:val="222222"/>
          <w:sz w:val="20"/>
          <w:szCs w:val="20"/>
        </w:rPr>
        <w:t xml:space="preserve"> The programme wrap only wins where the buyer has been persuaded to buy a programme. Where the buyer buys technology lots, we are compared against contractors with lower overheads and no funding cost, and we lose on price.</w:t>
      </w:r>
    </w:p>
    <w:p>
      <w:pPr>
        <w:pStyle w:val="Heading2"/>
        <w:spacing w:after="140" w:before="340"/>
      </w:pPr>
      <w:r>
        <w:rPr>
          <w:rFonts w:ascii="Calibri" w:cs="Calibri" w:eastAsia="Calibri" w:hAnsi="Calibri"/>
          <w:b/>
          <w:bCs/>
          <w:color w:val="1C6B4C"/>
          <w:sz w:val="26"/>
          <w:szCs w:val="26"/>
        </w:rPr>
        <w:t xml:space="preserve">The ten-point read</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No UK competitor matches the full wrap, but three come close.</w:t>
      </w:r>
      <w:r>
        <w:rPr>
          <w:rFonts w:ascii="Calibri" w:cs="Calibri" w:eastAsia="Calibri" w:hAnsi="Calibri"/>
          <w:i w:val="false"/>
          <w:iCs w:val="false"/>
          <w:color w:val="222222"/>
          <w:sz w:val="20"/>
          <w:szCs w:val="20"/>
        </w:rPr>
        <w:t xml:space="preserve"> E.ON (Energy Infrastructure Solutions) and Vital Energi are the only two organisations in the UK that can credibly claim design, finance, delivery, long-term operation and optimisation across multiple technologies at city scale. Veolia is close on heat but narrow elsewhere. Everyone else is strong on two or three of the five.</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Disaggregation is the real competitor.</w:t>
      </w:r>
      <w:r>
        <w:rPr>
          <w:rFonts w:ascii="Calibri" w:cs="Calibri" w:eastAsia="Calibri" w:hAnsi="Calibri"/>
          <w:i w:val="false"/>
          <w:iCs w:val="false"/>
          <w:color w:val="222222"/>
          <w:sz w:val="20"/>
          <w:szCs w:val="20"/>
        </w:rPr>
        <w:t xml:space="preserve"> Our most common loss is not to a rival integrator; it is to a procurement decision that splits a programme into solar, BESS, heat and efficiency lots. Once that happens the ESCO premium has nothing to attach to. Qualification discipline is a competitive weapon, not an admin step.</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The grant era in the public sector has ended.</w:t>
      </w:r>
      <w:r>
        <w:rPr>
          <w:rFonts w:ascii="Calibri" w:cs="Calibri" w:eastAsia="Calibri" w:hAnsi="Calibri"/>
          <w:i w:val="false"/>
          <w:iCs w:val="false"/>
          <w:color w:val="222222"/>
          <w:sz w:val="20"/>
          <w:szCs w:val="20"/>
        </w:rPr>
        <w:t xml:space="preserve"> Government committed no further investment in the Public Sector Decarbonisation Scheme beyond already-awarded projects (June 2025). Phase 3c funding runs to 31 March 2026 and Phase 4 to 31 March 2028, and there is no Phase 5. This is the single strongest structural tailwind for funded models we will get this decade — but it arrives with a two-to-three year lag while awarded projects work through.</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Great British Energy has partly replaced the grant, in the worst possible shape for us.</w:t>
      </w:r>
      <w:r>
        <w:rPr>
          <w:rFonts w:ascii="Calibri" w:cs="Calibri" w:eastAsia="Calibri" w:hAnsi="Calibri"/>
          <w:i w:val="false"/>
          <w:iCs w:val="false"/>
          <w:color w:val="222222"/>
          <w:sz w:val="20"/>
          <w:szCs w:val="20"/>
        </w:rPr>
        <w:t xml:space="preserve"> Roughly £180m of capital grant for rooftop solar and efficiency on schools and NHS sites (£80m schools, £100m NHS in England, plus £9.3m devolved) arms low-cost solar EPCs in exactly the estates where we want to sell funded multi-technology programmes. Where GBE grant is available, we should not be selling a funded solar proposition — we should be selling the rest of the estate.</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Vital Energi is the number one direct threat and is now capitalised to behave like us.</w:t>
      </w:r>
      <w:r>
        <w:rPr>
          <w:rFonts w:ascii="Calibri" w:cs="Calibri" w:eastAsia="Calibri" w:hAnsi="Calibri"/>
          <w:i w:val="false"/>
          <w:iCs w:val="false"/>
          <w:color w:val="222222"/>
          <w:sz w:val="20"/>
          <w:szCs w:val="20"/>
        </w:rPr>
        <w:t xml:space="preserve"> FY25 turnover £274.6m (up 10.6%), a reported pipeline of approximately £2.5bn, and a £175m senior secured bond listed in September 2025. They have moved from contractor to developer-owner-operator. The gap between their model and ours is closing faster than any other competitor's.</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Bristol City Leap — our strongest proof point — carries a live counterparty question.</w:t>
      </w:r>
      <w:r>
        <w:rPr>
          <w:rFonts w:ascii="Calibri" w:cs="Calibri" w:eastAsia="Calibri" w:hAnsi="Calibri"/>
          <w:i w:val="false"/>
          <w:iCs w:val="false"/>
          <w:color w:val="222222"/>
          <w:sz w:val="20"/>
          <w:szCs w:val="20"/>
        </w:rPr>
        <w:t xml:space="preserve"> Vattenfall began an ownership review of its UK heat business in March 2025 and press reporting indicates a sale of Bristol Heat Networks, Midlothian Energy and Brent Cross to Reinova Capital. Competitors will use this in city pursuits. We need one agreed, confident line on it before they do.</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Capital has stopped being the moat.</w:t>
      </w:r>
      <w:r>
        <w:rPr>
          <w:rFonts w:ascii="Calibri" w:cs="Calibri" w:eastAsia="Calibri" w:hAnsi="Calibri"/>
          <w:i w:val="false"/>
          <w:iCs w:val="false"/>
          <w:color w:val="222222"/>
          <w:sz w:val="20"/>
          <w:szCs w:val="20"/>
        </w:rPr>
        <w:t xml:space="preserve"> DIF-backed Hemiko has c.£1bn to deploy into city-scale heat by 2030. Equitix, Amber, Greencoat, Macquarie and a dozen others will fund a competitor's programme as readily as ours. "We bring the funding" is now a hygiene claim. </w:t>
      </w:r>
      <w:r>
        <w:rPr>
          <w:rFonts w:ascii="Calibri" w:cs="Calibri" w:eastAsia="Calibri" w:hAnsi="Calibri"/>
          <w:b/>
          <w:bCs/>
          <w:i w:val="false"/>
          <w:iCs w:val="false"/>
          <w:color w:val="222222"/>
          <w:sz w:val="20"/>
          <w:szCs w:val="20"/>
        </w:rPr>
        <w:t xml:space="preserve">The durable moat is single-point accountability for outcome — guarantee plus M&amp;V plus 10–25 year O&amp;M — not the presence of money.</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Heat network zoning converts Cities from a business-development market into a regulated concession market.</w:t>
      </w:r>
      <w:r>
        <w:rPr>
          <w:rFonts w:ascii="Calibri" w:cs="Calibri" w:eastAsia="Calibri" w:hAnsi="Calibri"/>
          <w:i w:val="false"/>
          <w:iCs w:val="false"/>
          <w:color w:val="222222"/>
          <w:sz w:val="20"/>
          <w:szCs w:val="20"/>
        </w:rPr>
        <w:t xml:space="preserve"> Six first zones are designated (Leeds, Plymouth, Bristol, Stockport, Sheffield and two London areas), with statutory instruments expected in Parliament in spring 2026 and construction from 2026/27. Zone by zone this is winner-takes-all for 20+ years, and the winners are being chosen now.</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The £1bn NHS decarbonisation framework will define public sector access for three years.</w:t>
      </w:r>
      <w:r>
        <w:rPr>
          <w:rFonts w:ascii="Calibri" w:cs="Calibri" w:eastAsia="Calibri" w:hAnsi="Calibri"/>
          <w:i w:val="false"/>
          <w:iCs w:val="false"/>
          <w:color w:val="222222"/>
          <w:sz w:val="20"/>
          <w:szCs w:val="20"/>
        </w:rPr>
        <w:t xml:space="preserve"> Up to 180 suppliers across 20 lots, running 1 October 2026 to 30 September 2029. Lot 6 — "total service provision", principal partner for the full lifecycle, up to £200m — is the only lot that describes what Ameresco actually is. Everything else in that framework invites us to be a subcontractor.</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Data centres are not an ESCO fight.</w:t>
      </w:r>
      <w:r>
        <w:rPr>
          <w:rFonts w:ascii="Calibri" w:cs="Calibri" w:eastAsia="Calibri" w:hAnsi="Calibri"/>
          <w:i w:val="false"/>
          <w:iCs w:val="false"/>
          <w:color w:val="222222"/>
          <w:sz w:val="20"/>
          <w:szCs w:val="20"/>
        </w:rPr>
        <w:t xml:space="preserve"> The competitor set is grid capacity, land, planning and capital — not other energy service companies. Compete on energy infrastructure, private wire, heat export and funded connection; partner on critical MEP with the specialist contractors who own that market (Mercury, Winthrop, Kirby, Dornan/Turner). Roughly 140 proposed UK data centres have requested c.50GW of connection capacity against a c.45GW national peak — scarcity, not service, is the currency.</w:t>
      </w:r>
    </w:p>
    <w:p>
      <w:pPr>
        <w:spacing w:after="12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The one-line competitive position</w:t>
            </w:r>
          </w:p>
          <w:p>
            <w:pPr>
              <w:spacing w:after="0"/>
            </w:pPr>
            <w:r>
              <w:rPr>
                <w:rFonts w:ascii="Calibri" w:cs="Calibri" w:eastAsia="Calibri" w:hAnsi="Calibri"/>
                <w:i w:val="false"/>
                <w:iCs w:val="false"/>
                <w:color w:val="222222"/>
                <w:sz w:val="19"/>
                <w:szCs w:val="19"/>
              </w:rPr>
              <w:t xml:space="preserve">Nobody in the UK does all of what we do; almost everybody does some of it cheaper. We win by making the buyer value the join between the parts — and we lose whenever the join is not part of what is being bought.</w:t>
            </w:r>
          </w:p>
        </w:tc>
      </w:tr>
    </w:tbl>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2. How to use this document</w:t>
      </w:r>
    </w:p>
    <w:p>
      <w:pPr>
        <w:spacing w:after="140" w:line="276"/>
        <w:jc w:val="left"/>
      </w:pPr>
      <w:r>
        <w:rPr>
          <w:rFonts w:ascii="Calibri" w:cs="Calibri" w:eastAsia="Calibri" w:hAnsi="Calibri"/>
          <w:i w:val="false"/>
          <w:iCs w:val="false"/>
          <w:color w:val="222222"/>
          <w:sz w:val="20"/>
          <w:szCs w:val="20"/>
        </w:rPr>
        <w:t xml:space="preserve">This is a reference document, not a read-through. Four different uses: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3880"/>
        <w:gridCol w:w="3492"/>
      </w:tblGrid>
      <w:tr>
        <w:trPr>
          <w:tblHeader/>
        </w:trPr>
        <w:tc>
          <w:tcPr>
            <w:tcW w:type="dxa" w:w="232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If you are…</w:t>
            </w:r>
          </w:p>
        </w:tc>
        <w:tc>
          <w:tcPr>
            <w:tcW w:type="dxa" w:w="388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Read…</w:t>
            </w:r>
          </w:p>
        </w:tc>
        <w:tc>
          <w:tcPr>
            <w:tcW w:type="dxa" w:w="349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Why</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Preparing for a specific bid</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Section 6 battlecard for the named competitor, then the Section 8 segment map</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Gives you their model, their likely angle, and the counter-script in two pages</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Qualifying an opportunity</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Section 5 (archetypes and wrap coverage) and Section 8 (segment maps)</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Tells you whether this is a programme sale or a technology sale before you spend money on it</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Planning territory or account strategy</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Sections 4, 10 and 12</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Where the money and the procurement routes are moving over the next 24 months</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Briefing a new starter</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Sections 1, 5 and 6</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 shape of the market and the ten names they will meet most often</w:t>
            </w:r>
          </w:p>
        </w:tc>
      </w:tr>
    </w:tbl>
    <w:p>
      <w:pPr>
        <w:spacing w:after="120"/>
      </w:pPr>
      <w:r>
        <w:t xml:space="preserve"/>
      </w:r>
    </w:p>
    <w:p>
      <w:pPr>
        <w:spacing w:after="140" w:line="276"/>
        <w:jc w:val="left"/>
      </w:pPr>
      <w:r>
        <w:rPr>
          <w:rFonts w:ascii="Calibri" w:cs="Calibri" w:eastAsia="Calibri" w:hAnsi="Calibri"/>
          <w:b/>
          <w:bCs/>
          <w:i w:val="false"/>
          <w:iCs w:val="false"/>
          <w:color w:val="222222"/>
          <w:sz w:val="20"/>
          <w:szCs w:val="20"/>
        </w:rPr>
        <w:t xml:space="preserve">Threat ratings</w:t>
      </w:r>
      <w:r>
        <w:rPr>
          <w:rFonts w:ascii="Calibri" w:cs="Calibri" w:eastAsia="Calibri" w:hAnsi="Calibri"/>
          <w:i w:val="false"/>
          <w:iCs w:val="false"/>
          <w:color w:val="222222"/>
          <w:sz w:val="20"/>
          <w:szCs w:val="20"/>
        </w:rPr>
        <w:t xml:space="preserve"> used throughout: </w:t>
      </w:r>
      <w:r>
        <w:rPr>
          <w:rFonts w:ascii="Calibri" w:cs="Calibri" w:eastAsia="Calibri" w:hAnsi="Calibri"/>
          <w:b/>
          <w:bCs/>
          <w:i w:val="false"/>
          <w:iCs w:val="false"/>
          <w:color w:val="222222"/>
          <w:sz w:val="20"/>
          <w:szCs w:val="20"/>
        </w:rPr>
        <w:t xml:space="preserve">Critical</w:t>
      </w:r>
      <w:r>
        <w:rPr>
          <w:rFonts w:ascii="Calibri" w:cs="Calibri" w:eastAsia="Calibri" w:hAnsi="Calibri"/>
          <w:i w:val="false"/>
          <w:iCs w:val="false"/>
          <w:color w:val="222222"/>
          <w:sz w:val="20"/>
          <w:szCs w:val="20"/>
        </w:rPr>
        <w:t xml:space="preserve"> — competes for the same whole-programme mandate and can win it; </w:t>
      </w:r>
      <w:r>
        <w:rPr>
          <w:rFonts w:ascii="Calibri" w:cs="Calibri" w:eastAsia="Calibri" w:hAnsi="Calibri"/>
          <w:b/>
          <w:bCs/>
          <w:i w:val="false"/>
          <w:iCs w:val="false"/>
          <w:color w:val="222222"/>
          <w:sz w:val="20"/>
          <w:szCs w:val="20"/>
        </w:rPr>
        <w:t xml:space="preserve">High</w:t>
      </w:r>
      <w:r>
        <w:rPr>
          <w:rFonts w:ascii="Calibri" w:cs="Calibri" w:eastAsia="Calibri" w:hAnsi="Calibri"/>
          <w:i w:val="false"/>
          <w:iCs w:val="false"/>
          <w:color w:val="222222"/>
          <w:sz w:val="20"/>
          <w:szCs w:val="20"/>
        </w:rPr>
        <w:t xml:space="preserve"> — competes for the mandate but with a narrower model or weaker funding; </w:t>
      </w:r>
      <w:r>
        <w:rPr>
          <w:rFonts w:ascii="Calibri" w:cs="Calibri" w:eastAsia="Calibri" w:hAnsi="Calibri"/>
          <w:b/>
          <w:bCs/>
          <w:i w:val="false"/>
          <w:iCs w:val="false"/>
          <w:color w:val="222222"/>
          <w:sz w:val="20"/>
          <w:szCs w:val="20"/>
        </w:rPr>
        <w:t xml:space="preserve">Medium</w:t>
      </w:r>
      <w:r>
        <w:rPr>
          <w:rFonts w:ascii="Calibri" w:cs="Calibri" w:eastAsia="Calibri" w:hAnsi="Calibri"/>
          <w:i w:val="false"/>
          <w:iCs w:val="false"/>
          <w:color w:val="222222"/>
          <w:sz w:val="20"/>
          <w:szCs w:val="20"/>
        </w:rPr>
        <w:t xml:space="preserve"> — competes for large parts of scope, often as our subcontractor or our displacer on single lots; </w:t>
      </w:r>
      <w:r>
        <w:rPr>
          <w:rFonts w:ascii="Calibri" w:cs="Calibri" w:eastAsia="Calibri" w:hAnsi="Calibri"/>
          <w:b/>
          <w:bCs/>
          <w:i w:val="false"/>
          <w:iCs w:val="false"/>
          <w:color w:val="222222"/>
          <w:sz w:val="20"/>
          <w:szCs w:val="20"/>
        </w:rPr>
        <w:t xml:space="preserve">Low</w:t>
      </w:r>
      <w:r>
        <w:rPr>
          <w:rFonts w:ascii="Calibri" w:cs="Calibri" w:eastAsia="Calibri" w:hAnsi="Calibri"/>
          <w:i w:val="false"/>
          <w:iCs w:val="false"/>
          <w:color w:val="222222"/>
          <w:sz w:val="20"/>
          <w:szCs w:val="20"/>
        </w:rPr>
        <w:t xml:space="preserve"> — component or niche overlap only. </w:t>
      </w:r>
      <w:r>
        <w:rPr>
          <w:rFonts w:ascii="Calibri" w:cs="Calibri" w:eastAsia="Calibri" w:hAnsi="Calibri"/>
          <w:b/>
          <w:bCs/>
          <w:i w:val="false"/>
          <w:iCs w:val="false"/>
          <w:color w:val="222222"/>
          <w:sz w:val="20"/>
          <w:szCs w:val="20"/>
        </w:rPr>
        <w:t xml:space="preserve">Partner</w:t>
      </w:r>
      <w:r>
        <w:rPr>
          <w:rFonts w:ascii="Calibri" w:cs="Calibri" w:eastAsia="Calibri" w:hAnsi="Calibri"/>
          <w:i w:val="false"/>
          <w:iCs w:val="false"/>
          <w:color w:val="222222"/>
          <w:sz w:val="20"/>
          <w:szCs w:val="20"/>
        </w:rPr>
        <w:t xml:space="preserve"> — more valuable to us as a delivery or funding partner than as a rival, though the two can flip on a single deal.</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3. Scope, method and confidence</w:t>
      </w:r>
    </w:p>
    <w:p>
      <w:pPr>
        <w:pStyle w:val="Heading2"/>
        <w:spacing w:after="140" w:before="340"/>
      </w:pPr>
      <w:r>
        <w:rPr>
          <w:rFonts w:ascii="Calibri" w:cs="Calibri" w:eastAsia="Calibri" w:hAnsi="Calibri"/>
          <w:b/>
          <w:bCs/>
          <w:color w:val="1C6B4C"/>
          <w:sz w:val="26"/>
          <w:szCs w:val="26"/>
        </w:rPr>
        <w:t xml:space="preserve">3.1 What is in scope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Organisations active in the UK (and Ireland where the same team sells into the UK) in energy infrastructure, decarbonisation, energy services and energy construction.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Seven market segments: I&amp;C; Public Sector (NHS, universities, central government, local authority estates); Grid-Scale / Front-of-Meter; Cities and city-wide concessions; Data Centres; Social Housing &amp; Schools Retrofit; EV Infrastructure &amp; Fleet.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Heat networks are treated as a battleground inside Cities and Public Sector rather than as a separate segment, because that is where the procurement decisions are actually taken.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Capital providers — private equity, infrastructure funds, public funders — analysed as facilitators, funders, rival funders and acquirers of our competitors.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Advisers, consultants and framework operators, because they shape specifications and payment mechanisms before any contractor is asked to price.</w:t>
      </w:r>
    </w:p>
    <w:p>
      <w:pPr>
        <w:pStyle w:val="Heading2"/>
        <w:spacing w:after="140" w:before="340"/>
      </w:pPr>
      <w:r>
        <w:rPr>
          <w:rFonts w:ascii="Calibri" w:cs="Calibri" w:eastAsia="Calibri" w:hAnsi="Calibri"/>
          <w:b/>
          <w:bCs/>
          <w:color w:val="1C6B4C"/>
          <w:sz w:val="26"/>
          <w:szCs w:val="26"/>
        </w:rPr>
        <w:t xml:space="preserve">3.2 What is deliberately excluded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Pure energy supply and retail (except where supply adjacency is the competitive weapon, e.g. Centrica, E.ON, SSE, Octopus, EDF).</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Pure commodity trading, brokerage and flexibility aggregation, except where it forms part of a competitor's route to market.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Offshore wind, nuclear new-build and transmission-owner work, which sit outside the Ameresco delivery model.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Domestic retail retrofit and consumer heat pump installation as standalone businesses.</w:t>
      </w:r>
    </w:p>
    <w:p>
      <w:pPr>
        <w:pStyle w:val="Heading2"/>
        <w:spacing w:after="140" w:before="340"/>
      </w:pPr>
      <w:r>
        <w:rPr>
          <w:rFonts w:ascii="Calibri" w:cs="Calibri" w:eastAsia="Calibri" w:hAnsi="Calibri"/>
          <w:b/>
          <w:bCs/>
          <w:color w:val="1C6B4C"/>
          <w:sz w:val="26"/>
          <w:szCs w:val="26"/>
        </w:rPr>
        <w:t xml:space="preserve">3.3 Method</w:t>
      </w:r>
    </w:p>
    <w:p>
      <w:pPr>
        <w:spacing w:after="140" w:line="276"/>
        <w:jc w:val="left"/>
      </w:pPr>
      <w:r>
        <w:rPr>
          <w:rFonts w:ascii="Calibri" w:cs="Calibri" w:eastAsia="Calibri" w:hAnsi="Calibri"/>
          <w:i w:val="false"/>
          <w:iCs w:val="false"/>
          <w:color w:val="222222"/>
          <w:sz w:val="20"/>
          <w:szCs w:val="20"/>
        </w:rPr>
        <w:t xml:space="preserve">Competitor positions are assessed against the five elements of the Ameresco wrap — </w:t>
      </w:r>
      <w:r>
        <w:rPr>
          <w:rFonts w:ascii="Calibri" w:cs="Calibri" w:eastAsia="Calibri" w:hAnsi="Calibri"/>
          <w:b/>
          <w:bCs/>
          <w:i w:val="false"/>
          <w:iCs w:val="false"/>
          <w:color w:val="222222"/>
          <w:sz w:val="20"/>
          <w:szCs w:val="20"/>
        </w:rPr>
        <w:t xml:space="preserve">Design, Finance, Deliver, Operate, Optimise</w:t>
      </w:r>
      <w:r>
        <w:rPr>
          <w:rFonts w:ascii="Calibri" w:cs="Calibri" w:eastAsia="Calibri" w:hAnsi="Calibri"/>
          <w:i w:val="false"/>
          <w:iCs w:val="false"/>
          <w:color w:val="222222"/>
          <w:sz w:val="20"/>
          <w:szCs w:val="20"/>
        </w:rPr>
        <w:t xml:space="preserve"> — plus technology breadth and segment coverage. Each element is scored 0–5. A score of 5 means the competitor does this at our scale and quality as a matter of course; 3 means they do it but with narrower structures or in fewer segments; 1 means occasional or partner-dependent; 0 means not offered.</w:t>
      </w:r>
    </w:p>
    <w:p>
      <w:pPr>
        <w:pStyle w:val="Heading2"/>
        <w:spacing w:after="140" w:before="340"/>
      </w:pPr>
      <w:r>
        <w:rPr>
          <w:rFonts w:ascii="Calibri" w:cs="Calibri" w:eastAsia="Calibri" w:hAnsi="Calibri"/>
          <w:b/>
          <w:bCs/>
          <w:color w:val="1C6B4C"/>
          <w:sz w:val="26"/>
          <w:szCs w:val="26"/>
        </w:rPr>
        <w:t xml:space="preserve">3.4 Confidence and currency</w:t>
      </w:r>
    </w:p>
    <w:p>
      <w:pPr>
        <w:spacing w:after="140" w:line="276"/>
        <w:jc w:val="left"/>
      </w:pPr>
      <w:r>
        <w:rPr>
          <w:rFonts w:ascii="Calibri" w:cs="Calibri" w:eastAsia="Calibri" w:hAnsi="Calibri"/>
          <w:i w:val="false"/>
          <w:iCs w:val="false"/>
          <w:color w:val="222222"/>
          <w:sz w:val="20"/>
          <w:szCs w:val="20"/>
        </w:rPr>
        <w:t xml:space="preserve">Financial and ownership data is drawn from published accounts, company announcements and trade press to </w:t>
      </w:r>
      <w:r>
        <w:rPr>
          <w:rFonts w:ascii="Calibri" w:cs="Calibri" w:eastAsia="Calibri" w:hAnsi="Calibri"/>
          <w:b/>
          <w:bCs/>
          <w:i w:val="false"/>
          <w:iCs w:val="false"/>
          <w:color w:val="222222"/>
          <w:sz w:val="20"/>
          <w:szCs w:val="20"/>
        </w:rPr>
        <w:t xml:space="preserve">August 2026</w:t>
      </w:r>
      <w:r>
        <w:rPr>
          <w:rFonts w:ascii="Calibri" w:cs="Calibri" w:eastAsia="Calibri" w:hAnsi="Calibri"/>
          <w:i w:val="false"/>
          <w:iCs w:val="false"/>
          <w:color w:val="222222"/>
          <w:sz w:val="20"/>
          <w:szCs w:val="20"/>
        </w:rPr>
        <w:t xml:space="preserve">. Where a transaction is reported but not confirmed by the parties, it is flagged in the text as reported. Private company figures are filed accounts and therefore lag; divisional revenue for subsidiaries of large groups is often not separately disclosed and is estimated or omitted rather than guessed. Market sizing figures from third-party analysts carry wide error bars and are used for direction, not precision.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A caution on one number</w:t>
            </w:r>
          </w:p>
          <w:p>
            <w:pPr>
              <w:spacing w:after="0"/>
            </w:pPr>
            <w:r>
              <w:rPr>
                <w:rFonts w:ascii="Calibri" w:cs="Calibri" w:eastAsia="Calibri" w:hAnsi="Calibri"/>
                <w:i w:val="false"/>
                <w:iCs w:val="false"/>
                <w:color w:val="222222"/>
                <w:sz w:val="19"/>
                <w:szCs w:val="19"/>
              </w:rPr>
              <w:t xml:space="preserve">Published "UK energy-as-a-service" and "ESCO market" figures vary by more than a factor of three between analyst houses, because they draw the boundary in different places. Treat any single market-size number in a competitor's pitch — or in ours — as an argument rather than a fact.</w:t>
            </w:r>
          </w:p>
        </w:tc>
      </w:tr>
    </w:tbl>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4. Market context 2026: what has actually changed</w:t>
      </w:r>
    </w:p>
    <w:p>
      <w:pPr>
        <w:spacing w:after="140" w:line="276"/>
        <w:jc w:val="left"/>
      </w:pPr>
      <w:r>
        <w:rPr>
          <w:rFonts w:ascii="Calibri" w:cs="Calibri" w:eastAsia="Calibri" w:hAnsi="Calibri"/>
          <w:i w:val="false"/>
          <w:iCs w:val="false"/>
          <w:color w:val="222222"/>
          <w:sz w:val="20"/>
          <w:szCs w:val="20"/>
        </w:rPr>
        <w:t xml:space="preserve">Six structural shifts are reshaping who we compete against and how. Each changes the competitive set, not just the market size.</w:t>
      </w:r>
    </w:p>
    <w:p>
      <w:pPr>
        <w:pStyle w:val="Heading2"/>
        <w:spacing w:after="140" w:before="340"/>
      </w:pPr>
      <w:r>
        <w:rPr>
          <w:rFonts w:ascii="Calibri" w:cs="Calibri" w:eastAsia="Calibri" w:hAnsi="Calibri"/>
          <w:b/>
          <w:bCs/>
          <w:color w:val="1C6B4C"/>
          <w:sz w:val="26"/>
          <w:szCs w:val="26"/>
        </w:rPr>
        <w:t xml:space="preserve">4.1 Public sector capital has moved from grant to structure</w:t>
      </w:r>
    </w:p>
    <w:p>
      <w:pPr>
        <w:spacing w:after="140" w:line="276"/>
        <w:jc w:val="left"/>
      </w:pPr>
      <w:r>
        <w:rPr>
          <w:rFonts w:ascii="Calibri" w:cs="Calibri" w:eastAsia="Calibri" w:hAnsi="Calibri"/>
          <w:i w:val="false"/>
          <w:iCs w:val="false"/>
          <w:color w:val="222222"/>
          <w:sz w:val="20"/>
          <w:szCs w:val="20"/>
        </w:rPr>
        <w:t xml:space="preserve">The Public Sector Decarbonisation Scheme is closed to new investment. Salix continues to deliver Phase 3c (grant funding to 31 March 2026) and Phase 4 (to 31 March 2028), but there is no further phase. For a decade the dominant public sector competitive question was "who can write the best grant bid?" — a question that favoured consultancy-led and contractor-led competitors with bid factories. The question is becoming "who can fund this without grant and stand behind the savings?", which favours us.</w:t>
      </w:r>
    </w:p>
    <w:p>
      <w:pPr>
        <w:spacing w:after="140" w:line="276"/>
        <w:jc w:val="left"/>
      </w:pPr>
      <w:r>
        <w:rPr>
          <w:rFonts w:ascii="Calibri" w:cs="Calibri" w:eastAsia="Calibri" w:hAnsi="Calibri"/>
          <w:b/>
          <w:bCs/>
          <w:i w:val="false"/>
          <w:iCs w:val="false"/>
          <w:color w:val="222222"/>
          <w:sz w:val="20"/>
          <w:szCs w:val="20"/>
        </w:rPr>
        <w:t xml:space="preserve">The competitive implication is a timing trap.</w:t>
      </w:r>
      <w:r>
        <w:rPr>
          <w:rFonts w:ascii="Calibri" w:cs="Calibri" w:eastAsia="Calibri" w:hAnsi="Calibri"/>
          <w:i w:val="false"/>
          <w:iCs w:val="false"/>
          <w:color w:val="222222"/>
          <w:sz w:val="20"/>
          <w:szCs w:val="20"/>
        </w:rPr>
        <w:t xml:space="preserve"> Competitors with large PSDS-funded backlogs (Dalkia's engineering division grew turnover 30% to £228m on public sector retrofit; Equans and Vital both carry substantial awarded programmes) will look strong for two more years on work that is already funded. Their weakness appears when that backlog runs off in 2027–28. Our funded model looks relatively expensive today and relatively essential in eighteen months. Sequence pursuit accordingly.</w:t>
      </w:r>
    </w:p>
    <w:p>
      <w:pPr>
        <w:pStyle w:val="Heading2"/>
        <w:spacing w:after="140" w:before="340"/>
      </w:pPr>
      <w:r>
        <w:rPr>
          <w:rFonts w:ascii="Calibri" w:cs="Calibri" w:eastAsia="Calibri" w:hAnsi="Calibri"/>
          <w:b/>
          <w:bCs/>
          <w:color w:val="1C6B4C"/>
          <w:sz w:val="26"/>
          <w:szCs w:val="26"/>
        </w:rPr>
        <w:t xml:space="preserve">4.2 Great British Energy has re-armed the technology sellers</w:t>
      </w:r>
    </w:p>
    <w:p>
      <w:pPr>
        <w:spacing w:after="140" w:line="276"/>
        <w:jc w:val="left"/>
      </w:pPr>
      <w:r>
        <w:rPr>
          <w:rFonts w:ascii="Calibri" w:cs="Calibri" w:eastAsia="Calibri" w:hAnsi="Calibri"/>
          <w:i w:val="false"/>
          <w:iCs w:val="false"/>
          <w:color w:val="222222"/>
          <w:sz w:val="20"/>
          <w:szCs w:val="20"/>
        </w:rPr>
        <w:t xml:space="preserve">GB Energy's solar programme has committed around £180m of capital grant into schools and NHS sites — approximately £80m for around 200 schools and £100m for nearly 200 NHS sites in England, plus £9.3m across Scotland, Wales and Northern Ireland, with a further round opened in January 2026 on a rolling basis. Over 250 schools have signed agreements for a share of up to £100m.</w:t>
      </w:r>
    </w:p>
    <w:p>
      <w:pPr>
        <w:spacing w:after="140" w:line="276"/>
        <w:jc w:val="left"/>
      </w:pPr>
      <w:r>
        <w:rPr>
          <w:rFonts w:ascii="Calibri" w:cs="Calibri" w:eastAsia="Calibri" w:hAnsi="Calibri"/>
          <w:i w:val="false"/>
          <w:iCs w:val="false"/>
          <w:color w:val="222222"/>
          <w:sz w:val="20"/>
          <w:szCs w:val="20"/>
        </w:rPr>
        <w:t xml:space="preserve">This is grant capital pointed at a single technology in exactly the estates we target. It makes a funded solar proposition uncompetitive in those buildings and it gives solar EPCs — Custom Solar/Mitie, Anesco, Geo Green Power, regional installers — a credentialled route into estates teams. </w:t>
      </w:r>
      <w:r>
        <w:rPr>
          <w:rFonts w:ascii="Calibri" w:cs="Calibri" w:eastAsia="Calibri" w:hAnsi="Calibri"/>
          <w:b/>
          <w:bCs/>
          <w:i w:val="false"/>
          <w:iCs w:val="false"/>
          <w:color w:val="222222"/>
          <w:sz w:val="20"/>
          <w:szCs w:val="20"/>
        </w:rPr>
        <w:t xml:space="preserve">Do not compete with a grant. Let the grant take the roof, and sell the heat, the plant replacement, the resilience and the M&amp;V that the grant does not cover.</w:t>
      </w:r>
    </w:p>
    <w:p>
      <w:pPr>
        <w:pStyle w:val="Heading2"/>
        <w:spacing w:after="140" w:before="340"/>
      </w:pPr>
      <w:r>
        <w:rPr>
          <w:rFonts w:ascii="Calibri" w:cs="Calibri" w:eastAsia="Calibri" w:hAnsi="Calibri"/>
          <w:b/>
          <w:bCs/>
          <w:color w:val="1C6B4C"/>
          <w:sz w:val="26"/>
          <w:szCs w:val="26"/>
        </w:rPr>
        <w:t xml:space="preserve">4.3 Heat network zoning turns cities into regulated concessions</w:t>
      </w:r>
    </w:p>
    <w:p>
      <w:pPr>
        <w:spacing w:after="140" w:line="276"/>
        <w:jc w:val="left"/>
      </w:pPr>
      <w:r>
        <w:rPr>
          <w:rFonts w:ascii="Calibri" w:cs="Calibri" w:eastAsia="Calibri" w:hAnsi="Calibri"/>
          <w:i w:val="false"/>
          <w:iCs w:val="false"/>
          <w:color w:val="222222"/>
          <w:sz w:val="20"/>
          <w:szCs w:val="20"/>
        </w:rPr>
        <w:t xml:space="preserve">DESNZ selected six first zones — Leeds, Plymouth, Bristol, Stockport, Sheffield and two London areas — sharing £5.8m of development funding, with construction expected from 2026/27. Two statutory instruments, one for zoning and one for the rights and powers regime, were anticipated to be laid in Parliament in spring 2026. Zone Coordinators will designate zones and determine what gets built, where and by whom.</w:t>
      </w:r>
    </w:p>
    <w:p>
      <w:pPr>
        <w:spacing w:after="140" w:line="276"/>
        <w:jc w:val="left"/>
      </w:pPr>
      <w:r>
        <w:rPr>
          <w:rFonts w:ascii="Calibri" w:cs="Calibri" w:eastAsia="Calibri" w:hAnsi="Calibri"/>
          <w:i w:val="false"/>
          <w:iCs w:val="false"/>
          <w:color w:val="222222"/>
          <w:sz w:val="20"/>
          <w:szCs w:val="20"/>
        </w:rPr>
        <w:t xml:space="preserve">The Green Heat Network Fund has allocated over £500m to date, including £68m across eight projects in December 2025, and government has signalled around £195m a year for green heat networks. Round 12 closes 25 September 2026, with grants covering up to (but not including) 50% of eligible commercialisation and construction costs.</w:t>
      </w:r>
    </w:p>
    <w:p>
      <w:pPr>
        <w:spacing w:after="140" w:line="276"/>
        <w:jc w:val="left"/>
      </w:pPr>
      <w:r>
        <w:rPr>
          <w:rFonts w:ascii="Calibri" w:cs="Calibri" w:eastAsia="Calibri" w:hAnsi="Calibri"/>
          <w:b/>
          <w:bCs/>
          <w:i w:val="false"/>
          <w:iCs w:val="false"/>
          <w:color w:val="222222"/>
          <w:sz w:val="20"/>
          <w:szCs w:val="20"/>
        </w:rPr>
        <w:t xml:space="preserve">Competitive implication:</w:t>
      </w:r>
      <w:r>
        <w:rPr>
          <w:rFonts w:ascii="Calibri" w:cs="Calibri" w:eastAsia="Calibri" w:hAnsi="Calibri"/>
          <w:i w:val="false"/>
          <w:iCs w:val="false"/>
          <w:color w:val="222222"/>
          <w:sz w:val="20"/>
          <w:szCs w:val="20"/>
        </w:rPr>
        <w:t xml:space="preserve"> in a zoned market, the incumbent network owner in a city has a structural advantage over a challenger, because connection rights and existing pipe determine economics. Vital Energi, E.ON, Veolia and Hemiko are all positioning as zone-scale owner-operators. Bristol is one of the six first zones — that is an asset for us and a target for them.</w:t>
      </w:r>
    </w:p>
    <w:p>
      <w:pPr>
        <w:pStyle w:val="Heading2"/>
        <w:spacing w:after="140" w:before="340"/>
      </w:pPr>
      <w:r>
        <w:rPr>
          <w:rFonts w:ascii="Calibri" w:cs="Calibri" w:eastAsia="Calibri" w:hAnsi="Calibri"/>
          <w:b/>
          <w:bCs/>
          <w:color w:val="1C6B4C"/>
          <w:sz w:val="26"/>
          <w:szCs w:val="26"/>
        </w:rPr>
        <w:t xml:space="preserve">4.4 The NHS is consolidating access into one framework</w:t>
      </w:r>
    </w:p>
    <w:p>
      <w:pPr>
        <w:spacing w:after="140" w:line="276"/>
        <w:jc w:val="left"/>
      </w:pPr>
      <w:r>
        <w:rPr>
          <w:rFonts w:ascii="Calibri" w:cs="Calibri" w:eastAsia="Calibri" w:hAnsi="Calibri"/>
          <w:i w:val="false"/>
          <w:iCs w:val="false"/>
          <w:color w:val="222222"/>
          <w:sz w:val="20"/>
          <w:szCs w:val="20"/>
        </w:rPr>
        <w:t xml:space="preserve">The NHS northern procurement hub (NOE CPC, notice NOE.0655) has tendered a £1bn Decarbonisation and Energy Infrastructure framework: 20 lots, up to 180 suppliers, £350m across six national lots, £600m across fifteen regional delivery lots, and a single £200m principal partner lot. Bids were due 1 May 2026 with the framework running 1 October 2026 to 30 September 2029. Technical requirements span PAS 2035 retrofit assessment, TM65 operational energy modelling and NHS net zero 2040 alignment. NHS SBS separately operates a Decarbonisation of Estates framework (SBS10504).</w:t>
      </w:r>
    </w:p>
    <w:p>
      <w:pPr>
        <w:spacing w:after="140" w:line="276"/>
        <w:jc w:val="left"/>
      </w:pPr>
      <w:r>
        <w:rPr>
          <w:rFonts w:ascii="Calibri" w:cs="Calibri" w:eastAsia="Calibri" w:hAnsi="Calibri"/>
          <w:b/>
          <w:bCs/>
          <w:i w:val="false"/>
          <w:iCs w:val="false"/>
          <w:color w:val="222222"/>
          <w:sz w:val="20"/>
          <w:szCs w:val="20"/>
        </w:rPr>
        <w:t xml:space="preserve">Competitive implication:</w:t>
      </w:r>
      <w:r>
        <w:rPr>
          <w:rFonts w:ascii="Calibri" w:cs="Calibri" w:eastAsia="Calibri" w:hAnsi="Calibri"/>
          <w:i w:val="false"/>
          <w:iCs w:val="false"/>
          <w:color w:val="222222"/>
          <w:sz w:val="20"/>
          <w:szCs w:val="20"/>
        </w:rPr>
        <w:t xml:space="preserve"> a framework with 180 suppliers is a commoditisation machine for everything except Lot 6. Presence on regional works lots puts us in a price fight with regional contractors. The principal partner lot is the only structure that pays for what we are.</w:t>
      </w:r>
    </w:p>
    <w:p>
      <w:pPr>
        <w:pStyle w:val="Heading2"/>
        <w:spacing w:after="140" w:before="340"/>
      </w:pPr>
      <w:r>
        <w:rPr>
          <w:rFonts w:ascii="Calibri" w:cs="Calibri" w:eastAsia="Calibri" w:hAnsi="Calibri"/>
          <w:b/>
          <w:bCs/>
          <w:color w:val="1C6B4C"/>
          <w:sz w:val="26"/>
          <w:szCs w:val="26"/>
        </w:rPr>
        <w:t xml:space="preserve">4.5 Clean Power 2030 and the grid queue have made connections the scarce good</w:t>
      </w:r>
    </w:p>
    <w:p>
      <w:pPr>
        <w:spacing w:after="140" w:line="276"/>
        <w:jc w:val="left"/>
      </w:pPr>
      <w:r>
        <w:rPr>
          <w:rFonts w:ascii="Calibri" w:cs="Calibri" w:eastAsia="Calibri" w:hAnsi="Calibri"/>
          <w:i w:val="false"/>
          <w:iCs w:val="false"/>
          <w:color w:val="222222"/>
          <w:sz w:val="20"/>
          <w:szCs w:val="20"/>
        </w:rPr>
        <w:t xml:space="preserve">Grid connection capacity, not construction capability, is now the binding constraint on front-of-meter and on large behind-the-meter projects. Around 140 proposed data centres have requested approximately 50GW of connection capacity against a national peak of roughly 45GW. AI Growth Zones give designated sites priority connection access and the ability to build their own high-voltage infrastructure including private lines and substations.</w:t>
      </w:r>
    </w:p>
    <w:p>
      <w:pPr>
        <w:spacing w:after="140" w:line="276"/>
        <w:jc w:val="left"/>
      </w:pPr>
      <w:r>
        <w:rPr>
          <w:rFonts w:ascii="Calibri" w:cs="Calibri" w:eastAsia="Calibri" w:hAnsi="Calibri"/>
          <w:b/>
          <w:bCs/>
          <w:i w:val="false"/>
          <w:iCs w:val="false"/>
          <w:color w:val="222222"/>
          <w:sz w:val="20"/>
          <w:szCs w:val="20"/>
        </w:rPr>
        <w:t xml:space="preserve">Competitive implication:</w:t>
      </w:r>
      <w:r>
        <w:rPr>
          <w:rFonts w:ascii="Calibri" w:cs="Calibri" w:eastAsia="Calibri" w:hAnsi="Calibri"/>
          <w:i w:val="false"/>
          <w:iCs w:val="false"/>
          <w:color w:val="222222"/>
          <w:sz w:val="20"/>
          <w:szCs w:val="20"/>
        </w:rPr>
        <w:t xml:space="preserve"> the value in a project has shifted upstream, from EPC margin to connection rights and land. This favours competitors that own networks (E.ON, SSE, ENGIE via UK Power Networks, the IDNOs) and developers holding queue positions (Statera, Lightsource bp, NatPower, Fidra). Our grid-scale EPC credentials — Cellarhead at 300MW/624MWh and £196.5m, Sonnedix at 300MWp — are top-tier but they buy us a seat in a market where someone else increasingly holds the scarce asset.</w:t>
      </w:r>
    </w:p>
    <w:p>
      <w:pPr>
        <w:pStyle w:val="Heading2"/>
        <w:spacing w:after="140" w:before="340"/>
      </w:pPr>
      <w:r>
        <w:rPr>
          <w:rFonts w:ascii="Calibri" w:cs="Calibri" w:eastAsia="Calibri" w:hAnsi="Calibri"/>
          <w:b/>
          <w:bCs/>
          <w:color w:val="1C6B4C"/>
          <w:sz w:val="26"/>
          <w:szCs w:val="26"/>
        </w:rPr>
        <w:t xml:space="preserve">4.6 Capital is rotating, and it is rotating through our competitors</w:t>
      </w:r>
    </w:p>
    <w:p>
      <w:pPr>
        <w:spacing w:after="140" w:line="276"/>
        <w:jc w:val="left"/>
      </w:pPr>
      <w:r>
        <w:rPr>
          <w:rFonts w:ascii="Calibri" w:cs="Calibri" w:eastAsia="Calibri" w:hAnsi="Calibri"/>
          <w:i w:val="false"/>
          <w:iCs w:val="false"/>
          <w:color w:val="222222"/>
          <w:sz w:val="20"/>
          <w:szCs w:val="20"/>
        </w:rPr>
        <w:t xml:space="preserve">The ownership map of the UK energy services sector has changed more in eighteen months than in the previous decade: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3880"/>
        <w:gridCol w:w="3686"/>
      </w:tblGrid>
      <w:tr>
        <w:trPr>
          <w:tblHeader/>
        </w:trPr>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Move</w:t>
            </w:r>
          </w:p>
        </w:tc>
        <w:tc>
          <w:tcPr>
            <w:tcW w:type="dxa" w:w="388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happened</w:t>
            </w:r>
          </w:p>
        </w:tc>
        <w:tc>
          <w:tcPr>
            <w:tcW w:type="dxa" w:w="368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Why it matters to us</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ENGIE acquires UK Power Networks</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May 2026. 8.5m customers, c.192,000km of network, 6,500 staff. UK becomes ENGIE's second-largest country of operation.</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Creates a UK player with regulated network, generation, supply and a services heritage. If ENGIE rebuilds a UK services arm post-Equans, it becomes a top-five threat quickly.</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Vattenfall exits UK heat and networks</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Ownership review from March 2025; UK IDNO sold to Eclipse Power (Octopus Sky Fund); heat businesses reported to be heading to Reinova Capital.</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Direct counterparty change inside Bristol City Leap. Also removes a competitor and replaces it with a financial owner of unknown appetite.</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DIF Capital Partners acquires Hemiko (ex-Pinnacle Power)</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Majority stake; c.£1bn to deploy into town and city-wide heat networks by 2030.</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 pure-play, well-funded city-scale heat competitor built specifically for the zoning market.</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bp retreats from Lightsource bp</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Full ownership taken October 2024, then a process to sell c.50% ("Project Scala"); reported talks with a Kuwait-backed consortium.</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Ownership uncertainty at the UK's largest solar developer creates both partnership openings and irrational pricing.</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HGGC acquires Inspired plc</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c.£183.6m recommended offer; delisted from AIM September 2025. 3,500+ customers, I&amp;C focus.</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PE money behind an adviser that sits between us and I&amp;C buyers, and increasingly recommends structures.</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Corran Capital investment and £175m bond at Vital Energi</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Senior secured bond 2025/2030 listed on Nordic ABM, September 2025.</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Funds Vital's move from contractor to asset owner — the single most direct capability convergence with our model.</w:t>
            </w:r>
          </w:p>
        </w:tc>
      </w:tr>
    </w:tbl>
    <w:p>
      <w:pPr>
        <w:spacing w:after="200" w:before="60"/>
      </w:pPr>
      <w:r>
        <w:rPr>
          <w:rFonts w:ascii="Calibri" w:cs="Calibri" w:eastAsia="Calibri" w:hAnsi="Calibri"/>
          <w:i/>
          <w:iCs/>
          <w:color w:val="5A5A5A"/>
          <w:sz w:val="16"/>
          <w:szCs w:val="16"/>
        </w:rPr>
        <w:t xml:space="preserve">Table 4.1 — Ownership changes reshaping the UK competitive set, 2024–2026.</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5. The competitive map</w:t>
      </w:r>
    </w:p>
    <w:p>
      <w:pPr>
        <w:pStyle w:val="Heading2"/>
        <w:spacing w:after="140" w:before="340"/>
      </w:pPr>
      <w:r>
        <w:rPr>
          <w:rFonts w:ascii="Calibri" w:cs="Calibri" w:eastAsia="Calibri" w:hAnsi="Calibri"/>
          <w:b/>
          <w:bCs/>
          <w:color w:val="1C6B4C"/>
          <w:sz w:val="26"/>
          <w:szCs w:val="26"/>
        </w:rPr>
        <w:t xml:space="preserve">5.1 Six archetypes</w:t>
      </w:r>
    </w:p>
    <w:p>
      <w:pPr>
        <w:spacing w:after="140" w:line="276"/>
        <w:jc w:val="left"/>
      </w:pPr>
      <w:r>
        <w:rPr>
          <w:rFonts w:ascii="Calibri" w:cs="Calibri" w:eastAsia="Calibri" w:hAnsi="Calibri"/>
          <w:i w:val="false"/>
          <w:iCs w:val="false"/>
          <w:color w:val="222222"/>
          <w:sz w:val="20"/>
          <w:szCs w:val="20"/>
        </w:rPr>
        <w:t xml:space="preserve">Competitors are easier to counter when you classify them by business model rather than by sector, because the model determines what they can and cannot say yes 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2328"/>
        <w:gridCol w:w="2716"/>
        <w:gridCol w:w="2716"/>
      </w:tblGrid>
      <w:tr>
        <w:trPr>
          <w:tblHeader/>
        </w:trPr>
        <w:tc>
          <w:tcPr>
            <w:tcW w:type="dxa" w:w="194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Archetype</w:t>
            </w:r>
          </w:p>
        </w:tc>
        <w:tc>
          <w:tcPr>
            <w:tcW w:type="dxa" w:w="232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Who</w:t>
            </w:r>
          </w:p>
        </w:tc>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How they make money</w:t>
            </w:r>
          </w:p>
        </w:tc>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Their structural weakness</w:t>
            </w:r>
          </w:p>
        </w:tc>
      </w:tr>
      <w:tr>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 Funded multi-technology integrator</w:t>
            </w:r>
          </w:p>
        </w:tc>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Ameresco, E.ON EIS, Vital Energi; Veolia and Centrica partially</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Long-term asset ownership, availability and energy payments, O&amp;M, development gain</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Slow to mobilise; expensive-looking against a single-technology price; needs a sophisticated buyer</w:t>
            </w:r>
          </w:p>
        </w:tc>
      </w:tr>
      <w:tr>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 Services and FM-led</w:t>
            </w:r>
          </w:p>
        </w:tc>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EQUANS, Mitie, Dalkia, Veolia, Amey, ISS, CBRE, Sodexo, Bellrock, OCS</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Labour margin, contract renewal, project uplift on an incumbent estate</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is one service line among many; funding is thin; investment case competes with FM P&amp;L</w:t>
            </w:r>
          </w:p>
        </w:tc>
      </w:tr>
      <w:tr>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 Utility and supply-led</w:t>
            </w:r>
          </w:p>
        </w:tc>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Centrica, E.ON, EDF/Dalkia, SSE, Octopus, ENGIE, ScottishPower</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Supply margin, PPA spread, asset returns, flexibility revenue</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Solutions bend towards the supply book; independence is questionable; conflicted on optimisation</w:t>
            </w:r>
          </w:p>
        </w:tc>
      </w:tr>
      <w:tr>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 Technology and OEM-led</w:t>
            </w:r>
          </w:p>
        </w:tc>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Schneider, Siemens, Johnson Controls, Honeywell, Trane, Carrier, ABB, Danfoss</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Product, platform, software subscription, service contracts</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Vendor-tied; will not take whole-programme construction risk; integration is somebody else's problem</w:t>
            </w:r>
          </w:p>
        </w:tc>
      </w:tr>
      <w:tr>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 Pure-play developer / owner-operator</w:t>
            </w:r>
          </w:p>
        </w:tc>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Lightsource bp, Statera, Zenobe, Harmony, Hemiko, Field, Eku, NextEnergy, Atrato</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Development premium, asset yield, merchant and contracted revenue</w:t>
            </w:r>
          </w:p>
        </w:tc>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Single-technology; no estate-wide capability; cannot address efficiency, heat and resilience together</w:t>
            </w:r>
          </w:p>
        </w:tc>
      </w:tr>
      <w:tr>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 Capital-only facilitator</w:t>
            </w:r>
          </w:p>
        </w:tc>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DIF, Equitix, Amber, Greencoat, Macquarie, InfraRed, Foresight, NWF, GB Energy</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 fees, asset returns, development gain</w:t>
            </w:r>
          </w:p>
        </w:tc>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No delivery capability at all — they must back somebody, and it can be us</w:t>
            </w:r>
          </w:p>
        </w:tc>
      </w:tr>
    </w:tbl>
    <w:p>
      <w:pPr>
        <w:spacing w:after="200" w:before="60"/>
      </w:pPr>
      <w:r>
        <w:rPr>
          <w:rFonts w:ascii="Calibri" w:cs="Calibri" w:eastAsia="Calibri" w:hAnsi="Calibri"/>
          <w:i/>
          <w:iCs/>
          <w:color w:val="5A5A5A"/>
          <w:sz w:val="16"/>
          <w:szCs w:val="16"/>
        </w:rPr>
        <w:t xml:space="preserve">Table 5.1 — The six competitor archetypes.</w:t>
      </w:r>
    </w:p>
    <w:p>
      <w:pPr>
        <w:pStyle w:val="Heading2"/>
        <w:spacing w:after="140" w:before="340"/>
      </w:pPr>
      <w:r>
        <w:rPr>
          <w:rFonts w:ascii="Calibri" w:cs="Calibri" w:eastAsia="Calibri" w:hAnsi="Calibri"/>
          <w:b/>
          <w:bCs/>
          <w:color w:val="1C6B4C"/>
          <w:sz w:val="26"/>
          <w:szCs w:val="26"/>
        </w:rPr>
        <w:t xml:space="preserve">5.2 Wrap coverage: who can actually do what we do</w:t>
      </w:r>
    </w:p>
    <w:p>
      <w:pPr>
        <w:spacing w:after="140" w:line="276"/>
        <w:jc w:val="left"/>
      </w:pPr>
      <w:r>
        <w:rPr>
          <w:rFonts w:ascii="Calibri" w:cs="Calibri" w:eastAsia="Calibri" w:hAnsi="Calibri"/>
          <w:i w:val="false"/>
          <w:iCs w:val="false"/>
          <w:color w:val="222222"/>
          <w:sz w:val="20"/>
          <w:szCs w:val="20"/>
        </w:rPr>
        <w:t xml:space="preserve">Each competitor scored 0–5 against the five elements of the Ameresco wrap, plus technology breadth. "Wrap score" is the total out of 30. This is the single most useful table in the document for qualification.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970"/>
        <w:gridCol w:w="970"/>
        <w:gridCol w:w="970"/>
        <w:gridCol w:w="970"/>
        <w:gridCol w:w="970"/>
        <w:gridCol w:w="1164"/>
        <w:gridCol w:w="1164"/>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97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Design</w:t>
            </w:r>
          </w:p>
        </w:tc>
        <w:tc>
          <w:tcPr>
            <w:tcW w:type="dxa" w:w="97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Finance</w:t>
            </w:r>
          </w:p>
        </w:tc>
        <w:tc>
          <w:tcPr>
            <w:tcW w:type="dxa" w:w="97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Deliver</w:t>
            </w:r>
          </w:p>
        </w:tc>
        <w:tc>
          <w:tcPr>
            <w:tcW w:type="dxa" w:w="97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Operate</w:t>
            </w:r>
          </w:p>
        </w:tc>
        <w:tc>
          <w:tcPr>
            <w:tcW w:type="dxa" w:w="97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Optimise</w:t>
            </w:r>
          </w:p>
        </w:tc>
        <w:tc>
          <w:tcPr>
            <w:tcW w:type="dxa" w:w="116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Tech breadth</w:t>
            </w:r>
          </w:p>
        </w:tc>
        <w:tc>
          <w:tcPr>
            <w:tcW w:type="dxa" w:w="116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Wrap /30</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Ameresco (reference)</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30</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 UK (EIS)</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27</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26</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 UK</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24</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 UK&amp;I</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24</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Business Solutions</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23</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ENGIE UK</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23</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Dalkia UK</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23</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SSE Energy Solutions</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22</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Schneider Electric</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22</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Siemens</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22</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Mitie</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22</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Hemiko</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21</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Johnson Controls (Asset+)</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20</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Zenobe</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21</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Honeywell</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18</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Lightsource bp</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19</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Statera Energy</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18</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Anesco</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18</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Octopus Energy (business)</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18</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Sureserve</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15</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Clarke Energy</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18</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Kensa</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16</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Balfour Beatty</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97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16</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Amey</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97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116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16</w:t>
            </w:r>
          </w:p>
        </w:tc>
      </w:tr>
    </w:tbl>
    <w:p>
      <w:pPr>
        <w:spacing w:after="200" w:before="60"/>
      </w:pPr>
      <w:r>
        <w:rPr>
          <w:rFonts w:ascii="Calibri" w:cs="Calibri" w:eastAsia="Calibri" w:hAnsi="Calibri"/>
          <w:i/>
          <w:iCs/>
          <w:color w:val="5A5A5A"/>
          <w:sz w:val="16"/>
          <w:szCs w:val="16"/>
        </w:rPr>
        <w:t xml:space="preserve">Table 5.2 — Wrap coverage scores. Ameresco is set at the reference maximum; scores are relative to our UK delivery model, not absolute capability.</w:t>
      </w:r>
    </w:p>
    <w:p>
      <w:pPr>
        <w:spacing w:after="12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How to read Table 5.2</w:t>
            </w:r>
          </w:p>
          <w:p>
            <w:pPr>
              <w:spacing w:after="0"/>
            </w:pPr>
            <w:r>
              <w:rPr>
                <w:rFonts w:ascii="Calibri" w:cs="Calibri" w:eastAsia="Calibri" w:hAnsi="Calibri"/>
                <w:i w:val="false"/>
                <w:iCs w:val="false"/>
                <w:color w:val="222222"/>
                <w:sz w:val="19"/>
                <w:szCs w:val="19"/>
              </w:rPr>
              <w:t xml:space="preserve">Nobody scores 30 but four organisations score 24 or above, and the top of that list is not the one most people name in the room. </w:t>
            </w:r>
            <w:r>
              <w:rPr>
                <w:rFonts w:ascii="Calibri" w:cs="Calibri" w:eastAsia="Calibri" w:hAnsi="Calibri"/>
                <w:b/>
                <w:bCs/>
                <w:i w:val="false"/>
                <w:iCs w:val="false"/>
                <w:color w:val="222222"/>
                <w:sz w:val="19"/>
                <w:szCs w:val="19"/>
              </w:rPr>
              <w:t xml:space="preserve">E.ON is structurally the closest competitor to Ameresco in the UK; Vital Energi is the fastest-converging.</w:t>
            </w:r>
            <w:r>
              <w:rPr>
                <w:rFonts w:ascii="Calibri" w:cs="Calibri" w:eastAsia="Calibri" w:hAnsi="Calibri"/>
                <w:i w:val="false"/>
                <w:iCs w:val="false"/>
                <w:color w:val="222222"/>
                <w:sz w:val="19"/>
                <w:szCs w:val="19"/>
              </w:rPr>
              <w:t xml:space="preserve"> The gap that keeps most of the field below us is Optimise — long-horizon M&amp;V and continuous performance improvement — which is also the hardest element for a buyer to evaluate at bid stage. That is precisely why it must be made concrete and contractual in our proposals rather than described.</w:t>
            </w:r>
          </w:p>
        </w:tc>
      </w:tr>
    </w:tbl>
    <w:p>
      <w:pPr>
        <w:pStyle w:val="Heading2"/>
        <w:spacing w:after="140" w:before="340"/>
      </w:pPr>
      <w:r>
        <w:rPr>
          <w:rFonts w:ascii="Calibri" w:cs="Calibri" w:eastAsia="Calibri" w:hAnsi="Calibri"/>
          <w:b/>
          <w:bCs/>
          <w:color w:val="1C6B4C"/>
          <w:sz w:val="26"/>
          <w:szCs w:val="26"/>
        </w:rPr>
        <w:t xml:space="preserve">5.3 Where the field is strong and weak, in one view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3686"/>
        <w:gridCol w:w="3492"/>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Capability</w:t>
            </w:r>
          </w:p>
        </w:tc>
        <w:tc>
          <w:tcPr>
            <w:tcW w:type="dxa" w:w="368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Strongest competitors</w:t>
            </w:r>
          </w:p>
        </w:tc>
        <w:tc>
          <w:tcPr>
            <w:tcW w:type="dxa" w:w="349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Our position</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Heat networks and city-scale heat</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Vital Energi, E.ON, Veolia, Hemiko</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Competitive via Bristol; not a heat-first business — sell the estate, not the pipe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Multi-site public estate delivery</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EQUANS, Dalkia, Mitie, Vital</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Strong; differentiate on funding structure not delivery capacity</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Behind-the-meter generation at 1MW+</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Centrica, SSE, Vital, Mitie</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Strong; differentiate on multi-technology and guarantee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Grid-scale EPC</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Statera, Anesco, Belectric, Ethical Power, Wärtsilä</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Top-tier credentials (Cellarhead, Sonnedix); commoditising fast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Funded structures (EaaS / ESC / EPC+)</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E.ON, Centrica, SSE, Zenobe, Hemiko</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Strong; no longer unique — must be paired with guarantee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Savings guarantee and M&amp;V</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Schneider, Siemens, Johnson Controls</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This is our sharpest edge against everyone in archetypes B, C and 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Grid connections and networks</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ENGIE/UKPN, SSE, E.ON, OCU, Eclipse, GTC, Mitie/Rock</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Gap — buy or partner; do not pretend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Digital / BEMS / optimisation platform</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Schneider, Siemens, Johnson Controls, Octopus</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Gap relative to OEMs — counter with outcome accountability, not features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Social housing retrofit at volume</w:t>
            </w:r>
          </w:p>
        </w:tc>
        <w:tc>
          <w:tcPr>
            <w:tcW w:type="dxa" w:w="368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EQUANS, Sureserve, United Living, Fortem, Mears</w:t>
            </w:r>
          </w:p>
        </w:tc>
        <w:tc>
          <w:tcPr>
            <w:tcW w:type="dxa" w:w="349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Weak and should stay weak — access it inside city programmes only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Long-term asset ownership</w:t>
            </w:r>
          </w:p>
        </w:tc>
        <w:tc>
          <w:tcPr>
            <w:tcW w:type="dxa" w:w="368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E.ON, Vital, Hemiko, Veolia, infra funds</w:t>
            </w:r>
          </w:p>
        </w:tc>
        <w:tc>
          <w:tcPr>
            <w:tcW w:type="dxa" w:w="349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Strong; the US parent balance sheet is a genuine differentiator against UK mid-caps</w:t>
            </w:r>
          </w:p>
        </w:tc>
      </w:tr>
    </w:tbl>
    <w:p>
      <w:pPr>
        <w:spacing w:after="200" w:before="60"/>
      </w:pPr>
      <w:r>
        <w:rPr>
          <w:rFonts w:ascii="Calibri" w:cs="Calibri" w:eastAsia="Calibri" w:hAnsi="Calibri"/>
          <w:i/>
          <w:iCs/>
          <w:color w:val="5A5A5A"/>
          <w:sz w:val="16"/>
          <w:szCs w:val="16"/>
        </w:rPr>
        <w:t xml:space="preserve">Table 5.3 — Capability-by-capability competitive position.</w:t>
      </w:r>
    </w:p>
    <w:p>
      <w:pPr>
        <w:pStyle w:val="Heading1"/>
        <w:pBdr>
          <w:bottom w:val="single" w:color="4C9A2A" w:sz="12" w:space="6"/>
        </w:pBdr>
        <w:spacing w:after="200" w:before="480"/>
      </w:pPr>
      <w:r>
        <w:rPr>
          <w:rFonts w:ascii="Calibri" w:cs="Calibri" w:eastAsia="Calibri" w:hAnsi="Calibri"/>
          <w:b/>
          <w:bCs/>
          <w:color w:val="10362B"/>
          <w:sz w:val="34"/>
          <w:szCs w:val="34"/>
        </w:rPr>
        <w:t xml:space="preserve">6. The top ten competitors in detail</w:t>
      </w:r>
    </w:p>
    <w:p>
      <w:pPr>
        <w:spacing w:after="140" w:line="276"/>
        <w:jc w:val="left"/>
      </w:pPr>
      <w:r>
        <w:rPr>
          <w:rFonts w:ascii="Calibri" w:cs="Calibri" w:eastAsia="Calibri" w:hAnsi="Calibri"/>
          <w:i w:val="false"/>
          <w:iCs w:val="false"/>
          <w:color w:val="222222"/>
          <w:sz w:val="20"/>
          <w:szCs w:val="20"/>
        </w:rPr>
        <w:t xml:space="preserve">These ten organisations account for the large majority of competitive losses and near-losses across our target segments. Each battlecard follows the same structure so it can be used cold, in a bid room, without reading the rest of the document.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
        <w:gridCol w:w="2910"/>
        <w:gridCol w:w="1940"/>
        <w:gridCol w:w="2619"/>
        <w:gridCol w:w="1746"/>
      </w:tblGrid>
      <w:tr>
        <w:trPr>
          <w:tblHeader/>
        </w:trPr>
        <w:tc>
          <w:tcPr>
            <w:tcW w:type="dxa" w:w="485"/>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t>
            </w:r>
          </w:p>
        </w:tc>
        <w:tc>
          <w:tcPr>
            <w:tcW w:type="dxa" w:w="291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Competitor</w:t>
            </w:r>
          </w:p>
        </w:tc>
        <w:tc>
          <w:tcPr>
            <w:tcW w:type="dxa" w:w="194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Archetype</w:t>
            </w:r>
          </w:p>
        </w:tc>
        <w:tc>
          <w:tcPr>
            <w:tcW w:type="dxa" w:w="2619"/>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Primary segments</w:t>
            </w:r>
          </w:p>
        </w:tc>
        <w:tc>
          <w:tcPr>
            <w:tcW w:type="dxa" w:w="174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r>
      <w:tr>
        <w:tc>
          <w:tcPr>
            <w:tcW w:type="dxa" w:w="48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Vital Energi</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integrator</w:t>
            </w:r>
          </w:p>
        </w:tc>
        <w:tc>
          <w:tcPr>
            <w:tcW w:type="dxa" w:w="2619"/>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Cities, I&amp;C</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48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2</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E.ON UK — Energy Infrastructure Solutions</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integrator / utility</w:t>
            </w:r>
          </w:p>
        </w:tc>
        <w:tc>
          <w:tcPr>
            <w:tcW w:type="dxa" w:w="2619"/>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 I&amp;C</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48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3</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EQUANS UK &amp; Ireland</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and FM-led</w:t>
            </w:r>
          </w:p>
        </w:tc>
        <w:tc>
          <w:tcPr>
            <w:tcW w:type="dxa" w:w="2619"/>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Housing, I&amp;C</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48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4</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Centrica Business Solutions</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and supply-led</w:t>
            </w:r>
          </w:p>
        </w:tc>
        <w:tc>
          <w:tcPr>
            <w:tcW w:type="dxa" w:w="2619"/>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Public sector, Data centres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48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5</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Veolia UK &amp; Ireland</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Services-led with heat assets</w:t>
            </w:r>
          </w:p>
        </w:tc>
        <w:tc>
          <w:tcPr>
            <w:tcW w:type="dxa" w:w="2619"/>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 I&amp;C</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48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6</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Dalkia UK (EDF Group)</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and FM-led</w:t>
            </w:r>
          </w:p>
        </w:tc>
        <w:tc>
          <w:tcPr>
            <w:tcW w:type="dxa" w:w="2619"/>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48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7</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SSE Energy Solutions</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and network-led</w:t>
            </w:r>
          </w:p>
        </w:tc>
        <w:tc>
          <w:tcPr>
            <w:tcW w:type="dxa" w:w="2619"/>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Cities, Grid-scale</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48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8</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Schneider Electric UK &amp; Ireland</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OEM-led</w:t>
            </w:r>
          </w:p>
        </w:tc>
        <w:tc>
          <w:tcPr>
            <w:tcW w:type="dxa" w:w="2619"/>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 Data centres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48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9</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Siemens (Smart Infrastructure / SFS)</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OEM-led</w:t>
            </w:r>
          </w:p>
        </w:tc>
        <w:tc>
          <w:tcPr>
            <w:tcW w:type="dxa" w:w="2619"/>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48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10</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Mitie (Energy, Power &amp; Grid)</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and FM-led</w:t>
            </w:r>
          </w:p>
        </w:tc>
        <w:tc>
          <w:tcPr>
            <w:tcW w:type="dxa" w:w="2619"/>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bl>
    <w:p>
      <w:pPr>
        <w:spacing w:after="200" w:before="60"/>
      </w:pPr>
      <w:r>
        <w:rPr>
          <w:rFonts w:ascii="Calibri" w:cs="Calibri" w:eastAsia="Calibri" w:hAnsi="Calibri"/>
          <w:i/>
          <w:iCs/>
          <w:color w:val="5A5A5A"/>
          <w:sz w:val="16"/>
          <w:szCs w:val="16"/>
        </w:rPr>
        <w:t xml:space="preserve">Table 6.1 — The top ten, ranked by directness of overlap with the full Ameresco proposition.</w:t>
      </w:r>
    </w:p>
    <w:p>
      <w:r>
        <w:br w:type="page"/>
      </w:r>
    </w:p>
    <w:p>
      <w:pPr>
        <w:pStyle w:val="Heading2"/>
        <w:spacing w:after="140" w:before="340"/>
      </w:pPr>
      <w:r>
        <w:rPr>
          <w:rFonts w:ascii="Calibri" w:cs="Calibri" w:eastAsia="Calibri" w:hAnsi="Calibri"/>
          <w:b/>
          <w:bCs/>
          <w:color w:val="1C6B4C"/>
          <w:sz w:val="26"/>
          <w:szCs w:val="26"/>
        </w:rPr>
        <w:t xml:space="preserve">6.1 Vital Energi</w:t>
      </w:r>
    </w:p>
    <w:p>
      <w:pPr>
        <w:spacing w:after="140" w:line="276"/>
        <w:jc w:val="left"/>
      </w:pPr>
      <w:r>
        <w:rPr>
          <w:rFonts w:ascii="Calibri" w:cs="Calibri" w:eastAsia="Calibri" w:hAnsi="Calibri"/>
          <w:i/>
          <w:iCs/>
          <w:color w:val="5A5A5A"/>
          <w:sz w:val="20"/>
          <w:szCs w:val="20"/>
        </w:rPr>
        <w:t xml:space="preserve">The most direct UK competitor, and the one closing the gap fastest.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Private, UK-owned (Blackburn, Lancashire). Corran Capital among investors. Vital Energi Midco issued a £175m senior secured bond 2025/2030, listed on Nordic ABM in September 2025.</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Turnover £274.6m for the year to 30 June 2025, up 10.6% from £248.3m. Reported market pipeline of approximately £2.5bn.</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Develops, delivers, owns and operates energy assets and heat networks. Has moved decisively from EPC contractor to asset owner-operator.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networks and energy centres, CHP, heat pumps (including large-scale water and air source), solar PV, BESS, energy efficiency, private wire.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(NHS, universities), Cities and regional heat networks, I&amp;C, residential developments.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26/30 — the highest of any UK-owned competitor.</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Vital is a genuine multi-technology delivery business with deep, credible heat network engineering. Their reputation is built on energy centres and district heating for NHS trusts, universities and city schemes — Leeds, Manchester, Cardiff and a long tail of campus and hospital energy centres. They self-perform a large proportion of mechanical and electrical work, which gives them cost control and programme certainty that most of our competitors cannot match.</w:t>
      </w:r>
    </w:p>
    <w:p>
      <w:pPr>
        <w:spacing w:after="140" w:line="276"/>
        <w:jc w:val="left"/>
      </w:pPr>
      <w:r>
        <w:rPr>
          <w:rFonts w:ascii="Calibri" w:cs="Calibri" w:eastAsia="Calibri" w:hAnsi="Calibri"/>
          <w:i w:val="false"/>
          <w:iCs w:val="false"/>
          <w:color w:val="222222"/>
          <w:sz w:val="20"/>
          <w:szCs w:val="20"/>
        </w:rPr>
        <w:t xml:space="preserve">The strategic shift is the important part. Historically Vital built assets for other people to own. With bond financing in place and an investor behind them, they now develop, own and operate — which puts them in the same conversation as us on funded structures, not just on construction price.</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Deep incumbency on public sector frameworks and long relationships with NHS and university estates teams.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Credible, referenceable heat network delivery at a scale very few can match — the strongest single technical proof point in their portfolio.</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UK-owned and UK-managed, which plays well against US and European parents in local authority and NHS procurement where local value and accountability are scored.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Lower cost base and self-delivery, so they price sharper on the construction element than we can.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Increasingly able to fund, which removes the argument that used to be our clearest differentiator.</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Heat network technical depth and reference base.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Construction price on a defined scope.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Framework incumbency and relationship density in the NHS and higher education.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Perceived as a "British company investing in Britain" — a real advantage in social value scoring.</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Balance sheet. A £175m bond is real money, but it is not a US-listed parent with a $5bn project backlog. On programmes above roughly £100m, or where a council needs 20-year covenant strength, we are the safer counterparty.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Technology breadth beyond heat. Vital leads with the energy centre; we lead with the estate. Where the answer is not primarily heat, their proposition thins.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partnership governance. Bristol City Leap is a £1bn+, 20-year, multi-workstream joint venture with a local authority. Vital has large contracts; they do not have an equivalent city partnership.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Grid-scale credentials. Cellarhead (300MW / 624MWh, £196.5m) and Sonnedix (300MWp) put us in a different category on front-of-meter infrastructure.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Savings guarantee and long-horizon M&amp;V discipline. Vital is a builder-owner; we are an outcome business.</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 and regional heat network programmes, positioned as evidence they can run zone-scale schemes.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FY25 growth and the bond, positioned as evidence of financial strength and long-term commitment.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 £2.5bn pipeline figure, used as a proxy for market confidence.</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Further equity investment or a change of control — would materially raise their capacity for concession-scale bids.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award as a heat network Zone Coordinator delivery partner in one of the six first zones.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Movement into savings-guaranteed contracting, which would erase our clearest remaining structural difference.</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When they lead on heat:</w:t>
      </w:r>
      <w:r>
        <w:rPr>
          <w:rFonts w:ascii="Calibri" w:cs="Calibri" w:eastAsia="Calibri" w:hAnsi="Calibri"/>
          <w:i w:val="false"/>
          <w:iCs w:val="false"/>
          <w:color w:val="222222"/>
          <w:sz w:val="20"/>
          <w:szCs w:val="20"/>
        </w:rPr>
        <w:t xml:space="preserve"> "Vital build excellent energy centres. The question for you is not who builds the energy centre — it is who is accountable for the whole estate's cost, carbon and resilience for the next twenty years, and who carries the risk if the savings do not appear. That is a different contract and a different balance sheet."</w:t>
      </w:r>
    </w:p>
    <w:p>
      <w:pPr>
        <w:spacing w:after="140" w:line="276"/>
        <w:jc w:val="left"/>
      </w:pPr>
      <w:r>
        <w:rPr>
          <w:rFonts w:ascii="Calibri" w:cs="Calibri" w:eastAsia="Calibri" w:hAnsi="Calibri"/>
          <w:b/>
          <w:bCs/>
          <w:i w:val="false"/>
          <w:iCs w:val="false"/>
          <w:color w:val="222222"/>
          <w:sz w:val="20"/>
          <w:szCs w:val="20"/>
        </w:rPr>
        <w:t xml:space="preserve">When they lead on being British:</w:t>
      </w:r>
      <w:r>
        <w:rPr>
          <w:rFonts w:ascii="Calibri" w:cs="Calibri" w:eastAsia="Calibri" w:hAnsi="Calibri"/>
          <w:i w:val="false"/>
          <w:iCs w:val="false"/>
          <w:color w:val="222222"/>
          <w:sz w:val="20"/>
          <w:szCs w:val="20"/>
        </w:rPr>
        <w:t xml:space="preserve"> "Local value is delivered by the supply chain and the workforce, not the shareholder register. Bristol City Leap has generated £15m of social value including £10m of energy efficiency for households at risk of fuel poverty. Ask any bidder to show the mechanism, not the flag."</w:t>
      </w:r>
    </w:p>
    <w:p>
      <w:pPr>
        <w:spacing w:after="140" w:line="276"/>
        <w:jc w:val="left"/>
      </w:pPr>
      <w:r>
        <w:rPr>
          <w:rFonts w:ascii="Calibri" w:cs="Calibri" w:eastAsia="Calibri" w:hAnsi="Calibri"/>
          <w:b/>
          <w:bCs/>
          <w:i w:val="false"/>
          <w:iCs w:val="false"/>
          <w:color w:val="222222"/>
          <w:sz w:val="20"/>
          <w:szCs w:val="20"/>
        </w:rPr>
        <w:t xml:space="preserve">When they lead on price:</w:t>
      </w:r>
      <w:r>
        <w:rPr>
          <w:rFonts w:ascii="Calibri" w:cs="Calibri" w:eastAsia="Calibri" w:hAnsi="Calibri"/>
          <w:i w:val="false"/>
          <w:iCs w:val="false"/>
          <w:color w:val="222222"/>
          <w:sz w:val="20"/>
          <w:szCs w:val="20"/>
        </w:rPr>
        <w:t xml:space="preserve"> "Compare like with like. Our price includes a guarantee, the measurement and verification that proves it, and twenty years of operation. Ask what happens in year seven when performance drifts — and who pays."</w:t>
      </w:r>
    </w:p>
    <w:p>
      <w:r>
        <w:br w:type="page"/>
      </w:r>
    </w:p>
    <w:p>
      <w:pPr>
        <w:pStyle w:val="Heading2"/>
        <w:spacing w:after="140" w:before="340"/>
      </w:pPr>
      <w:r>
        <w:rPr>
          <w:rFonts w:ascii="Calibri" w:cs="Calibri" w:eastAsia="Calibri" w:hAnsi="Calibri"/>
          <w:b/>
          <w:bCs/>
          <w:color w:val="1C6B4C"/>
          <w:sz w:val="26"/>
          <w:szCs w:val="26"/>
        </w:rPr>
        <w:t xml:space="preserve">6.2 E.ON UK — Energy Infrastructure Solutions</w:t>
      </w:r>
    </w:p>
    <w:p>
      <w:pPr>
        <w:spacing w:after="140" w:line="276"/>
        <w:jc w:val="left"/>
      </w:pPr>
      <w:r>
        <w:rPr>
          <w:rFonts w:ascii="Calibri" w:cs="Calibri" w:eastAsia="Calibri" w:hAnsi="Calibri"/>
          <w:i/>
          <w:iCs/>
          <w:color w:val="5A5A5A"/>
          <w:sz w:val="20"/>
          <w:szCs w:val="20"/>
        </w:rPr>
        <w:t xml:space="preserve">Structurally the closest thing in the UK to our own business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E.ON SE (Germany), one of Europe's largest energy and networks groups.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Major UK supply and infrastructure presence; the Energy Infrastructure Solutions arm is the relevant competitor, not the retail business.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Develops, funds, builds, owns and operates energy infrastructure — heat networks, energy centres, private networks — under long-term partnerships and concessions.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District heating and ectogrid-type ambient networks, heat pumps, CHP, solar, BESS, EV, efficiency, supply.</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(the strongest), Public sector, I&amp;C, large mixed-use developments.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27/30 — the highest of any competitor.</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E.ON is the one competitor that does the whole thing: it designs, funds, builds, owns, operates and optimises multi-decade energy infrastructure, and it does so under city-partnership structures that look very like ours. Citigen in the City of London is a mature, owned, operating heat network with new twenty-year connection agreements still being signed. The Coventry Strategic Energy Partnership is a fifteen-year city relationship covering heat, fabric efficiency and social value. The Silvertown scheme with Lendlease deploys an ambient "ectogrid" energy-sharing network across a 760,000m² development serving around 6,500 homes and business units.</w:t>
      </w:r>
    </w:p>
    <w:p>
      <w:pPr>
        <w:spacing w:after="140" w:line="276"/>
        <w:jc w:val="left"/>
      </w:pPr>
      <w:r>
        <w:rPr>
          <w:rFonts w:ascii="Calibri" w:cs="Calibri" w:eastAsia="Calibri" w:hAnsi="Calibri"/>
          <w:i w:val="false"/>
          <w:iCs w:val="false"/>
          <w:color w:val="222222"/>
          <w:sz w:val="20"/>
          <w:szCs w:val="20"/>
        </w:rPr>
        <w:t xml:space="preserve">They are also positioning hard on heat network zoning, including in the City of London — meaning they intend to be the default owner-operator when zones are designated.</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Brand trust with councils and cabinet members, and a long track record of not walking away.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Network and asset ownership: they can hold assets on balance sheet indefinitely, at a cost of capital few can match.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 partnership precedent — Coventry is a genuine comparable to a City Leap-style relationship.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Supply adjacency lets them bundle energy price certainty into a decarbonisation proposition.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Genuine innovation credentials (ambient networks, waste heat recovery) that read well to technically literate buyers.</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Cost of capital and willingness to hold long-dated heat assets.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Political and municipal relationships built over fifteen-plus years.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Ability to combine supply, network and infrastructure in one commercial offer.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Scale of European reference base for district heating.</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Independence.</w:t>
      </w:r>
      <w:r>
        <w:rPr>
          <w:rFonts w:ascii="Calibri" w:cs="Calibri" w:eastAsia="Calibri" w:hAnsi="Calibri"/>
          <w:i w:val="false"/>
          <w:iCs w:val="false"/>
          <w:color w:val="222222"/>
          <w:sz w:val="20"/>
          <w:szCs w:val="20"/>
        </w:rPr>
        <w:t xml:space="preserve"> E.ON is a supplier. Every solution they propose sits next to a supply book, and the optimisation they perform is not neutral. We have no supply position to protect, and that is a genuine, checkable difference.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Breadth beyond heat and supply. Their decarbonisation offer is strongest where there is a network to build; ours does not require one.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Agility. Decisions inside a large European utility take time. On complex, fast-moving I&amp;C and data centre opportunities we can move faster and take a commercial view.</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Grid-scale front-of-meter EPC credentials.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Bristol City Leap is larger in scope than Coventry: £1bn+, 20 years, and spanning schools, social housing, heat networks, council buildings, EV and community energy under one programme.</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Citigen and new City of London connection agreements running into the 2040s.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Coventry's fifteen-year Strategic Energy Partnership.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Silvertown / Lendlease ectogrid as the first UK application of ambient energy sharing.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Heat zoning readiness in the City of London.</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Award of Zone Coordinator delivery roles in any of the six first heat network zones.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new city-scale strategic partnership announcement — that is a direct assault on our positioning.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Group capital allocation decisions: E.ON has periodically rotated out of non-core UK activity.</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On independence:</w:t>
      </w:r>
      <w:r>
        <w:rPr>
          <w:rFonts w:ascii="Calibri" w:cs="Calibri" w:eastAsia="Calibri" w:hAnsi="Calibri"/>
          <w:i w:val="false"/>
          <w:iCs w:val="false"/>
          <w:color w:val="222222"/>
          <w:sz w:val="20"/>
          <w:szCs w:val="20"/>
        </w:rPr>
        <w:t xml:space="preserve"> "E.ON is a very capable partner and also an energy supplier. Ask them to confirm, in writing, that no part of their proposal depends on you buying supply from them, and that their optimisation of your assets is neutral as to who sells you power. We can give you that assurance without qualification, because we have nothing to sell you afterwards."</w:t>
      </w:r>
    </w:p>
    <w:p>
      <w:pPr>
        <w:spacing w:after="140" w:line="276"/>
        <w:jc w:val="left"/>
      </w:pPr>
      <w:r>
        <w:rPr>
          <w:rFonts w:ascii="Calibri" w:cs="Calibri" w:eastAsia="Calibri" w:hAnsi="Calibri"/>
          <w:b/>
          <w:bCs/>
          <w:i w:val="false"/>
          <w:iCs w:val="false"/>
          <w:color w:val="222222"/>
          <w:sz w:val="20"/>
          <w:szCs w:val="20"/>
        </w:rPr>
        <w:t xml:space="preserve">On city scale:</w:t>
      </w:r>
      <w:r>
        <w:rPr>
          <w:rFonts w:ascii="Calibri" w:cs="Calibri" w:eastAsia="Calibri" w:hAnsi="Calibri"/>
          <w:i w:val="false"/>
          <w:iCs w:val="false"/>
          <w:color w:val="222222"/>
          <w:sz w:val="20"/>
          <w:szCs w:val="20"/>
        </w:rPr>
        <w:t xml:space="preserve"> "Coventry is a strong programme. Bristol City Leap is a £1bn, twenty-year joint venture covering the whole city system, with a community energy fund and £15m of social value already delivered. Ask both bidders for the scope breadth, not just the headline duration."</w:t>
      </w:r>
    </w:p>
    <w:p>
      <w:pPr>
        <w:spacing w:after="140" w:line="276"/>
        <w:jc w:val="left"/>
      </w:pPr>
      <w:r>
        <w:rPr>
          <w:rFonts w:ascii="Calibri" w:cs="Calibri" w:eastAsia="Calibri" w:hAnsi="Calibri"/>
          <w:b/>
          <w:bCs/>
          <w:i w:val="false"/>
          <w:iCs w:val="false"/>
          <w:color w:val="222222"/>
          <w:sz w:val="20"/>
          <w:szCs w:val="20"/>
        </w:rPr>
        <w:t xml:space="preserve">On speed:</w:t>
      </w:r>
      <w:r>
        <w:rPr>
          <w:rFonts w:ascii="Calibri" w:cs="Calibri" w:eastAsia="Calibri" w:hAnsi="Calibri"/>
          <w:i w:val="false"/>
          <w:iCs w:val="false"/>
          <w:color w:val="222222"/>
          <w:sz w:val="20"/>
          <w:szCs w:val="20"/>
        </w:rPr>
        <w:t xml:space="preserve"> "Ask each bidder what their approval path is for a £30m investment decision and how long it takes. Then ask for an example where they changed a programme mid-flight because the customer's circumstances changed."</w:t>
      </w:r>
    </w:p>
    <w:p>
      <w:r>
        <w:br w:type="page"/>
      </w:r>
    </w:p>
    <w:p>
      <w:pPr>
        <w:pStyle w:val="Heading2"/>
        <w:spacing w:after="140" w:before="340"/>
      </w:pPr>
      <w:r>
        <w:rPr>
          <w:rFonts w:ascii="Calibri" w:cs="Calibri" w:eastAsia="Calibri" w:hAnsi="Calibri"/>
          <w:b/>
          <w:bCs/>
          <w:color w:val="1C6B4C"/>
          <w:sz w:val="26"/>
          <w:szCs w:val="26"/>
        </w:rPr>
        <w:t xml:space="preserve">6.3 EQUANS UK &amp; Ireland</w:t>
      </w:r>
    </w:p>
    <w:p>
      <w:pPr>
        <w:spacing w:after="140" w:line="276"/>
        <w:jc w:val="left"/>
      </w:pPr>
      <w:r>
        <w:rPr>
          <w:rFonts w:ascii="Calibri" w:cs="Calibri" w:eastAsia="Calibri" w:hAnsi="Calibri"/>
          <w:i/>
          <w:iCs/>
          <w:color w:val="5A5A5A"/>
          <w:sz w:val="20"/>
          <w:szCs w:val="20"/>
        </w:rPr>
        <w:t xml:space="preserve">The scale competitor. Beats us on presence and self-delivery; loses to us on what a programme is for.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Bouygues Group (France). EQUANS globally reported €18.7bn revenue in 2025 across 20 countries and c.83,000 employees.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Approximately £2.5bn UK &amp; Ireland revenue, c.12,000–15,000 employees.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Sustainable facilities management, regeneration, energy and digital services. Self-delivering contractor with a very large directly employed workforce.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and fabric, heat pumps, solar, BMS and controls, heat networks, EV, technical FM; energy as one of several service lines.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Social housing (leading position), Local authority estates, I&amp;C, Defence.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24/30 — very high on Deliver and Operate, materially weaker on Finance and Optimise.</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EQUANS is the largest single competitor by UK headcount and revenue in this space, and the most likely to already be on site when we arrive. They combine hard and soft FM, regeneration and construction, energy services and digital under one roof, and they self-deliver at a scale nobody else in this list matches.</w:t>
      </w:r>
    </w:p>
    <w:p>
      <w:pPr>
        <w:spacing w:after="140" w:line="276"/>
        <w:jc w:val="left"/>
      </w:pPr>
      <w:r>
        <w:rPr>
          <w:rFonts w:ascii="Calibri" w:cs="Calibri" w:eastAsia="Calibri" w:hAnsi="Calibri"/>
          <w:i w:val="false"/>
          <w:iCs w:val="false"/>
          <w:color w:val="222222"/>
          <w:sz w:val="20"/>
          <w:szCs w:val="20"/>
        </w:rPr>
        <w:t xml:space="preserve">Their strongest market is social housing and public estate retrofit. They have run very large volumes of SHDF / Warm Homes: Social Housing Fund work with dozens of landlord partners, and they were named Retrofit Coordination Company of the Year at the 2026 Retrofit Academy Awards. They hold places on the major public frameworks, including all four work lots of the £480m PfH repairs and disrepair framework.</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Incumbency. They are frequently already the FM or repairs provider, so they see the opportunity first and can bid it as an extension.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Sheer capacity — they can mobilise hundreds of operatives against a programme quickly.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Framework coverage across housing, public sector and defence.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Grant bid capability built up through PSDS and SHDF, with in-house funding application teams.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Price: a services cost base with no requirement to earn an asset return.</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Volume delivery of fabric and retrofit measures.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Access through incumbency and framework position.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Social value and local employment scale.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Price on defined works packages.</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They are a facilities manager with an energy division; we are an energy infrastructure business.</w:t>
      </w:r>
      <w:r>
        <w:rPr>
          <w:rFonts w:ascii="Calibri" w:cs="Calibri" w:eastAsia="Calibri" w:hAnsi="Calibri"/>
          <w:i w:val="false"/>
          <w:iCs w:val="false"/>
          <w:color w:val="222222"/>
          <w:sz w:val="20"/>
          <w:szCs w:val="20"/>
        </w:rPr>
        <w:t xml:space="preserve"> That is not a slogan — it shows up in who owns the risk. Their commercial model is built on labour and works margin, not on standing behind twenty years of energy performance.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Funded structures. EQUANS can arrange finance; they do not routinely put their own long-term capital into customer energy assets and hold them.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Savings guarantee and long-horizon M&amp;V. This is where the gap is widest.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Multi-technology generation and grid-scale infrastructure engineering.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partnership governance and concession structures.</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Large multi-landlord SHDF / Warm Homes programmes and retrofit awards.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Framework positions across PfH, LHC and public sector routes.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Bouygues group scale and balance sheet.</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move to establish a dedicated funded-asset vehicle in the UK — that would close their weakest gap.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Bouygues portfolio decisions on EQUANS; the business has changed hands once already.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Their position on the NHS £1bn framework principal partner lot.</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The core line:</w:t>
      </w:r>
      <w:r>
        <w:rPr>
          <w:rFonts w:ascii="Calibri" w:cs="Calibri" w:eastAsia="Calibri" w:hAnsi="Calibri"/>
          <w:i w:val="false"/>
          <w:iCs w:val="false"/>
          <w:color w:val="222222"/>
          <w:sz w:val="20"/>
          <w:szCs w:val="20"/>
        </w:rPr>
        <w:t xml:space="preserve"> "EQUANS is a very good facilities management and regeneration business with an energy team. We are an energy infrastructure business. If what you need is volume delivery of measures, they are strong. If what you need is somebody to fund the programme, guarantee the savings, prove them for twenty years and carry the risk if they do not appear, ask which of those things sits on their balance sheet."</w:t>
      </w:r>
    </w:p>
    <w:p>
      <w:pPr>
        <w:spacing w:after="140" w:line="276"/>
        <w:jc w:val="left"/>
      </w:pPr>
      <w:r>
        <w:rPr>
          <w:rFonts w:ascii="Calibri" w:cs="Calibri" w:eastAsia="Calibri" w:hAnsi="Calibri"/>
          <w:b/>
          <w:bCs/>
          <w:i w:val="false"/>
          <w:iCs w:val="false"/>
          <w:color w:val="222222"/>
          <w:sz w:val="20"/>
          <w:szCs w:val="20"/>
        </w:rPr>
        <w:t xml:space="preserve">On grant capability:</w:t>
      </w:r>
      <w:r>
        <w:rPr>
          <w:rFonts w:ascii="Calibri" w:cs="Calibri" w:eastAsia="Calibri" w:hAnsi="Calibri"/>
          <w:i w:val="false"/>
          <w:iCs w:val="false"/>
          <w:color w:val="222222"/>
          <w:sz w:val="20"/>
          <w:szCs w:val="20"/>
        </w:rPr>
        <w:t xml:space="preserve"> "Grant-writing was the right capability for the last five years. PSDS is closed to new investment. Ask each bidder what their model looks like when there is no grant — because from 2028 that is the only model there is."</w:t>
      </w:r>
    </w:p>
    <w:p>
      <w:r>
        <w:br w:type="page"/>
      </w:r>
    </w:p>
    <w:p>
      <w:pPr>
        <w:pStyle w:val="Heading2"/>
        <w:spacing w:after="140" w:before="340"/>
      </w:pPr>
      <w:r>
        <w:rPr>
          <w:rFonts w:ascii="Calibri" w:cs="Calibri" w:eastAsia="Calibri" w:hAnsi="Calibri"/>
          <w:b/>
          <w:bCs/>
          <w:color w:val="1C6B4C"/>
          <w:sz w:val="26"/>
          <w:szCs w:val="26"/>
        </w:rPr>
        <w:t xml:space="preserve">6.4 Centrica Business Solutions</w:t>
      </w:r>
    </w:p>
    <w:p>
      <w:pPr>
        <w:spacing w:after="140" w:line="276"/>
        <w:jc w:val="left"/>
      </w:pPr>
      <w:r>
        <w:rPr>
          <w:rFonts w:ascii="Calibri" w:cs="Calibri" w:eastAsia="Calibri" w:hAnsi="Calibri"/>
          <w:i/>
          <w:iCs/>
          <w:color w:val="5A5A5A"/>
          <w:sz w:val="20"/>
          <w:szCs w:val="20"/>
        </w:rPr>
        <w:t xml:space="preserve">Strong brand, real funding, genuine 1MW+ capability — anchored to a supply book.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Centrica plc (LSE: CNA).</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Partners with 1,800+ organisations in the UK and Ireland; 7,000+ globally. From 2025 Centrica consolidated business supply and services across British Gas Energy, Bord Gáis and Centrica Business Solutions into a single Business division.</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Behind-the-meter energy solutions at 1MW and above, with in-house financing options, plus supply, optimisation and flexibility routes to market.</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Large-scale solar PV, hydrogen-ready CHP, heat pumps, BESS, energy centres, controls, demand response and flexibility.</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(primary), Public sector, Data centres (PPA and private wire).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23/30.</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Centrica Business Solutions is a real competitor for large behind-the-meter projects, particularly where an energy centre or a CHP transition is involved. They design, build, operate and maintain assets, they offer flexible financing including in-house options, and they can wrap an energy supply and flexibility proposition around the physical asset. The 2025 reorganisation, which pulled all business supply and services into one division, signals an intent to sell the whole relationship rather than individual projects.</w:t>
      </w:r>
    </w:p>
    <w:p>
      <w:pPr>
        <w:spacing w:after="140" w:line="276"/>
        <w:jc w:val="left"/>
      </w:pPr>
      <w:r>
        <w:rPr>
          <w:rFonts w:ascii="Calibri" w:cs="Calibri" w:eastAsia="Calibri" w:hAnsi="Calibri"/>
          <w:i w:val="false"/>
          <w:iCs w:val="false"/>
          <w:color w:val="222222"/>
          <w:sz w:val="20"/>
          <w:szCs w:val="20"/>
        </w:rPr>
        <w:t xml:space="preserve">Their public sector credibility is real — the Solihull Hospital energy centre is a recent, referenceable NHS delivery.</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Brand recognition and an existing supply relationship with a very large number of UK businesses, which gives them warm access we have to earn.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Ability to package energy price certainty with decarbonisation — attractive to CFOs whose real pain is cost volatility.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Flexibility and optimisation route to market: they can monetise assets in balancing and capacity markets, improving the customer's business case.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In-house financing without an external funder in the chain.</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Warm access to I&amp;C buyers through the existing supply book.</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Ability to bundle commodity risk management with asset delivery.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Flexibility revenue stacking that can make a marginal business case work.</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Independence.</w:t>
      </w:r>
      <w:r>
        <w:rPr>
          <w:rFonts w:ascii="Calibri" w:cs="Calibri" w:eastAsia="Calibri" w:hAnsi="Calibri"/>
          <w:i w:val="false"/>
          <w:iCs w:val="false"/>
          <w:color w:val="222222"/>
          <w:sz w:val="20"/>
          <w:szCs w:val="20"/>
        </w:rPr>
        <w:t xml:space="preserve"> Their decarbonisation offer is built around supply. We are not tied to a supply contract, and we do not need the customer to keep buying energy from us for our model to work.</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Full decarbonisation breadth. Their sweet spot is generation assets at 1MW+; ours includes the whole estate — fabric, plant, heat, resilience, EV and grid.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Long-term programme accountability across a multi-site estate over 10–25 years, rather than project-by-project delivery.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Complex public sector and city-scale programme structures.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Speed and entrepreneurialism relative to a large listed utility.</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Solihull Hospital energy centre and other NHS deliveries.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Large industrial CHP and solar installations.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Their flexibility and optimisation platform and the revenue it can add.</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Further consolidation of the Business division and any change to the funded-asset appetite disclosed at results.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Movement into heat networks or city partnerships, which would widen the overlap significantly.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Data centre PPA and private wire deals — they are actively pursuing this segment.</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On independence:</w:t>
      </w:r>
      <w:r>
        <w:rPr>
          <w:rFonts w:ascii="Calibri" w:cs="Calibri" w:eastAsia="Calibri" w:hAnsi="Calibri"/>
          <w:i w:val="false"/>
          <w:iCs w:val="false"/>
          <w:color w:val="222222"/>
          <w:sz w:val="20"/>
          <w:szCs w:val="20"/>
        </w:rPr>
        <w:t xml:space="preserve"> "Centrica are good at what they do. Ask them one question: if you never bought another unit of energy from Centrica, would this proposal still work, and would the price be the same? Then ask us the same question."</w:t>
      </w:r>
    </w:p>
    <w:p>
      <w:pPr>
        <w:spacing w:after="140" w:line="276"/>
        <w:jc w:val="left"/>
      </w:pPr>
      <w:r>
        <w:rPr>
          <w:rFonts w:ascii="Calibri" w:cs="Calibri" w:eastAsia="Calibri" w:hAnsi="Calibri"/>
          <w:b/>
          <w:bCs/>
          <w:i w:val="false"/>
          <w:iCs w:val="false"/>
          <w:color w:val="222222"/>
          <w:sz w:val="20"/>
          <w:szCs w:val="20"/>
        </w:rPr>
        <w:t xml:space="preserve">On breadth:</w:t>
      </w:r>
      <w:r>
        <w:rPr>
          <w:rFonts w:ascii="Calibri" w:cs="Calibri" w:eastAsia="Calibri" w:hAnsi="Calibri"/>
          <w:i w:val="false"/>
          <w:iCs w:val="false"/>
          <w:color w:val="222222"/>
          <w:sz w:val="20"/>
          <w:szCs w:val="20"/>
        </w:rPr>
        <w:t xml:space="preserve"> "Their strength is generation at a megawatt and above. Your problem is not one megawatt — it is fourteen sites, ageing plant, a grid constraint and a compliance deadline. Ask both bidders to price the whole problem, not the good bit of it."</w:t>
      </w:r>
    </w:p>
    <w:p>
      <w:r>
        <w:br w:type="page"/>
      </w:r>
    </w:p>
    <w:p>
      <w:pPr>
        <w:pStyle w:val="Heading2"/>
        <w:spacing w:after="140" w:before="340"/>
      </w:pPr>
      <w:r>
        <w:rPr>
          <w:rFonts w:ascii="Calibri" w:cs="Calibri" w:eastAsia="Calibri" w:hAnsi="Calibri"/>
          <w:b/>
          <w:bCs/>
          <w:color w:val="1C6B4C"/>
          <w:sz w:val="26"/>
          <w:szCs w:val="26"/>
        </w:rPr>
        <w:t xml:space="preserve">6.5 Veolia UK &amp; Ireland</w:t>
      </w:r>
    </w:p>
    <w:p>
      <w:pPr>
        <w:spacing w:after="140" w:line="276"/>
        <w:jc w:val="left"/>
      </w:pPr>
      <w:r>
        <w:rPr>
          <w:rFonts w:ascii="Calibri" w:cs="Calibri" w:eastAsia="Calibri" w:hAnsi="Calibri"/>
          <w:i/>
          <w:iCs/>
          <w:color w:val="5A5A5A"/>
          <w:sz w:val="20"/>
          <w:szCs w:val="20"/>
        </w:rPr>
        <w:t xml:space="preserve">A waste and water company with a very serious heat network ambition.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Veolia (France), global environmental services group.</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One of the largest environmental services businesses in the UK; energy is a growing division rather than the core.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Owns and operates energy-from-waste plant and district heating; launched the "Ecothermal Grid" heat network offer in the UK in November 2025 with a stated £1bn project pipeline to 2030 and £210m of 2025 UK project wins.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Energy-from-waste heat recovery, district heating, heat pumps, CHP, geothermal (MoU with Star Energy), efficiency, technical services.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and municipal heat, Public sector, I&amp;C process energy.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24/30.</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Veolia's competitive advantage in heat is that it already owns the heat source. Energy-from-waste facilities give it a low-cost, dispatchable heat supply that a competitor has to build. Southwark 2.0 supplies more than 2,500 homes with around 8,000 tonnes of CO₂ saved annually, and phase two — starting March 2026 — extends supply towards around 7,000 homes using recovered EfW heat.</w:t>
      </w:r>
    </w:p>
    <w:p>
      <w:pPr>
        <w:spacing w:after="140" w:line="276"/>
        <w:jc w:val="left"/>
      </w:pPr>
      <w:r>
        <w:rPr>
          <w:rFonts w:ascii="Calibri" w:cs="Calibri" w:eastAsia="Calibri" w:hAnsi="Calibri"/>
          <w:i w:val="false"/>
          <w:iCs w:val="false"/>
          <w:color w:val="222222"/>
          <w:sz w:val="20"/>
          <w:szCs w:val="20"/>
        </w:rPr>
        <w:t xml:space="preserve">The Ecothermal Grid launch is a serious statement of intent: a £1bn pipeline to 2030 across Wiltshire, London, Bristol, Yorkshire and Cambridgeshire, positioning Veolia as a zone-scale heat network owner-operator just as zoning regulations arrive.</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Owned heat sources from energy-from-waste — a structural cost advantage in district heating that we cannot replicate.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Deep, long-standing municipal relationships through waste and water contracts, often decades old.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Scale and covenant strength.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Ability to present heat as an extension of an existing council relationship rather than a new procurement.</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Heat source economics wherever an EfW plant is within reach.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Municipal incumbency and political familiarity.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Scale of civil and infrastructure delivery.</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Technology agnosticism.</w:t>
      </w:r>
      <w:r>
        <w:rPr>
          <w:rFonts w:ascii="Calibri" w:cs="Calibri" w:eastAsia="Calibri" w:hAnsi="Calibri"/>
          <w:i w:val="false"/>
          <w:iCs w:val="false"/>
          <w:color w:val="222222"/>
          <w:sz w:val="20"/>
          <w:szCs w:val="20"/>
        </w:rPr>
        <w:t xml:space="preserve"> Veolia's heat proposition is strongest where their waste infrastructure is; ours is strongest wherever the customer is. Where there is no EfW plant, their advantage evaporates and their offer becomes conventional.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Estate-wide breadth. Veolia sells heat and technical services. We sell the whole estate — solar, BESS, EV, efficiency, resilience and heat as one programme.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Funded structures with savings guarantees and M&amp;V.</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Grid-scale front-of-meter capability, which they do not have.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 partnership governance covering more than the utility layer.</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Southwark 2.0 phases one and two.</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 Ecothermal Grid launch and £1bn pipeline.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 Star Energy geothermal memorandum of understanding for district heating, hospitals, campuses and industrial process heat.</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Zone Coordinator delivery awards in cities with Veolia EfW assets — a very strong position for them.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Progress of the Star Energy geothermal partnership from MoU to delivery.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move to acquire an ESCO or energy services platform to broaden beyond heat.</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Where they have an EfW source:</w:t>
      </w:r>
      <w:r>
        <w:rPr>
          <w:rFonts w:ascii="Calibri" w:cs="Calibri" w:eastAsia="Calibri" w:hAnsi="Calibri"/>
          <w:i w:val="false"/>
          <w:iCs w:val="false"/>
          <w:color w:val="222222"/>
          <w:sz w:val="20"/>
          <w:szCs w:val="20"/>
        </w:rPr>
        <w:t xml:space="preserve"> "Their heat is genuinely cheap and you should take that seriously. Ask them what happens to the other 70% of your carbon and cost — the buildings, the plant, the power, the fleet. Heat is one workstream in a programme, not the programme."</w:t>
      </w:r>
    </w:p>
    <w:p>
      <w:pPr>
        <w:spacing w:after="140" w:line="276"/>
        <w:jc w:val="left"/>
      </w:pPr>
      <w:r>
        <w:rPr>
          <w:rFonts w:ascii="Calibri" w:cs="Calibri" w:eastAsia="Calibri" w:hAnsi="Calibri"/>
          <w:b/>
          <w:bCs/>
          <w:i w:val="false"/>
          <w:iCs w:val="false"/>
          <w:color w:val="222222"/>
          <w:sz w:val="20"/>
          <w:szCs w:val="20"/>
        </w:rPr>
        <w:t xml:space="preserve">Where they do not:</w:t>
      </w:r>
      <w:r>
        <w:rPr>
          <w:rFonts w:ascii="Calibri" w:cs="Calibri" w:eastAsia="Calibri" w:hAnsi="Calibri"/>
          <w:i w:val="false"/>
          <w:iCs w:val="false"/>
          <w:color w:val="222222"/>
          <w:sz w:val="20"/>
          <w:szCs w:val="20"/>
        </w:rPr>
        <w:t xml:space="preserve"> "Ask where the heat comes from and what it costs. Without a waste plant nearby, this is a conventional heat network priced by a company whose core business is waste."</w:t>
      </w:r>
    </w:p>
    <w:p>
      <w:r>
        <w:br w:type="page"/>
      </w:r>
    </w:p>
    <w:p>
      <w:pPr>
        <w:pStyle w:val="Heading2"/>
        <w:spacing w:after="140" w:before="340"/>
      </w:pPr>
      <w:r>
        <w:rPr>
          <w:rFonts w:ascii="Calibri" w:cs="Calibri" w:eastAsia="Calibri" w:hAnsi="Calibri"/>
          <w:b/>
          <w:bCs/>
          <w:color w:val="1C6B4C"/>
          <w:sz w:val="26"/>
          <w:szCs w:val="26"/>
        </w:rPr>
        <w:t xml:space="preserve">6.6 Dalkia UK (EDF Group)</w:t>
      </w:r>
    </w:p>
    <w:p>
      <w:pPr>
        <w:spacing w:after="140" w:line="276"/>
        <w:jc w:val="left"/>
      </w:pPr>
      <w:r>
        <w:rPr>
          <w:rFonts w:ascii="Calibri" w:cs="Calibri" w:eastAsia="Calibri" w:hAnsi="Calibri"/>
          <w:i/>
          <w:iCs/>
          <w:color w:val="5A5A5A"/>
          <w:sz w:val="20"/>
          <w:szCs w:val="20"/>
        </w:rPr>
        <w:t xml:space="preserve">Riding the tail of the grant era harder than anyone. Watch what happens when it ends.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Dalkia, a subsidiary of EDF Group (France).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Turnover £657m in 2025, up 8%; pre-tax profit £8.2m (from £0.3m). The engineering division grew turnover 30% to £228m on public sector energy retrofit work.</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Technical and energy services: M&amp;E, technical FM, energy performance, retrofit delivery, with EDF group synergies including nuclear and supply.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pumps, BMS and controls, LED and fabric measures, CHP, energy centres, technical services.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(dominant), I&amp;C, defence and nuclear-adjacent.</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23/30.</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Dalkia UK is a technical services and engineering business that has grown sharply on the back of government-backed public sector decarbonisation schemes. The 30% growth in engineering turnover to £228m is almost entirely a PSDS-era phenomenon: grant-funded retrofit at volume, delivered competently and priced keenly, with EDF group backing behind it.</w:t>
      </w:r>
    </w:p>
    <w:p>
      <w:pPr>
        <w:spacing w:after="140" w:line="276"/>
        <w:jc w:val="left"/>
      </w:pPr>
      <w:r>
        <w:rPr>
          <w:rFonts w:ascii="Calibri" w:cs="Calibri" w:eastAsia="Calibri" w:hAnsi="Calibri"/>
          <w:i w:val="false"/>
          <w:iCs w:val="false"/>
          <w:color w:val="222222"/>
          <w:sz w:val="20"/>
          <w:szCs w:val="20"/>
        </w:rPr>
        <w:t xml:space="preserve">They are a serious M&amp;E delivery organisation with strong nuclear and industrial credentials, and increasing energy services ambition. They are not primarily a funder of customer assets.</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EDF parentage: covenant strength, supply adjacency and credibility in regulated and safety-critical environments.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Public sector retrofit delivery machine built during PSDS, with the estimating and mobilisation capability that goes with it.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Competitive pricing on grant-funded scopes where the customer needs delivery, not finance.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Technical services incumbency that generates project pipeline from existing contracts.</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Price and speed on grant-funded, defined-scope retrofit.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Depth of M&amp;E and technical services self-delivery.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EDF group relationships in central government and regulated industry.</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Their growth is grant-shaped and the grant has stopped.</w:t>
      </w:r>
      <w:r>
        <w:rPr>
          <w:rFonts w:ascii="Calibri" w:cs="Calibri" w:eastAsia="Calibri" w:hAnsi="Calibri"/>
          <w:i w:val="false"/>
          <w:iCs w:val="false"/>
          <w:color w:val="222222"/>
          <w:sz w:val="20"/>
          <w:szCs w:val="20"/>
        </w:rPr>
        <w:t xml:space="preserve"> PSDS is closed to new investment. Their 2025–26 numbers reflect awarded work; their 2028 numbers will reflect whether they built a funded model. Today they largely have not.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Funded structures — EaaS, energy supply contracts, EPC+ — backed by a parent balance sheet committed to holding energy assets.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Savings guarantees and 10–25 year M&amp;V accountability.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Multi-technology generation and grid-scale infrastructure.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programme structures.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Independence from a supply and generation parent.</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Volume of PSDS-funded public sector retrofit delivered.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2025 financial turnaround and EDF backing.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Nuclear and high-compliance environment credentials.</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Launch of a funded or performance-guaranteed offer in the UK — the obvious strategic response to PSDS ending.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EDF group strategy on UK services following the wider EDF restructuring.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Their positioning on the NHS £1bn framework.</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The timing line:</w:t>
      </w:r>
      <w:r>
        <w:rPr>
          <w:rFonts w:ascii="Calibri" w:cs="Calibri" w:eastAsia="Calibri" w:hAnsi="Calibri"/>
          <w:i w:val="false"/>
          <w:iCs w:val="false"/>
          <w:color w:val="222222"/>
          <w:sz w:val="20"/>
          <w:szCs w:val="20"/>
        </w:rPr>
        <w:t xml:space="preserve"> "Dalkia have delivered a lot of grant-funded work very well. Ask them what their proposition is for the projects that have no grant — because that is every project you procure after this one. Then ask whether their price includes a guarantee, or just a scope."</w:t>
      </w:r>
    </w:p>
    <w:p>
      <w:pPr>
        <w:spacing w:after="140" w:line="276"/>
        <w:jc w:val="left"/>
      </w:pPr>
      <w:r>
        <w:rPr>
          <w:rFonts w:ascii="Calibri" w:cs="Calibri" w:eastAsia="Calibri" w:hAnsi="Calibri"/>
          <w:b/>
          <w:bCs/>
          <w:i w:val="false"/>
          <w:iCs w:val="false"/>
          <w:color w:val="222222"/>
          <w:sz w:val="20"/>
          <w:szCs w:val="20"/>
        </w:rPr>
        <w:t xml:space="preserve">On EDF:</w:t>
      </w:r>
      <w:r>
        <w:rPr>
          <w:rFonts w:ascii="Calibri" w:cs="Calibri" w:eastAsia="Calibri" w:hAnsi="Calibri"/>
          <w:i w:val="false"/>
          <w:iCs w:val="false"/>
          <w:color w:val="222222"/>
          <w:sz w:val="20"/>
          <w:szCs w:val="20"/>
        </w:rPr>
        <w:t xml:space="preserve"> "EDF is a strong parent and also a generator and supplier. If independence of advice matters to you, ask where the conflict sits."</w:t>
      </w:r>
    </w:p>
    <w:p>
      <w:r>
        <w:br w:type="page"/>
      </w:r>
    </w:p>
    <w:p>
      <w:pPr>
        <w:pStyle w:val="Heading2"/>
        <w:spacing w:after="140" w:before="340"/>
      </w:pPr>
      <w:r>
        <w:rPr>
          <w:rFonts w:ascii="Calibri" w:cs="Calibri" w:eastAsia="Calibri" w:hAnsi="Calibri"/>
          <w:b/>
          <w:bCs/>
          <w:color w:val="1C6B4C"/>
          <w:sz w:val="26"/>
          <w:szCs w:val="26"/>
        </w:rPr>
        <w:t xml:space="preserve">6.7 SSE Energy Solutions</w:t>
      </w:r>
    </w:p>
    <w:p>
      <w:pPr>
        <w:spacing w:after="140" w:line="276"/>
        <w:jc w:val="left"/>
      </w:pPr>
      <w:r>
        <w:rPr>
          <w:rFonts w:ascii="Calibri" w:cs="Calibri" w:eastAsia="Calibri" w:hAnsi="Calibri"/>
          <w:i/>
          <w:iCs/>
          <w:color w:val="5A5A5A"/>
          <w:sz w:val="20"/>
          <w:szCs w:val="20"/>
        </w:rPr>
        <w:t xml:space="preserve">Networks and private wire are the weapon. Estate-wide programmes are not.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SSE plc (LSE: SSE). Group strategy has shifted towards partnering, including the sale of a 25% stake in SSEN Transmission to Ontario Teachers' Pension Plan for £1.465bn.</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 UK utility group; Energy Solutions is the distributed energy and business customer arm.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Distributed energy infrastructure — funded on-site and near-site generation under long-term PPA, private wire, electricity networks and connections, green supply.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Solar PV (funded, PPA-based), BESS, private wire networks, electricity network ownership and connections, EV, green supply.</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Cities and large estates, Grid-scale adjacency, transport and infrastructure.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22/30.</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SSE Energy Solutions' distinctive capability is the combination of funded generation with network ownership. They will develop, build, own, operate and maintain solar on a customer's site or on nearby land at no upfront cost under a fixed-term PPA, and where there is no space on site they will secure off-site land and deliver power by private wire. They also own and operate electricity networks and deliver connections — a capability that is becoming the scarcest thing in the market.</w:t>
      </w:r>
    </w:p>
    <w:p>
      <w:pPr>
        <w:spacing w:after="140" w:line="276"/>
        <w:jc w:val="left"/>
      </w:pPr>
      <w:r>
        <w:rPr>
          <w:rFonts w:ascii="Calibri" w:cs="Calibri" w:eastAsia="Calibri" w:hAnsi="Calibri"/>
          <w:i w:val="false"/>
          <w:iCs w:val="false"/>
          <w:color w:val="222222"/>
          <w:sz w:val="20"/>
          <w:szCs w:val="20"/>
        </w:rPr>
        <w:t xml:space="preserve">The London Underground private wire solar agreement announced in March 2026 — potentially up to 65,000 MWh a year, covering around 4% of annual electricity consumption — is exactly the deal shape they will bring to large estates.</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Network ownership and connection capability at a time when grid capacity is the constraint.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Genuinely funded PPA structures with no upfront customer capital.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Green supply bundling and renewable provenance from SSE's own generation.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Utility covenant strength and long-dated asset appetite.</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 connections and private network delivery — a capability gap on our side.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Off-site land acquisition and private wire structuring at scale.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Renewable supply provenance for customers with Scope 2 reporting pressure.</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They sell power; we sell programmes.</w:t>
      </w:r>
      <w:r>
        <w:rPr>
          <w:rFonts w:ascii="Calibri" w:cs="Calibri" w:eastAsia="Calibri" w:hAnsi="Calibri"/>
          <w:i w:val="false"/>
          <w:iCs w:val="false"/>
          <w:color w:val="222222"/>
          <w:sz w:val="20"/>
          <w:szCs w:val="20"/>
        </w:rPr>
        <w:t xml:space="preserve"> An SSE proposition typically addresses generation and supply. It does not address the boiler house, the fabric, the controls, the resilience strategy or the compliance deadline.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Multi-technology estate programmes with a single accountable partner.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Savings guarantees and long-horizon M&amp;V.</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Public sector estate programme delivery at building level.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Independence from a supply and generation position.</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 London Underground / TfL private wire solar deal.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Funded solar PPAs across corporate estates.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Network and IDNO capability, and SSE group partnering transactions as evidence of capital strength.</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Further SSE group portfolio decisions — the partnering strategy has already reshaped the transmission business and could reach Energy Solutions.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acquisition of building-level energy services capability, which would close their main gap.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Their role in data centre power provision, where network ownership is decisive.</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On breadth:</w:t>
      </w:r>
      <w:r>
        <w:rPr>
          <w:rFonts w:ascii="Calibri" w:cs="Calibri" w:eastAsia="Calibri" w:hAnsi="Calibri"/>
          <w:i w:val="false"/>
          <w:iCs w:val="false"/>
          <w:color w:val="222222"/>
          <w:sz w:val="20"/>
          <w:szCs w:val="20"/>
        </w:rPr>
        <w:t xml:space="preserve"> "SSE will build you excellent solar and, if you need it, a private wire. Ask them what they are proposing to do about heat, about the plant that fails in 2029, and about the compliance deadline. Then ask who is accountable if the savings across all of it do not land."</w:t>
      </w:r>
    </w:p>
    <w:p>
      <w:pPr>
        <w:spacing w:after="140" w:line="276"/>
        <w:jc w:val="left"/>
      </w:pPr>
      <w:r>
        <w:rPr>
          <w:rFonts w:ascii="Calibri" w:cs="Calibri" w:eastAsia="Calibri" w:hAnsi="Calibri"/>
          <w:b/>
          <w:bCs/>
          <w:i w:val="false"/>
          <w:iCs w:val="false"/>
          <w:color w:val="222222"/>
          <w:sz w:val="20"/>
          <w:szCs w:val="20"/>
        </w:rPr>
        <w:t xml:space="preserve">On grid, honestly:</w:t>
      </w:r>
      <w:r>
        <w:rPr>
          <w:rFonts w:ascii="Calibri" w:cs="Calibri" w:eastAsia="Calibri" w:hAnsi="Calibri"/>
          <w:i w:val="false"/>
          <w:iCs w:val="false"/>
          <w:color w:val="222222"/>
          <w:sz w:val="20"/>
          <w:szCs w:val="20"/>
        </w:rPr>
        <w:t xml:space="preserve"> "If your binding constraint is a grid connection, SSE have a genuine advantage and we would rather partner than pretend. If your binding constraint is a whole estate, that is our lane."</w:t>
      </w:r>
    </w:p>
    <w:p>
      <w:r>
        <w:br w:type="page"/>
      </w:r>
    </w:p>
    <w:p>
      <w:pPr>
        <w:pStyle w:val="Heading2"/>
        <w:spacing w:after="140" w:before="340"/>
      </w:pPr>
      <w:r>
        <w:rPr>
          <w:rFonts w:ascii="Calibri" w:cs="Calibri" w:eastAsia="Calibri" w:hAnsi="Calibri"/>
          <w:b/>
          <w:bCs/>
          <w:color w:val="1C6B4C"/>
          <w:sz w:val="26"/>
          <w:szCs w:val="26"/>
        </w:rPr>
        <w:t xml:space="preserve">6.8 Schneider Electric UK &amp; Ireland</w:t>
      </w:r>
    </w:p>
    <w:p>
      <w:pPr>
        <w:spacing w:after="140" w:line="276"/>
        <w:jc w:val="left"/>
      </w:pPr>
      <w:r>
        <w:rPr>
          <w:rFonts w:ascii="Calibri" w:cs="Calibri" w:eastAsia="Calibri" w:hAnsi="Calibri"/>
          <w:i/>
          <w:iCs/>
          <w:color w:val="5A5A5A"/>
          <w:sz w:val="20"/>
          <w:szCs w:val="20"/>
        </w:rPr>
        <w:t xml:space="preserve">The global ESCO brand. In the UK, a technology and advisory business more than a delivery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Schneider Electric SE (France), listed.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 UK presence across products, software, services and data centre infrastructure.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performance contracting and advisory, EcoStruxure platform, microgrids, building and grid technology. Ranked the leading global ESCO by Guidehouse Insights for close to a decade.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BMS and controls, power distribution, microgrid control, metering and analytics, data centre power and cooling; delivery largely through partners.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 Data centres.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22/30 — strongest of the field on Design and Optimise, weakest of the top ten on self-delivery.</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Schneider is the strongest technology and analytics proposition in this document, and it carries the most credible global ESCO brand — which matters in rooms where the buyer has researched the market. Their performance contracting model uses energy savings to fund a wider scope of facility improvement and backlog maintenance, and their public sector messaging in the UK is explicitly about turning maintenance backlog into a funded upgrade programme. They forecast smart technologies delivering around £650m a year of UK public sector energy savings by 2037.</w:t>
      </w:r>
    </w:p>
    <w:p>
      <w:pPr>
        <w:spacing w:after="140" w:line="276"/>
        <w:jc w:val="left"/>
      </w:pPr>
      <w:r>
        <w:rPr>
          <w:rFonts w:ascii="Calibri" w:cs="Calibri" w:eastAsia="Calibri" w:hAnsi="Calibri"/>
          <w:i w:val="false"/>
          <w:iCs w:val="false"/>
          <w:color w:val="222222"/>
          <w:sz w:val="20"/>
          <w:szCs w:val="20"/>
        </w:rPr>
        <w:t xml:space="preserve">The important qualification is that in the UK, Schneider is predominantly a technology, software and advisory business that delivers through a partner ecosystem. They are not a large UK self-delivering construction organisation.</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The global ESCO league table position — genuinely persuasive with buyers who benchmark.</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Best-in-class digital, metering, analytics and control platform, which makes the optimisation story tangible.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Strong consulting and advisory front end that can shape a client's strategy before procurement begins.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Data centre credibility from the power and cooling product estate.</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Digital platform depth and the demonstrability of the optimisation layer.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Advisory access at strategy stage, upstream of procurement.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Global brand recognition in ESCO benchmarking.</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Technology is part of the answer; we are the programme, not the product.</w:t>
      </w:r>
      <w:r>
        <w:rPr>
          <w:rFonts w:ascii="Calibri" w:cs="Calibri" w:eastAsia="Calibri" w:hAnsi="Calibri"/>
          <w:i w:val="false"/>
          <w:iCs w:val="false"/>
          <w:color w:val="222222"/>
          <w:sz w:val="20"/>
          <w:szCs w:val="20"/>
        </w:rPr>
        <w:t xml:space="preserve"> Their commercial model is anchored to their own equipment and software. Ours is anchored to the outcome, and we select technology on merit.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UK self-delivery and construction capability at scale.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Funded structures with our own long-term capital in the asset.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Generation assets — solar, BESS, CHP, heat networks — which are not their business.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and public estate programme delivery.</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Guidehouse ESCO leadership ranking.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EcoStruxure deployments and analytics case studies.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Public sector performance contracting references, largely international.</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Acquisition of a UK delivery contractor — this would change them from an advisory threat to a delivery threat.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Expansion of UK microgrid delivery, particularly around AI Growth Zones and data centres.</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The core line:</w:t>
      </w:r>
      <w:r>
        <w:rPr>
          <w:rFonts w:ascii="Calibri" w:cs="Calibri" w:eastAsia="Calibri" w:hAnsi="Calibri"/>
          <w:i w:val="false"/>
          <w:iCs w:val="false"/>
          <w:color w:val="222222"/>
          <w:sz w:val="20"/>
          <w:szCs w:val="20"/>
        </w:rPr>
        <w:t xml:space="preserve"> "Schneider make outstanding technology and we are happy to install it. The question is who is accountable when the programme underperforms. Ask them whether they will take construction risk on the whole scope, fund it, and guarantee the savings — or whether they will provide the platform and a specification, and leave a contractor to carry the rest."</w:t>
      </w:r>
    </w:p>
    <w:p>
      <w:pPr>
        <w:spacing w:after="140" w:line="276"/>
        <w:jc w:val="left"/>
      </w:pPr>
      <w:r>
        <w:rPr>
          <w:rFonts w:ascii="Calibri" w:cs="Calibri" w:eastAsia="Calibri" w:hAnsi="Calibri"/>
          <w:b/>
          <w:bCs/>
          <w:i w:val="false"/>
          <w:iCs w:val="false"/>
          <w:color w:val="222222"/>
          <w:sz w:val="20"/>
          <w:szCs w:val="20"/>
        </w:rPr>
        <w:t xml:space="preserve">On technology independence:</w:t>
      </w:r>
      <w:r>
        <w:rPr>
          <w:rFonts w:ascii="Calibri" w:cs="Calibri" w:eastAsia="Calibri" w:hAnsi="Calibri"/>
          <w:i w:val="false"/>
          <w:iCs w:val="false"/>
          <w:color w:val="222222"/>
          <w:sz w:val="20"/>
          <w:szCs w:val="20"/>
        </w:rPr>
        <w:t xml:space="preserve"> "We are technology agnostic. Ask any vendor-led bidder to show you the options they evaluated and rejected, and why."</w:t>
      </w:r>
    </w:p>
    <w:p>
      <w:r>
        <w:br w:type="page"/>
      </w:r>
    </w:p>
    <w:p>
      <w:pPr>
        <w:pStyle w:val="Heading2"/>
        <w:spacing w:after="140" w:before="340"/>
      </w:pPr>
      <w:r>
        <w:rPr>
          <w:rFonts w:ascii="Calibri" w:cs="Calibri" w:eastAsia="Calibri" w:hAnsi="Calibri"/>
          <w:b/>
          <w:bCs/>
          <w:color w:val="1C6B4C"/>
          <w:sz w:val="26"/>
          <w:szCs w:val="26"/>
        </w:rPr>
        <w:t xml:space="preserve">6.9 Siemens (Smart Infrastructure and Siemens Financial Services)</w:t>
      </w:r>
    </w:p>
    <w:p>
      <w:pPr>
        <w:spacing w:after="140" w:line="276"/>
        <w:jc w:val="left"/>
      </w:pPr>
      <w:r>
        <w:rPr>
          <w:rFonts w:ascii="Calibri" w:cs="Calibri" w:eastAsia="Calibri" w:hAnsi="Calibri"/>
          <w:i/>
          <w:iCs/>
          <w:color w:val="5A5A5A"/>
          <w:sz w:val="20"/>
          <w:szCs w:val="20"/>
        </w:rPr>
        <w:t xml:space="preserve">Technology plus captive finance. The nearest thing to our structure among the OEMs.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Siemens AG (Germany), listed.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Very large UK presence across mobility, industry, smart infrastructure and financial services.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Building performance contracting supported by Siemens Financial Services, plus building automation, electrification and grid technology.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Technologies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Desigo and building automation, electrical distribution, grid technology, metering and analytics, e-mobility infrastructure.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(NHS and universities especially), I&amp;C, industry.</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22/30.</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Siemens is the OEM competitor most likely to appear with a funded proposition, because Siemens Financial Services can finance a performance contract from within the group. That combination — technology, controls, and captive finance — is genuinely close to our structure in shape, if not in scope.</w:t>
      </w:r>
    </w:p>
    <w:p>
      <w:pPr>
        <w:spacing w:after="140" w:line="276"/>
        <w:jc w:val="left"/>
      </w:pPr>
      <w:r>
        <w:rPr>
          <w:rFonts w:ascii="Calibri" w:cs="Calibri" w:eastAsia="Calibri" w:hAnsi="Calibri"/>
          <w:i w:val="false"/>
          <w:iCs w:val="false"/>
          <w:color w:val="222222"/>
          <w:sz w:val="20"/>
          <w:szCs w:val="20"/>
        </w:rPr>
        <w:t xml:space="preserve">Their strongest position is BMS and controls incumbency in hospitals, universities and large public buildings. Once Desigo is on an estate, they have a standing relationship with the engineering team and a route into every upgrade conversation.</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Controls incumbency across NHS and higher education estates.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Captive finance from Siemens Financial Services, so the funding conversation stays inside the group.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Engineering brand credibility with technical buyers.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Breadth across electrification and grid technology as estates electrify.</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BMS and controls estate incumbency and the access it gives.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Brand trust with engineers and technical directors.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Integrated technology plus finance in a single group offer.</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They are positioned as the technology supplier with a finance wrapper, not as the accountable programme integrator.</w:t>
      </w:r>
      <w:r>
        <w:rPr>
          <w:rFonts w:ascii="Calibri" w:cs="Calibri" w:eastAsia="Calibri" w:hAnsi="Calibri"/>
          <w:i w:val="false"/>
          <w:iCs w:val="false"/>
          <w:color w:val="222222"/>
          <w:sz w:val="20"/>
          <w:szCs w:val="20"/>
        </w:rPr>
        <w:t xml:space="preserve"> The distinction shows up in scope: their contracts rarely span generation, heat, fabric, resilience and grid together.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Multi-technology generation — solar, BESS, CHP, heat networks — is not their business.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Long-term O&amp;M across a whole programme rather than a controls system.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concessions and public estate programmes.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UK construction self-delivery.</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NHS and university building performance contracts.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Siemens Financial Services structures presented as equivalent to an ESCO funding model.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Digital twin and analytics capability.</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expansion of SFS appetite for UK energy asset ownership.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Partnership with a UK delivery contractor to close the construction gap.</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The core line:</w:t>
      </w:r>
      <w:r>
        <w:rPr>
          <w:rFonts w:ascii="Calibri" w:cs="Calibri" w:eastAsia="Calibri" w:hAnsi="Calibri"/>
          <w:i w:val="false"/>
          <w:iCs w:val="false"/>
          <w:color w:val="222222"/>
          <w:sz w:val="20"/>
          <w:szCs w:val="20"/>
        </w:rPr>
        <w:t xml:space="preserve"> "Siemens will finance and deliver an excellent controls and building performance programme. Ask them to include the boiler house replacement, the solar, the battery, the grid connection and twenty years of operation in the same guarantee. That is the programme; controls are one part of it."</w:t>
      </w:r>
    </w:p>
    <w:p>
      <w:r>
        <w:br w:type="page"/>
      </w:r>
    </w:p>
    <w:p>
      <w:pPr>
        <w:pStyle w:val="Heading2"/>
        <w:spacing w:after="140" w:before="340"/>
      </w:pPr>
      <w:r>
        <w:rPr>
          <w:rFonts w:ascii="Calibri" w:cs="Calibri" w:eastAsia="Calibri" w:hAnsi="Calibri"/>
          <w:b/>
          <w:bCs/>
          <w:color w:val="1C6B4C"/>
          <w:sz w:val="26"/>
          <w:szCs w:val="26"/>
        </w:rPr>
        <w:t xml:space="preserve">6.10 Mitie (Energy, Power &amp; Grid)</w:t>
      </w:r>
    </w:p>
    <w:p>
      <w:pPr>
        <w:spacing w:after="140" w:line="276"/>
        <w:jc w:val="left"/>
      </w:pPr>
      <w:r>
        <w:rPr>
          <w:rFonts w:ascii="Calibri" w:cs="Calibri" w:eastAsia="Calibri" w:hAnsi="Calibri"/>
          <w:i/>
          <w:iCs/>
          <w:color w:val="5A5A5A"/>
          <w:sz w:val="20"/>
          <w:szCs w:val="20"/>
        </w:rPr>
        <w:t xml:space="preserve">Buying its way into our market. Watch the trajectory, not the current position.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Mitie Group plc (LSE: MTO).</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One of the UK's largest FM businesses; reported record revenue up 11% at the end of FY26.</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Facilities management with a deliberately assembled decarbonisation and power capability, built by acquisition.</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Acquisitions</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Custom Solar (solar EPC — £15m revenue and £2m PBT in the year to March 2022, acquired for an initial £8.8m plus £4.4m deferred); Rock Power Connections (HV grid connections, electrical infrastructure, EV); G2 Energy; ESM Power; a heat pump team from RMS.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Segments</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 Defence (e.g. a £3.9m solar installation at Bassingbourn Barracks with the DIO).</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Wrap score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22/30 — high on Deliver and Operate, low on Finance.</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What they actually deliver</w:t>
      </w:r>
    </w:p>
    <w:p>
      <w:pPr>
        <w:spacing w:after="140" w:line="276"/>
        <w:jc w:val="left"/>
      </w:pPr>
      <w:r>
        <w:rPr>
          <w:rFonts w:ascii="Calibri" w:cs="Calibri" w:eastAsia="Calibri" w:hAnsi="Calibri"/>
          <w:i w:val="false"/>
          <w:iCs w:val="false"/>
          <w:color w:val="222222"/>
          <w:sz w:val="20"/>
          <w:szCs w:val="20"/>
        </w:rPr>
        <w:t xml:space="preserve">Mitie has assembled, rather than grown, an energy capability: solar EPC, high-voltage grid connections, electrical infrastructure, EV charging and heat pumps, sitting alongside a very large FM business under the "Plan Zero" banner. The strategic logic is sound and the grid connections capability in particular (Rock Power) is genuinely valuable in the current market.</w:t>
      </w:r>
    </w:p>
    <w:p>
      <w:pPr>
        <w:spacing w:after="140" w:line="276"/>
        <w:jc w:val="left"/>
      </w:pPr>
      <w:r>
        <w:rPr>
          <w:rFonts w:ascii="Calibri" w:cs="Calibri" w:eastAsia="Calibri" w:hAnsi="Calibri"/>
          <w:i w:val="false"/>
          <w:iCs w:val="false"/>
          <w:color w:val="222222"/>
          <w:sz w:val="20"/>
          <w:szCs w:val="20"/>
        </w:rPr>
        <w:t xml:space="preserve">What they have not assembled is a funding model. Mitie sells and delivers; it does not routinely own long-term customer energy assets or guarantee savings across a programme.</w:t>
      </w:r>
    </w:p>
    <w:p>
      <w:pPr>
        <w:pStyle w:val="Heading4"/>
        <w:spacing w:after="80" w:before="200"/>
      </w:pPr>
      <w:r>
        <w:rPr>
          <w:rFonts w:ascii="Calibri" w:cs="Calibri" w:eastAsia="Calibri" w:hAnsi="Calibri"/>
          <w:b/>
          <w:bCs/>
          <w:i/>
          <w:iCs/>
          <w:color w:val="5A5A5A"/>
          <w:sz w:val="20"/>
          <w:szCs w:val="20"/>
        </w:rPr>
        <w:t xml:space="preserve">How they win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FM incumbency across an enormous UK estate portfolio — they are already inside the building.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 connections capability, which is scarce and increasingly decisive.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Integrated solar plus electrical infrastructure delivery at competitive prices.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Public sector and defence framework presence.</w:t>
      </w:r>
    </w:p>
    <w:p>
      <w:pPr>
        <w:pStyle w:val="Heading4"/>
        <w:spacing w:after="80" w:before="200"/>
      </w:pPr>
      <w:r>
        <w:rPr>
          <w:rFonts w:ascii="Calibri" w:cs="Calibri" w:eastAsia="Calibri" w:hAnsi="Calibri"/>
          <w:b/>
          <w:bCs/>
          <w:i/>
          <w:iCs/>
          <w:color w:val="5A5A5A"/>
          <w:sz w:val="20"/>
          <w:szCs w:val="20"/>
        </w:rPr>
        <w:t xml:space="preserve">Where they beat us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Access. FM incumbency means they hear about the requirement before it becomes a tender.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Grid connections and HV electrical infrastructure self-delivery.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Price on defined technology scopes.</w:t>
      </w:r>
    </w:p>
    <w:p>
      <w:pPr>
        <w:pStyle w:val="Heading4"/>
        <w:spacing w:after="80" w:before="200"/>
      </w:pPr>
      <w:r>
        <w:rPr>
          <w:rFonts w:ascii="Calibri" w:cs="Calibri" w:eastAsia="Calibri" w:hAnsi="Calibri"/>
          <w:b/>
          <w:bCs/>
          <w:i/>
          <w:iCs/>
          <w:color w:val="5A5A5A"/>
          <w:sz w:val="20"/>
          <w:szCs w:val="20"/>
        </w:rPr>
        <w:t xml:space="preserve">Where we beat them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Funding. This is the decisive gap — Mitie is not a long-term asset owner.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Savings guarantee and M&amp;V.</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Programme scale and complexity; multi-technology integration under one accountable structure.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City-scale and concession structures.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Independence from an FM contract that the customer may want to re-tender.</w:t>
      </w:r>
    </w:p>
    <w:p>
      <w:pPr>
        <w:pStyle w:val="Heading4"/>
        <w:spacing w:after="80" w:before="200"/>
      </w:pPr>
      <w:r>
        <w:rPr>
          <w:rFonts w:ascii="Calibri" w:cs="Calibri" w:eastAsia="Calibri" w:hAnsi="Calibri"/>
          <w:b/>
          <w:bCs/>
          <w:i/>
          <w:iCs/>
          <w:color w:val="5A5A5A"/>
          <w:sz w:val="20"/>
          <w:szCs w:val="20"/>
        </w:rPr>
        <w:t xml:space="preserve">Recent proof points to expect in their pitch</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Custom Solar defence and public sector installations.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Rock Power grid connection deliveries.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FY26 record revenue and acquisition-led growth story.</w:t>
      </w:r>
    </w:p>
    <w:p>
      <w:pPr>
        <w:pStyle w:val="Heading4"/>
        <w:spacing w:after="80" w:before="200"/>
      </w:pPr>
      <w:r>
        <w:rPr>
          <w:rFonts w:ascii="Calibri" w:cs="Calibri" w:eastAsia="Calibri" w:hAnsi="Calibri"/>
          <w:b/>
          <w:bCs/>
          <w:i/>
          <w:iCs/>
          <w:color w:val="5A5A5A"/>
          <w:sz w:val="20"/>
          <w:szCs w:val="20"/>
        </w:rPr>
        <w:t xml:space="preserve">Trigger events to watch</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Acquisition of a funding platform or launch of an EaaS vehicle — this is the single most likely move that would elevate Mitie into the top five.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Further bolt-on acquisitions in heat, BESS or O&amp;M.</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Any move to bundle energy performance guarantees into FM renewals.</w:t>
      </w:r>
    </w:p>
    <w:p>
      <w:pPr>
        <w:pStyle w:val="Heading4"/>
        <w:spacing w:after="80" w:before="200"/>
      </w:pPr>
      <w:r>
        <w:rPr>
          <w:rFonts w:ascii="Calibri" w:cs="Calibri" w:eastAsia="Calibri" w:hAnsi="Calibri"/>
          <w:b/>
          <w:bCs/>
          <w:i/>
          <w:iCs/>
          <w:color w:val="5A5A5A"/>
          <w:sz w:val="20"/>
          <w:szCs w:val="20"/>
        </w:rPr>
        <w:t xml:space="preserve">Counter-script</w:t>
      </w:r>
    </w:p>
    <w:p>
      <w:pPr>
        <w:spacing w:after="140" w:line="276"/>
        <w:jc w:val="left"/>
      </w:pPr>
      <w:r>
        <w:rPr>
          <w:rFonts w:ascii="Calibri" w:cs="Calibri" w:eastAsia="Calibri" w:hAnsi="Calibri"/>
          <w:b/>
          <w:bCs/>
          <w:i w:val="false"/>
          <w:iCs w:val="false"/>
          <w:color w:val="222222"/>
          <w:sz w:val="20"/>
          <w:szCs w:val="20"/>
        </w:rPr>
        <w:t xml:space="preserve">The core line:</w:t>
      </w:r>
      <w:r>
        <w:rPr>
          <w:rFonts w:ascii="Calibri" w:cs="Calibri" w:eastAsia="Calibri" w:hAnsi="Calibri"/>
          <w:i w:val="false"/>
          <w:iCs w:val="false"/>
          <w:color w:val="222222"/>
          <w:sz w:val="20"/>
          <w:szCs w:val="20"/>
        </w:rPr>
        <w:t xml:space="preserve"> "Mitie have bought some good businesses. Ask them who owns the asset, who funds it, and who pays if the savings do not appear. Today the answer to all three is you."</w:t>
      </w:r>
    </w:p>
    <w:p>
      <w:pPr>
        <w:spacing w:after="140" w:line="276"/>
        <w:jc w:val="left"/>
      </w:pPr>
      <w:r>
        <w:rPr>
          <w:rFonts w:ascii="Calibri" w:cs="Calibri" w:eastAsia="Calibri" w:hAnsi="Calibri"/>
          <w:b/>
          <w:bCs/>
          <w:i w:val="false"/>
          <w:iCs w:val="false"/>
          <w:color w:val="222222"/>
          <w:sz w:val="20"/>
          <w:szCs w:val="20"/>
        </w:rPr>
        <w:t xml:space="preserve">On FM incumbency:</w:t>
      </w:r>
      <w:r>
        <w:rPr>
          <w:rFonts w:ascii="Calibri" w:cs="Calibri" w:eastAsia="Calibri" w:hAnsi="Calibri"/>
          <w:i w:val="false"/>
          <w:iCs w:val="false"/>
          <w:color w:val="222222"/>
          <w:sz w:val="20"/>
          <w:szCs w:val="20"/>
        </w:rPr>
        <w:t xml:space="preserve"> "There is a reason to think carefully about putting your energy infrastructure inside your FM contract. When you re-tender FM in four years, do you want your twenty-year energy assets in that scope?"</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7. Three challengers who could enter the top ten within 24 months</w:t>
      </w:r>
    </w:p>
    <w:p>
      <w:pPr>
        <w:spacing w:after="140" w:line="276"/>
        <w:jc w:val="left"/>
      </w:pPr>
      <w:r>
        <w:rPr>
          <w:rFonts w:ascii="Calibri" w:cs="Calibri" w:eastAsia="Calibri" w:hAnsi="Calibri"/>
          <w:i w:val="false"/>
          <w:iCs w:val="false"/>
          <w:color w:val="222222"/>
          <w:sz w:val="20"/>
          <w:szCs w:val="20"/>
        </w:rPr>
        <w:t xml:space="preserve">These three are not currently among our most frequent competitors, but each has a specific, identifiable path into direct competition with the full Ameresco proposition. They should be tracked as if they were already in the top ten.</w:t>
      </w:r>
    </w:p>
    <w:p>
      <w:pPr>
        <w:pStyle w:val="Heading2"/>
        <w:spacing w:after="140" w:before="340"/>
      </w:pPr>
      <w:r>
        <w:rPr>
          <w:rFonts w:ascii="Calibri" w:cs="Calibri" w:eastAsia="Calibri" w:hAnsi="Calibri"/>
          <w:b/>
          <w:bCs/>
          <w:color w:val="1C6B4C"/>
          <w:sz w:val="26"/>
          <w:szCs w:val="26"/>
        </w:rPr>
        <w:t xml:space="preserve">7.1 Hemiko — the purpose-built city heat competitor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DIF Capital Partners holds a significant majority following acquisition; management retains a minority stake.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Formerly</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Pinnacle Power. Founded 2012; rebranded and recapitalised as Hemiko.</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Firepower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c.£1bn of investment to deploy into town and city-wide low-carbon heat networks by 2030.</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Investor, developer, owner and operator of heat networks — a pure-play city-scale ESCO for heat.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Notable</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Selected as project developer on what is described as the UK's first data centre waste heat network — a bridge between the Cities and Data Centres segments.</w:t>
            </w:r>
          </w:p>
        </w:tc>
      </w:tr>
    </w:tbl>
    <w:p>
      <w:pPr>
        <w:spacing w:after="60"/>
      </w:pPr>
      <w:r>
        <w:t xml:space="preserve"/>
      </w:r>
    </w:p>
    <w:p>
      <w:pPr>
        <w:spacing w:after="140" w:line="276"/>
        <w:jc w:val="left"/>
      </w:pPr>
      <w:r>
        <w:rPr>
          <w:rFonts w:ascii="Calibri" w:cs="Calibri" w:eastAsia="Calibri" w:hAnsi="Calibri"/>
          <w:i w:val="false"/>
          <w:iCs w:val="false"/>
          <w:color w:val="222222"/>
          <w:sz w:val="20"/>
          <w:szCs w:val="20"/>
        </w:rPr>
        <w:t xml:space="preserve">Hemiko matters because it is the competitor most precisely designed for the market that heat network zoning is about to create. It has patient infrastructure capital, no legacy business to defend, no supply book, and a single strategic objective: own city heat. In a zoned, concession-based market that is a very strong position.</w:t>
      </w:r>
    </w:p>
    <w:p>
      <w:pPr>
        <w:spacing w:after="140" w:line="276"/>
        <w:jc w:val="left"/>
      </w:pPr>
      <w:r>
        <w:rPr>
          <w:rFonts w:ascii="Calibri" w:cs="Calibri" w:eastAsia="Calibri" w:hAnsi="Calibri"/>
          <w:b/>
          <w:bCs/>
          <w:i w:val="false"/>
          <w:iCs w:val="false"/>
          <w:color w:val="222222"/>
          <w:sz w:val="20"/>
          <w:szCs w:val="20"/>
        </w:rPr>
        <w:t xml:space="preserve">Where we beat them:</w:t>
      </w:r>
      <w:r>
        <w:rPr>
          <w:rFonts w:ascii="Calibri" w:cs="Calibri" w:eastAsia="Calibri" w:hAnsi="Calibri"/>
          <w:i w:val="false"/>
          <w:iCs w:val="false"/>
          <w:color w:val="222222"/>
          <w:sz w:val="20"/>
          <w:szCs w:val="20"/>
        </w:rPr>
        <w:t xml:space="preserve"> breadth. Hemiko does heat. A city partnership is schools, social housing, council buildings, EV, solar, community energy and heat — Bristol City Leap is the proof that the integrated version is deliverable. Where a council procures a heat concession alone, Hemiko is formidable; where a council procures a city energy partnership, they need partners and we do not.</w:t>
      </w:r>
    </w:p>
    <w:p>
      <w:pPr>
        <w:spacing w:after="140" w:line="276"/>
        <w:jc w:val="left"/>
      </w:pPr>
      <w:r>
        <w:rPr>
          <w:rFonts w:ascii="Calibri" w:cs="Calibri" w:eastAsia="Calibri" w:hAnsi="Calibri"/>
          <w:b/>
          <w:bCs/>
          <w:i w:val="false"/>
          <w:iCs w:val="false"/>
          <w:color w:val="222222"/>
          <w:sz w:val="20"/>
          <w:szCs w:val="20"/>
        </w:rPr>
        <w:t xml:space="preserve">Where they beat us:</w:t>
      </w:r>
      <w:r>
        <w:rPr>
          <w:rFonts w:ascii="Calibri" w:cs="Calibri" w:eastAsia="Calibri" w:hAnsi="Calibri"/>
          <w:i w:val="false"/>
          <w:iCs w:val="false"/>
          <w:color w:val="222222"/>
          <w:sz w:val="20"/>
          <w:szCs w:val="20"/>
        </w:rPr>
        <w:t xml:space="preserve"> focus and cost of capital in heat alone, plus the credibility of an owner whose only business is the thing being procured.</w:t>
      </w:r>
    </w:p>
    <w:p>
      <w:pPr>
        <w:spacing w:after="140" w:line="276"/>
        <w:jc w:val="left"/>
      </w:pPr>
      <w:r>
        <w:rPr>
          <w:rFonts w:ascii="Calibri" w:cs="Calibri" w:eastAsia="Calibri" w:hAnsi="Calibri"/>
          <w:b/>
          <w:bCs/>
          <w:i w:val="false"/>
          <w:iCs w:val="false"/>
          <w:color w:val="222222"/>
          <w:sz w:val="20"/>
          <w:szCs w:val="20"/>
        </w:rPr>
        <w:t xml:space="preserve">Watch for:</w:t>
      </w:r>
      <w:r>
        <w:rPr>
          <w:rFonts w:ascii="Calibri" w:cs="Calibri" w:eastAsia="Calibri" w:hAnsi="Calibri"/>
          <w:i w:val="false"/>
          <w:iCs w:val="false"/>
          <w:color w:val="222222"/>
          <w:sz w:val="20"/>
          <w:szCs w:val="20"/>
        </w:rPr>
        <w:t xml:space="preserve"> Zone Coordinator delivery appointments in the six first zones; any move to broaden beyond heat; further DIF capital commitments.</w:t>
      </w:r>
    </w:p>
    <w:p>
      <w:pPr>
        <w:pStyle w:val="Heading2"/>
        <w:spacing w:after="140" w:before="340"/>
      </w:pPr>
      <w:r>
        <w:rPr>
          <w:rFonts w:ascii="Calibri" w:cs="Calibri" w:eastAsia="Calibri" w:hAnsi="Calibri"/>
          <w:b/>
          <w:bCs/>
          <w:color w:val="1C6B4C"/>
          <w:sz w:val="26"/>
          <w:szCs w:val="26"/>
        </w:rPr>
        <w:t xml:space="preserve">7.2 ENGIE UK — the sleeping giant that just bought a network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ENGIE SA (France).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move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Acquired UK Power Networks in May 2026 — c.8.5m households across London, the South East and the East of England, c.192,000km of network, c.6,500 employees. The UK became ENGIE's second-largest country of operation.</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Other 2025–26 activity</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Acquired a 157MW solar and onshore wind portfolio in England and Wales (2025); signed a ten-year biomethane supply agreement with PepsiCo (2026); supplies c.17,000 UK business customers.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Gap</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ENGIE sold its services arm — which became EQUANS — and therefore lacks a large UK building-level delivery organisation.</w:t>
            </w:r>
          </w:p>
        </w:tc>
      </w:tr>
    </w:tbl>
    <w:p>
      <w:pPr>
        <w:spacing w:after="60"/>
      </w:pPr>
      <w:r>
        <w:t xml:space="preserve"/>
      </w:r>
    </w:p>
    <w:p>
      <w:pPr>
        <w:spacing w:after="140" w:line="276"/>
        <w:jc w:val="left"/>
      </w:pPr>
      <w:r>
        <w:rPr>
          <w:rFonts w:ascii="Calibri" w:cs="Calibri" w:eastAsia="Calibri" w:hAnsi="Calibri"/>
          <w:i w:val="false"/>
          <w:iCs w:val="false"/>
          <w:color w:val="222222"/>
          <w:sz w:val="20"/>
          <w:szCs w:val="20"/>
        </w:rPr>
        <w:t xml:space="preserve">ENGIE now owns regulated network, generation, supply and a large business customer base in the UK. The one thing it does not have is the services and delivery capability it divested. </w:t>
      </w:r>
      <w:r>
        <w:rPr>
          <w:rFonts w:ascii="Calibri" w:cs="Calibri" w:eastAsia="Calibri" w:hAnsi="Calibri"/>
          <w:b/>
          <w:bCs/>
          <w:i w:val="false"/>
          <w:iCs w:val="false"/>
          <w:color w:val="222222"/>
          <w:sz w:val="20"/>
          <w:szCs w:val="20"/>
        </w:rPr>
        <w:t xml:space="preserve">If ENGIE rebuilds or acquires a UK services arm, it becomes a top-five competitor almost immediately</w:t>
      </w:r>
      <w:r>
        <w:rPr>
          <w:rFonts w:ascii="Calibri" w:cs="Calibri" w:eastAsia="Calibri" w:hAnsi="Calibri"/>
          <w:i w:val="false"/>
          <w:iCs w:val="false"/>
          <w:color w:val="222222"/>
          <w:sz w:val="20"/>
          <w:szCs w:val="20"/>
        </w:rPr>
        <w:t xml:space="preserve"> — with a cost of capital, a network position and a customer base that few can match.</w:t>
      </w:r>
    </w:p>
    <w:p>
      <w:pPr>
        <w:spacing w:after="140" w:line="276"/>
        <w:jc w:val="left"/>
      </w:pPr>
      <w:r>
        <w:rPr>
          <w:rFonts w:ascii="Calibri" w:cs="Calibri" w:eastAsia="Calibri" w:hAnsi="Calibri"/>
          <w:b/>
          <w:bCs/>
          <w:i w:val="false"/>
          <w:iCs w:val="false"/>
          <w:color w:val="222222"/>
          <w:sz w:val="20"/>
          <w:szCs w:val="20"/>
        </w:rPr>
        <w:t xml:space="preserve">Watch for:</w:t>
      </w:r>
      <w:r>
        <w:rPr>
          <w:rFonts w:ascii="Calibri" w:cs="Calibri" w:eastAsia="Calibri" w:hAnsi="Calibri"/>
          <w:i w:val="false"/>
          <w:iCs w:val="false"/>
          <w:color w:val="222222"/>
          <w:sz w:val="20"/>
          <w:szCs w:val="20"/>
        </w:rPr>
        <w:t xml:space="preserve"> any UK services or ESCO acquisition; use of UKPN connection capability as a commercial weapon in data centre and large I&amp;C deals; re-entry into UK heat networks.</w:t>
      </w:r>
    </w:p>
    <w:p>
      <w:pPr>
        <w:pStyle w:val="Heading2"/>
        <w:spacing w:after="140" w:before="340"/>
      </w:pPr>
      <w:r>
        <w:rPr>
          <w:rFonts w:ascii="Calibri" w:cs="Calibri" w:eastAsia="Calibri" w:hAnsi="Calibri"/>
          <w:b/>
          <w:bCs/>
          <w:color w:val="1C6B4C"/>
          <w:sz w:val="26"/>
          <w:szCs w:val="26"/>
        </w:rPr>
        <w:t xml:space="preserve">7.3 Zenobe — the funded energy-as-a-service model, pointed elsewhere for now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Ownership</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Private, infrastructure and PE-backed.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Scale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More than £3.2bn raised since 2017. A £980m platform financing in 2026 for 1,200+ additional electric buses and associated infrastructure in the UK and Ireland, following a €325m European facility. Targeting up to 5,000 electric buses across the UK and Europe by 2028.</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Grid-scale</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Brought a 300MW / 600MWh BESS online at Kilmarnock in early 2026; over 1,100MW of contracted storage with a large pipeline.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Model</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Funds, owns, installs and operates charging infrastructure, batteries and vehicles, and manages the energy — a genuine EaaS wrap in its chosen niche.</w:t>
            </w:r>
          </w:p>
        </w:tc>
      </w:tr>
    </w:tbl>
    <w:p>
      <w:pPr>
        <w:spacing w:after="60"/>
      </w:pPr>
      <w:r>
        <w:t xml:space="preserve"/>
      </w:r>
    </w:p>
    <w:p>
      <w:pPr>
        <w:spacing w:after="140" w:line="276"/>
        <w:jc w:val="left"/>
      </w:pPr>
      <w:r>
        <w:rPr>
          <w:rFonts w:ascii="Calibri" w:cs="Calibri" w:eastAsia="Calibri" w:hAnsi="Calibri"/>
          <w:i w:val="false"/>
          <w:iCs w:val="false"/>
          <w:color w:val="222222"/>
          <w:sz w:val="20"/>
          <w:szCs w:val="20"/>
        </w:rPr>
        <w:t xml:space="preserve">Zenobe is the clearest proof in the UK market that the funded, own-and-operate energy-as-a-service model works at scale outside the traditional ESCO sector. Today they compete with us only at the edges — depot electrification and grid-scale storage. The risk is directional: an organisation with that much capital, that operating model and a proven ability to raise platform debt could extend into behind-the-meter industrial energy with very little adaptation.</w:t>
      </w:r>
    </w:p>
    <w:p>
      <w:pPr>
        <w:spacing w:after="140" w:line="276"/>
        <w:jc w:val="left"/>
      </w:pPr>
      <w:r>
        <w:rPr>
          <w:rFonts w:ascii="Calibri" w:cs="Calibri" w:eastAsia="Calibri" w:hAnsi="Calibri"/>
          <w:b/>
          <w:bCs/>
          <w:i w:val="false"/>
          <w:iCs w:val="false"/>
          <w:color w:val="222222"/>
          <w:sz w:val="20"/>
          <w:szCs w:val="20"/>
        </w:rPr>
        <w:t xml:space="preserve">Where we beat them:</w:t>
      </w:r>
      <w:r>
        <w:rPr>
          <w:rFonts w:ascii="Calibri" w:cs="Calibri" w:eastAsia="Calibri" w:hAnsi="Calibri"/>
          <w:i w:val="false"/>
          <w:iCs w:val="false"/>
          <w:color w:val="222222"/>
          <w:sz w:val="20"/>
          <w:szCs w:val="20"/>
        </w:rPr>
        <w:t xml:space="preserve"> technology breadth. Zenobe is fleet and battery. They have no heat, fabric, CHP or estate capability.</w:t>
      </w:r>
    </w:p>
    <w:p>
      <w:pPr>
        <w:spacing w:after="140" w:line="276"/>
        <w:jc w:val="left"/>
      </w:pPr>
      <w:r>
        <w:rPr>
          <w:rFonts w:ascii="Calibri" w:cs="Calibri" w:eastAsia="Calibri" w:hAnsi="Calibri"/>
          <w:b/>
          <w:bCs/>
          <w:i w:val="false"/>
          <w:iCs w:val="false"/>
          <w:color w:val="222222"/>
          <w:sz w:val="20"/>
          <w:szCs w:val="20"/>
        </w:rPr>
        <w:t xml:space="preserve">Watch for:</w:t>
      </w:r>
      <w:r>
        <w:rPr>
          <w:rFonts w:ascii="Calibri" w:cs="Calibri" w:eastAsia="Calibri" w:hAnsi="Calibri"/>
          <w:i w:val="false"/>
          <w:iCs w:val="false"/>
          <w:color w:val="222222"/>
          <w:sz w:val="20"/>
          <w:szCs w:val="20"/>
        </w:rPr>
        <w:t xml:space="preserve"> any move into non-fleet behind-the-meter generation or industrial energy programmes.</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8. Segment-by-segment competitive maps</w:t>
      </w:r>
    </w:p>
    <w:p>
      <w:pPr>
        <w:spacing w:after="140" w:line="276"/>
        <w:jc w:val="left"/>
      </w:pPr>
      <w:r>
        <w:rPr>
          <w:rFonts w:ascii="Calibri" w:cs="Calibri" w:eastAsia="Calibri" w:hAnsi="Calibri"/>
          <w:i w:val="false"/>
          <w:iCs w:val="false"/>
          <w:color w:val="222222"/>
          <w:sz w:val="20"/>
          <w:szCs w:val="20"/>
        </w:rPr>
        <w:t xml:space="preserve">Each segment has a different buyer, a different procurement route and a different competitor set. The same competitor can be Critical in one segment and irrelevant in another. These maps are the working tool for qualification.</w:t>
      </w:r>
    </w:p>
    <w:p>
      <w:pPr>
        <w:pStyle w:val="Heading2"/>
        <w:spacing w:after="140" w:before="340"/>
      </w:pPr>
      <w:r>
        <w:rPr>
          <w:rFonts w:ascii="Calibri" w:cs="Calibri" w:eastAsia="Calibri" w:hAnsi="Calibri"/>
          <w:b/>
          <w:bCs/>
          <w:color w:val="1C6B4C"/>
          <w:sz w:val="26"/>
          <w:szCs w:val="26"/>
        </w:rPr>
        <w:t xml:space="preserve">8.1 Industrial &amp; Commercial (I&amp;C)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MD/CEO, CFO, Energy Director, Operations Director, Sustainability Director, Site Director, Facilities/Property Director.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Cost, resilience and grid risk across multi-site, grid-constrained estates with ageing plant and board pressure on energy spend and compliance.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Direct negotiation, RFP, or increasingly via an energy consultancy running a competitive process. Rarely a formal framework.</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Complexity. Multi-site, multi-technology, grid-constrained estates where the answer is a programme, not a product.</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5432"/>
        <w:gridCol w:w="1746"/>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Competitor</w:t>
            </w:r>
          </w:p>
        </w:tc>
        <w:tc>
          <w:tcPr>
            <w:tcW w:type="dxa" w:w="543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How they come at it</w:t>
            </w:r>
          </w:p>
        </w:tc>
        <w:tc>
          <w:tcPr>
            <w:tcW w:type="dxa" w:w="174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Business Solutions</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1MW+ behind-the-meter generation with in-house finance, warm access via the supply book</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SSE Energy Solutions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solar PPA, private wire, off-site land, connections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Supply plus infrastructure bundle, private networks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EDF / Dalkia</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Supply relationship plus technical services and retrofit delivery</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centres, CHP transition, heat and process energy for industrial sites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Octopus Energy (business)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Supply, export tariffs, multi-site portfolios, solar-plus-battery economics; strongest on optimisation and price signals</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Mitie</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FM incumbency plus solar and grid connections</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FM incumbency plus efficiency and retrofit at volume</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Schneider / Siemens / JCI / Honeywell</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Controls, analytics and performance contracts on the building stock</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Atrato Onsite Energy, Custom Solar, Anesco, Geo Green Power</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or EPC rooftop solar only — the classic disaggregation threat</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Clarke Energy, Edina</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CHP and engine-based generation, often as our subcontractor or our displacer</w:t>
            </w:r>
          </w:p>
        </w:tc>
        <w:tc>
          <w:tcPr>
            <w:tcW w:type="dxa" w:w="1746"/>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Aggreko</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Modular microgrids and hired energy-as-a-service for temporary or bridging power</w:t>
            </w:r>
          </w:p>
        </w:tc>
        <w:tc>
          <w:tcPr>
            <w:tcW w:type="dxa" w:w="1746"/>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LOW</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Inspired plc (HGGC-owned)</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Consultancy that shapes the buying process and can recommend structures; 3,500+ customers</w:t>
            </w:r>
          </w:p>
        </w:tc>
        <w:tc>
          <w:tcPr>
            <w:tcW w:type="dxa" w:w="174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(influence)</w:t>
            </w:r>
          </w:p>
        </w:tc>
      </w:tr>
    </w:tbl>
    <w:p>
      <w:pPr>
        <w:pStyle w:val="Heading4"/>
        <w:spacing w:after="80" w:before="200"/>
      </w:pPr>
      <w:r>
        <w:rPr>
          <w:rFonts w:ascii="Calibri" w:cs="Calibri" w:eastAsia="Calibri" w:hAnsi="Calibri"/>
          <w:b/>
          <w:bCs/>
          <w:i/>
          <w:iCs/>
          <w:color w:val="5A5A5A"/>
          <w:sz w:val="20"/>
          <w:szCs w:val="20"/>
        </w:rPr>
        <w:t xml:space="preserve">The real threat in this segment</w:t>
      </w:r>
    </w:p>
    <w:p>
      <w:pPr>
        <w:spacing w:after="140" w:line="276"/>
        <w:jc w:val="left"/>
      </w:pPr>
      <w:r>
        <w:rPr>
          <w:rFonts w:ascii="Calibri" w:cs="Calibri" w:eastAsia="Calibri" w:hAnsi="Calibri"/>
          <w:i w:val="false"/>
          <w:iCs w:val="false"/>
          <w:color w:val="222222"/>
          <w:sz w:val="20"/>
          <w:szCs w:val="20"/>
        </w:rPr>
        <w:t xml:space="preserve">It is not any single name on that list. It is </w:t>
      </w:r>
      <w:r>
        <w:rPr>
          <w:rFonts w:ascii="Calibri" w:cs="Calibri" w:eastAsia="Calibri" w:hAnsi="Calibri"/>
          <w:b/>
          <w:bCs/>
          <w:i w:val="false"/>
          <w:iCs w:val="false"/>
          <w:color w:val="222222"/>
          <w:sz w:val="20"/>
          <w:szCs w:val="20"/>
        </w:rPr>
        <w:t xml:space="preserve">the consultant-led competitive process that reduces a programme to a comparable unit price.</w:t>
      </w:r>
      <w:r>
        <w:rPr>
          <w:rFonts w:ascii="Calibri" w:cs="Calibri" w:eastAsia="Calibri" w:hAnsi="Calibri"/>
          <w:i w:val="false"/>
          <w:iCs w:val="false"/>
          <w:color w:val="222222"/>
          <w:sz w:val="20"/>
          <w:szCs w:val="20"/>
        </w:rPr>
        <w:t xml:space="preserve"> Energy consultancies — now increasingly PE-backed, of which HGGC's acquisition of Inspired is the clearest example — earn their fee by demonstrating savings against a benchmark. That pushes towards single-technology, lowest-price outcomes.</w:t>
      </w:r>
    </w:p>
    <w:p>
      <w:pPr>
        <w:spacing w:after="140" w:line="276"/>
        <w:jc w:val="left"/>
      </w:pPr>
      <w:r>
        <w:rPr>
          <w:rFonts w:ascii="Calibri" w:cs="Calibri" w:eastAsia="Calibri" w:hAnsi="Calibri"/>
          <w:i w:val="false"/>
          <w:iCs w:val="false"/>
          <w:color w:val="222222"/>
          <w:sz w:val="20"/>
          <w:szCs w:val="20"/>
        </w:rPr>
        <w:t xml:space="preserve">The deck's existing warning stands and should be sharpened: </w:t>
      </w:r>
      <w:r>
        <w:rPr>
          <w:rFonts w:ascii="Calibri" w:cs="Calibri" w:eastAsia="Calibri" w:hAnsi="Calibri"/>
          <w:b/>
          <w:bCs/>
          <w:i w:val="false"/>
          <w:iCs w:val="false"/>
          <w:color w:val="222222"/>
          <w:sz w:val="20"/>
          <w:szCs w:val="20"/>
        </w:rPr>
        <w:t xml:space="preserve">watch large buyers insourcing energy management with PE-backed advisers.</w:t>
      </w:r>
      <w:r>
        <w:rPr>
          <w:rFonts w:ascii="Calibri" w:cs="Calibri" w:eastAsia="Calibri" w:hAnsi="Calibri"/>
          <w:i w:val="false"/>
          <w:iCs w:val="false"/>
          <w:color w:val="222222"/>
          <w:sz w:val="20"/>
          <w:szCs w:val="20"/>
        </w:rPr>
        <w:t xml:space="preserve"> The counter is to engage before the specification is written, and to reframe the comparison around risk transfer rather than unit cost.</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Never lead with technology. Lead with cost volatility, grid constraint and plant risk at board level.</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Use funded structures and long-term O&amp;M to escape EPC-contractor comparison.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Qualify out early where the buyer wants the cheapest price for a single technology — that is not our lane and pursuing it costs us more than losing it.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Where a grid connection is the binding constraint, consider partnering with SSE, an IDNO or an ICP rather than competing on a capability we do not hold.</w:t>
      </w:r>
    </w:p>
    <w:p>
      <w:r>
        <w:br w:type="page"/>
      </w:r>
    </w:p>
    <w:p>
      <w:pPr>
        <w:pStyle w:val="Heading2"/>
        <w:spacing w:after="140" w:before="340"/>
      </w:pPr>
      <w:r>
        <w:rPr>
          <w:rFonts w:ascii="Calibri" w:cs="Calibri" w:eastAsia="Calibri" w:hAnsi="Calibri"/>
          <w:b/>
          <w:bCs/>
          <w:color w:val="1C6B4C"/>
          <w:sz w:val="26"/>
          <w:szCs w:val="26"/>
        </w:rPr>
        <w:t xml:space="preserve">8.2 Public Sector — NHS, universities, central government, local authority estates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NHS Estates Director, Trust CFO, University Estates, Council Property, Procurement Lead.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Compliance, funding and estate risk — resilience, backlog maintenance, ageing plant, service continuity, binding net zero deadlines (NHS net zero 2040).</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Frameworks, overwhelmingly. The NOE CPC £1bn Decarbonisation and Energy Infrastructure framework (live 1 Oct 2026 – 30 Sep 2029) and NHS SBS Decarbonisation of Estates (SBS10504) dominate NHS. Elsewhere: CCS, SCAPE, Pagabo, Procure Partnerships, YPO, ESPO, LHC, Fusion21, Re:fit.</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delivery under the NHS Net Zero pathway; EaaS structures that free capital for clinical priorities; long-term M&amp;V accountability across multi-site estates.</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5432"/>
        <w:gridCol w:w="1746"/>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Competitor</w:t>
            </w:r>
          </w:p>
        </w:tc>
        <w:tc>
          <w:tcPr>
            <w:tcW w:type="dxa" w:w="543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How they come at it</w:t>
            </w:r>
          </w:p>
        </w:tc>
        <w:tc>
          <w:tcPr>
            <w:tcW w:type="dxa" w:w="174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centres, heat networks, NHS and university incumbency, framework presence</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Volume retrofit, framework coverage, grant bid capability, self-delivery</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Dalkia UK</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retrofit machine built on PSDS; EDF backing</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networks and campus infrastructure under long partnerships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Municipal heat, EfW-linked district heating, technical services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Business Solutions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Hospital energy centres, CHP transition, funded generation</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Siemens / Schneider / Johnson Controls (Asset+)</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Controls incumbency, performance contracts, funded via captive finance</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Mitie</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FM incumbency, defence estate, solar and connections</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Amey, Kier, Balfour Beatty, Morgan Sindall, Wates</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Construction and estates contractors bidding decarbonisation lots</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Regional M&amp;E and solar contractors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Single-lot price competition on regional framework lots</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AECOM, Arup, Ramboll, WSP, Mott MacDonald, Turner &amp; Townsend</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Consultancy lots — they write the specification we then have to live with</w:t>
            </w:r>
          </w:p>
        </w:tc>
        <w:tc>
          <w:tcPr>
            <w:tcW w:type="dxa" w:w="174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(influence)</w:t>
            </w:r>
          </w:p>
        </w:tc>
      </w:tr>
    </w:tbl>
    <w:p>
      <w:pPr>
        <w:pStyle w:val="Heading4"/>
        <w:spacing w:after="80" w:before="200"/>
      </w:pPr>
      <w:r>
        <w:rPr>
          <w:rFonts w:ascii="Calibri" w:cs="Calibri" w:eastAsia="Calibri" w:hAnsi="Calibri"/>
          <w:b/>
          <w:bCs/>
          <w:i/>
          <w:iCs/>
          <w:color w:val="5A5A5A"/>
          <w:sz w:val="20"/>
          <w:szCs w:val="20"/>
        </w:rPr>
        <w:t xml:space="preserve">The two things that decide this segment in 2026–28</w:t>
      </w:r>
    </w:p>
    <w:p>
      <w:pPr>
        <w:spacing w:after="140" w:line="276"/>
        <w:jc w:val="left"/>
      </w:pPr>
      <w:r>
        <w:rPr>
          <w:rFonts w:ascii="Calibri" w:cs="Calibri" w:eastAsia="Calibri" w:hAnsi="Calibri"/>
          <w:b/>
          <w:bCs/>
          <w:i w:val="false"/>
          <w:iCs w:val="false"/>
          <w:color w:val="222222"/>
          <w:sz w:val="20"/>
          <w:szCs w:val="20"/>
        </w:rPr>
        <w:t xml:space="preserve">First, framework position.</w:t>
      </w:r>
      <w:r>
        <w:rPr>
          <w:rFonts w:ascii="Calibri" w:cs="Calibri" w:eastAsia="Calibri" w:hAnsi="Calibri"/>
          <w:i w:val="false"/>
          <w:iCs w:val="false"/>
          <w:color w:val="222222"/>
          <w:sz w:val="20"/>
          <w:szCs w:val="20"/>
        </w:rPr>
        <w:t xml:space="preserve"> The NOE CPC framework admits up to 180 suppliers across 20 lots. Being on it is necessary and almost meaningless; being on </w:t>
      </w:r>
      <w:r>
        <w:rPr>
          <w:rFonts w:ascii="Calibri" w:cs="Calibri" w:eastAsia="Calibri" w:hAnsi="Calibri"/>
          <w:b/>
          <w:bCs/>
          <w:i w:val="false"/>
          <w:iCs w:val="false"/>
          <w:color w:val="222222"/>
          <w:sz w:val="20"/>
          <w:szCs w:val="20"/>
        </w:rPr>
        <w:t xml:space="preserve">Lot 6, the £200m principal partner / total service provision lot</w:t>
      </w:r>
      <w:r>
        <w:rPr>
          <w:rFonts w:ascii="Calibri" w:cs="Calibri" w:eastAsia="Calibri" w:hAnsi="Calibri"/>
          <w:i w:val="false"/>
          <w:iCs w:val="false"/>
          <w:color w:val="222222"/>
          <w:sz w:val="20"/>
          <w:szCs w:val="20"/>
        </w:rPr>
        <w:t xml:space="preserve">, is the only position that pays for our model. Every other lot invites us into a price fight or a subcontract.</w:t>
      </w:r>
    </w:p>
    <w:p>
      <w:pPr>
        <w:spacing w:after="140" w:line="276"/>
        <w:jc w:val="left"/>
      </w:pPr>
      <w:r>
        <w:rPr>
          <w:rFonts w:ascii="Calibri" w:cs="Calibri" w:eastAsia="Calibri" w:hAnsi="Calibri"/>
          <w:b/>
          <w:bCs/>
          <w:i w:val="false"/>
          <w:iCs w:val="false"/>
          <w:color w:val="222222"/>
          <w:sz w:val="20"/>
          <w:szCs w:val="20"/>
        </w:rPr>
        <w:t xml:space="preserve">Second, the grant cliff.</w:t>
      </w:r>
      <w:r>
        <w:rPr>
          <w:rFonts w:ascii="Calibri" w:cs="Calibri" w:eastAsia="Calibri" w:hAnsi="Calibri"/>
          <w:i w:val="false"/>
          <w:iCs w:val="false"/>
          <w:color w:val="222222"/>
          <w:sz w:val="20"/>
          <w:szCs w:val="20"/>
        </w:rPr>
        <w:t xml:space="preserve"> PSDS is closed to new investment; Phase 3c ends March 2026 and Phase 4 ends March 2028. Great British Energy grant is available for solar and efficiency on schools and NHS sites — roughly £180m committed, with a 2026 round open on a rolling basis. The competitive consequence is specific: </w:t>
      </w:r>
      <w:r>
        <w:rPr>
          <w:rFonts w:ascii="Calibri" w:cs="Calibri" w:eastAsia="Calibri" w:hAnsi="Calibri"/>
          <w:b/>
          <w:bCs/>
          <w:i w:val="false"/>
          <w:iCs w:val="false"/>
          <w:color w:val="222222"/>
          <w:sz w:val="20"/>
          <w:szCs w:val="20"/>
        </w:rPr>
        <w:t xml:space="preserve">do not sell funded solar into a building that can get a GBE grant.</w:t>
      </w:r>
      <w:r>
        <w:rPr>
          <w:rFonts w:ascii="Calibri" w:cs="Calibri" w:eastAsia="Calibri" w:hAnsi="Calibri"/>
          <w:i w:val="false"/>
          <w:iCs w:val="false"/>
          <w:color w:val="222222"/>
          <w:sz w:val="20"/>
          <w:szCs w:val="20"/>
        </w:rPr>
        <w:t xml:space="preserve"> Sell the heat, the plant, the resilience and the M&amp;V, and let the grant do the roof.</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Lead with estate risk — resilience, compliance, plant condition — before commercial structure. Estates directors buy risk reduction; finance directors buy the structure.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Use the end of grant as the strategic frame: "what is your plan for the estate after March 2028?"</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Quantify the capital release. EaaS that frees capital for clinical priorities is a CFO argument, and the CFO is the person who can say yes.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Treat the consultancy lots as a competitive battleground, not neutral ground. Whoever writes the feasibility study writes the payment mechanism.</w:t>
      </w:r>
    </w:p>
    <w:p>
      <w:r>
        <w:br w:type="page"/>
      </w:r>
    </w:p>
    <w:p>
      <w:pPr>
        <w:pStyle w:val="Heading2"/>
        <w:spacing w:after="140" w:before="340"/>
      </w:pPr>
      <w:r>
        <w:rPr>
          <w:rFonts w:ascii="Calibri" w:cs="Calibri" w:eastAsia="Calibri" w:hAnsi="Calibri"/>
          <w:b/>
          <w:bCs/>
          <w:color w:val="1C6B4C"/>
          <w:sz w:val="26"/>
          <w:szCs w:val="26"/>
        </w:rPr>
        <w:t xml:space="preserve">8.3 Grid-Scale / Front-of-Meter — asset and development market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IPP Development Directors, Infrastructure Fund Investment teams, Utility Portfolio Leads.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Scale, grid connection and route to market. Delivery speed, planning risk and capital deployment at programme scale.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Bilateral EPC awards, competitive EPC tenders, development partnerships, asset sales.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Top-tier EPC credentials — Cellarhead (300MW / 624MWh, £196.5m) and Sonnedix (300MWp). </w:t>
            </w:r>
            <w:r>
              <w:rPr>
                <w:rFonts w:ascii="Calibri" w:cs="Calibri" w:eastAsia="Calibri" w:hAnsi="Calibri"/>
                <w:b/>
                <w:bCs/>
                <w:i w:val="false"/>
                <w:iCs w:val="false"/>
                <w:color w:val="222222"/>
                <w:sz w:val="17"/>
                <w:szCs w:val="17"/>
              </w:rPr>
              <w:t xml:space="preserve">Decide the role before pursuit: developer, EPC, owner, funder, optimiser or partner.</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and partner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4656"/>
        <w:gridCol w:w="2134"/>
      </w:tblGrid>
      <w:tr>
        <w:trPr>
          <w:tblHeader/>
        </w:trPr>
        <w:tc>
          <w:tcPr>
            <w:tcW w:type="dxa" w:w="291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65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Role</w:t>
            </w:r>
          </w:p>
        </w:tc>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Compete or partner</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Lightsource bp</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Largest UK solar developer; ownership in flux following bp's "Project Scala" process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 — developer client and rival</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Statera Energy</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 at scale; acquired the 680MW Carrington BESS project (Jan 2025)</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Zenobe</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Developer-owner-operator; 300MW/600MWh Kilmarnock online early 2026</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Harmony Energy, Field, Eku Energy (Macquarie), Fidra, NatPower, Penso Power, Root-Power, Elgin, Enso</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Developer-owners across BESS and solar</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Client / partner</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Gresham House Energy Storage, Foresight, NextEnergy, Bluefield, Low Carbon, Octopus Energy Generation</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 owners of operating assets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Client / funder</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Belectric</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 secured c.210MWp across four UK plants with Severn Trent Green Power, construction from March 2026; UK arm hosts its global BESS centre of excellence</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Anesco</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Vertically integrated EPC with BESS leadership and ICP capability</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Ethical Power / Ethical Power Connections</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and BOP with over a gigawatt of grid connections delivered</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Voltalia, BSR, RES</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and O&amp;M</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Wärtsilä, Fluence, Tesla, Sungrow, BYD, CATL, Trina Storage</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suppliers, increasingly offering integrated delivery</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Supplier / compete</w:t>
            </w:r>
          </w:p>
        </w:tc>
      </w:tr>
      <w:tr>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Balfour Beatty, M Group, Morgan Sindall Infrastructure, Murphy, Omexom Taylor Woodrow</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HV and transmission delivery; appointed to National Grid's £1.2bn Electricity Transmission Partnership phase</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Adjacent / partner</w:t>
            </w:r>
          </w:p>
        </w:tc>
      </w:tr>
      <w:tr>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EDF, SSE, ENGIE, ScottishPower, Statkraft</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developer-owners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bl>
    <w:p>
      <w:pPr>
        <w:pStyle w:val="Heading4"/>
        <w:spacing w:after="80" w:before="200"/>
      </w:pPr>
      <w:r>
        <w:rPr>
          <w:rFonts w:ascii="Calibri" w:cs="Calibri" w:eastAsia="Calibri" w:hAnsi="Calibri"/>
          <w:b/>
          <w:bCs/>
          <w:i/>
          <w:iCs/>
          <w:color w:val="5A5A5A"/>
          <w:sz w:val="20"/>
          <w:szCs w:val="20"/>
        </w:rPr>
        <w:t xml:space="preserve">The structural read</w:t>
      </w:r>
    </w:p>
    <w:p>
      <w:pPr>
        <w:spacing w:after="140" w:line="276"/>
        <w:jc w:val="left"/>
      </w:pPr>
      <w:r>
        <w:rPr>
          <w:rFonts w:ascii="Calibri" w:cs="Calibri" w:eastAsia="Calibri" w:hAnsi="Calibri"/>
          <w:i w:val="false"/>
          <w:iCs w:val="false"/>
          <w:color w:val="222222"/>
          <w:sz w:val="20"/>
          <w:szCs w:val="20"/>
        </w:rPr>
        <w:t xml:space="preserve">This is a development and asset market, not a larger version of behind-the-meter. The scarce goods are </w:t>
      </w:r>
      <w:r>
        <w:rPr>
          <w:rFonts w:ascii="Calibri" w:cs="Calibri" w:eastAsia="Calibri" w:hAnsi="Calibri"/>
          <w:b/>
          <w:bCs/>
          <w:i w:val="false"/>
          <w:iCs w:val="false"/>
          <w:color w:val="222222"/>
          <w:sz w:val="20"/>
          <w:szCs w:val="20"/>
        </w:rPr>
        <w:t xml:space="preserve">grid connection rights, land and capital</w:t>
      </w:r>
      <w:r>
        <w:rPr>
          <w:rFonts w:ascii="Calibri" w:cs="Calibri" w:eastAsia="Calibri" w:hAnsi="Calibri"/>
          <w:i w:val="false"/>
          <w:iCs w:val="false"/>
          <w:color w:val="222222"/>
          <w:sz w:val="20"/>
          <w:szCs w:val="20"/>
        </w:rPr>
        <w:t xml:space="preserve"> — not construction capability. EPC margin is compressing as more contractors qualify, while connection queue positions appreciate.</w:t>
      </w:r>
    </w:p>
    <w:p>
      <w:pPr>
        <w:spacing w:after="140" w:line="276"/>
        <w:jc w:val="left"/>
      </w:pPr>
      <w:r>
        <w:rPr>
          <w:rFonts w:ascii="Calibri" w:cs="Calibri" w:eastAsia="Calibri" w:hAnsi="Calibri"/>
          <w:i w:val="false"/>
          <w:iCs w:val="false"/>
          <w:color w:val="222222"/>
          <w:sz w:val="20"/>
          <w:szCs w:val="20"/>
        </w:rPr>
        <w:t xml:space="preserve">Our credentials are genuinely top-tier and they open doors. But competing purely as an EPC puts us in a commoditising market against Belectric, Anesco, Ethical Power and a lengthening list of European entrants. </w:t>
      </w:r>
      <w:r>
        <w:rPr>
          <w:rFonts w:ascii="Calibri" w:cs="Calibri" w:eastAsia="Calibri" w:hAnsi="Calibri"/>
          <w:b/>
          <w:bCs/>
          <w:i w:val="false"/>
          <w:iCs w:val="false"/>
          <w:color w:val="222222"/>
          <w:sz w:val="20"/>
          <w:szCs w:val="20"/>
        </w:rPr>
        <w:t xml:space="preserve">The value of this segment to Ameresco is mainly as proof for the other four segments</w:t>
      </w:r>
      <w:r>
        <w:rPr>
          <w:rFonts w:ascii="Calibri" w:cs="Calibri" w:eastAsia="Calibri" w:hAnsi="Calibri"/>
          <w:i w:val="false"/>
          <w:iCs w:val="false"/>
          <w:color w:val="222222"/>
          <w:sz w:val="20"/>
          <w:szCs w:val="20"/>
        </w:rPr>
        <w:t xml:space="preserve"> — evidence that we design, deliver and operate nationally significant infrastructure — plus selective participation where we can take a development, funding or optimisation role rather than a construction one.</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Define the role before the pursuit. An EPC bid, a development partnership and a funding role need different teams, different pricing and different risk appetite.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Treat developers and funds as clients and partners first, competitors second.</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Use Cellarhead and Sonnedix as proof points in I&amp;C, Public Sector, Cities and Data Centres — that is where they earn their keep.</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Be selective. Winning low-margin EPC at scale consumes delivery capacity that is worth more in funded programmes.</w:t>
      </w:r>
    </w:p>
    <w:p>
      <w:r>
        <w:br w:type="page"/>
      </w:r>
    </w:p>
    <w:p>
      <w:pPr>
        <w:pStyle w:val="Heading2"/>
        <w:spacing w:after="140" w:before="340"/>
      </w:pPr>
      <w:r>
        <w:rPr>
          <w:rFonts w:ascii="Calibri" w:cs="Calibri" w:eastAsia="Calibri" w:hAnsi="Calibri"/>
          <w:b/>
          <w:bCs/>
          <w:color w:val="1C6B4C"/>
          <w:sz w:val="26"/>
          <w:szCs w:val="26"/>
        </w:rPr>
        <w:t xml:space="preserve">8.4 Cities and city-wide partnerships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Council CEO, Cabinet Leader, Director of Place, S151 Officer, Net Zero Lead.</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Governance, investment scale and local value. Complex multi-asset estates, political accountability and long-term community obligations.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Competitive dialogue, concession and joint-venture structures, and — from 2026 — heat network zone designation with Zone Coordinators determining what is built, where and by whom.</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 integrated funded proposition: schools, social housing, heat networks, council buildings, EV and community energy under one programme rather than separate workstreams. Bristol City Leap is the strongest proof point we have.</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5432"/>
        <w:gridCol w:w="1746"/>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Competitor</w:t>
            </w:r>
          </w:p>
        </w:tc>
        <w:tc>
          <w:tcPr>
            <w:tcW w:type="dxa" w:w="543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How they come at it</w:t>
            </w:r>
          </w:p>
        </w:tc>
        <w:tc>
          <w:tcPr>
            <w:tcW w:type="dxa" w:w="174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 (EIS)</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City strategic energy partnerships (Coventry, 15 years), owned networks (Citigen), ambient networks (Silvertown/Lendlease), heat zoning positioning</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City and regional heat networks, energy centres, UK-owned local value story</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Hemiko (DIF)</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Pure-play city heat investor-developer-operator with c.£1bn to 2030</w:t>
            </w:r>
          </w:p>
        </w:tc>
        <w:tc>
          <w:tcPr>
            <w:tcW w:type="dxa" w:w="1746"/>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EfW-linked municipal heat; Ecothermal Grid with a £1bn pipeline to 2030 and £210m of 2025 UK wins; Southwark 2.0</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SSE Energy Solutions</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Networks, private wire and funded generation across council estates</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Regeneration plus retrofit plus FM across the council estate and housing stock</w:t>
            </w:r>
          </w:p>
        </w:tc>
        <w:tc>
          <w:tcPr>
            <w:tcW w:type="dxa" w:w="1746"/>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Vattenfall Heat UK (sale reported to Reinova Capital)</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Incumbent heat networks in Bristol, Midlothian and Brent Cross — and our JV partner in Bristol</w:t>
            </w:r>
          </w:p>
        </w:tc>
        <w:tc>
          <w:tcPr>
            <w:tcW w:type="dxa" w:w="174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Counterparty change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1Energy, Switch2, Metropolitan, Star Energy + Veolia (geothermal)</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network development, operation and metering/billing</w:t>
            </w:r>
          </w:p>
        </w:tc>
        <w:tc>
          <w:tcPr>
            <w:tcW w:type="dxa" w:w="1746"/>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Equitix, Amber Infrastructure, Greencoat, InfraRed, Triple Point HNIM</w:t>
            </w:r>
          </w:p>
        </w:tc>
        <w:tc>
          <w:tcPr>
            <w:tcW w:type="dxa" w:w="543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Capital that will back whichever developer wins — including our competitors</w:t>
            </w:r>
          </w:p>
        </w:tc>
        <w:tc>
          <w:tcPr>
            <w:tcW w:type="dxa" w:w="174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Funder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Ramboll, Arup, AECOM, Buro Happold, Local Partnerships</w:t>
            </w:r>
          </w:p>
        </w:tc>
        <w:tc>
          <w:tcPr>
            <w:tcW w:type="dxa" w:w="543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Zone and network design, and adviser to the council</w:t>
            </w:r>
          </w:p>
        </w:tc>
        <w:tc>
          <w:tcPr>
            <w:tcW w:type="dxa" w:w="174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Influence</w:t>
            </w:r>
          </w:p>
        </w:tc>
      </w:tr>
    </w:tbl>
    <w:p>
      <w:pPr>
        <w:pStyle w:val="Heading4"/>
        <w:spacing w:after="80" w:before="200"/>
      </w:pPr>
      <w:r>
        <w:rPr>
          <w:rFonts w:ascii="Calibri" w:cs="Calibri" w:eastAsia="Calibri" w:hAnsi="Calibri"/>
          <w:b/>
          <w:bCs/>
          <w:i/>
          <w:iCs/>
          <w:color w:val="5A5A5A"/>
          <w:sz w:val="20"/>
          <w:szCs w:val="20"/>
        </w:rPr>
        <w:t xml:space="preserve">What zoning changes</w:t>
      </w:r>
    </w:p>
    <w:p>
      <w:pPr>
        <w:spacing w:after="140" w:line="276"/>
        <w:jc w:val="left"/>
      </w:pPr>
      <w:r>
        <w:rPr>
          <w:rFonts w:ascii="Calibri" w:cs="Calibri" w:eastAsia="Calibri" w:hAnsi="Calibri"/>
          <w:i w:val="false"/>
          <w:iCs w:val="false"/>
          <w:color w:val="222222"/>
          <w:sz w:val="20"/>
          <w:szCs w:val="20"/>
        </w:rPr>
        <w:t xml:space="preserve">Six first zones have been designated — Leeds, Plymouth, </w:t>
      </w:r>
      <w:r>
        <w:rPr>
          <w:rFonts w:ascii="Calibri" w:cs="Calibri" w:eastAsia="Calibri" w:hAnsi="Calibri"/>
          <w:b/>
          <w:bCs/>
          <w:i w:val="false"/>
          <w:iCs w:val="false"/>
          <w:color w:val="222222"/>
          <w:sz w:val="20"/>
          <w:szCs w:val="20"/>
        </w:rPr>
        <w:t xml:space="preserve">Bristol</w:t>
      </w:r>
      <w:r>
        <w:rPr>
          <w:rFonts w:ascii="Calibri" w:cs="Calibri" w:eastAsia="Calibri" w:hAnsi="Calibri"/>
          <w:i w:val="false"/>
          <w:iCs w:val="false"/>
          <w:color w:val="222222"/>
          <w:sz w:val="20"/>
          <w:szCs w:val="20"/>
        </w:rPr>
        <w:t xml:space="preserve">, Stockport, Sheffield and two London areas — sharing £5.8m of development funding, with construction expected from 2026/27. Statutory instruments for zoning and for the rights and powers regime were anticipated in spring 2026, and new buildings within designated zones face heat-network-ready requirements.</w:t>
      </w:r>
    </w:p>
    <w:p>
      <w:pPr>
        <w:spacing w:after="140" w:line="276"/>
        <w:jc w:val="left"/>
      </w:pPr>
      <w:r>
        <w:rPr>
          <w:rFonts w:ascii="Calibri" w:cs="Calibri" w:eastAsia="Calibri" w:hAnsi="Calibri"/>
          <w:i w:val="false"/>
          <w:iCs w:val="false"/>
          <w:color w:val="222222"/>
          <w:sz w:val="20"/>
          <w:szCs w:val="20"/>
        </w:rPr>
        <w:t xml:space="preserve">This converts city heat from a business development market into a </w:t>
      </w:r>
      <w:r>
        <w:rPr>
          <w:rFonts w:ascii="Calibri" w:cs="Calibri" w:eastAsia="Calibri" w:hAnsi="Calibri"/>
          <w:b/>
          <w:bCs/>
          <w:i w:val="false"/>
          <w:iCs w:val="false"/>
          <w:color w:val="222222"/>
          <w:sz w:val="20"/>
          <w:szCs w:val="20"/>
        </w:rPr>
        <w:t xml:space="preserve">regulated concession market</w:t>
      </w:r>
      <w:r>
        <w:rPr>
          <w:rFonts w:ascii="Calibri" w:cs="Calibri" w:eastAsia="Calibri" w:hAnsi="Calibri"/>
          <w:i w:val="false"/>
          <w:iCs w:val="false"/>
          <w:color w:val="222222"/>
          <w:sz w:val="20"/>
          <w:szCs w:val="20"/>
        </w:rPr>
        <w:t xml:space="preserve">. Incumbency inside a zone becomes structurally valuable, and the decisions are being made now. Bristol being one of the six first zones is a material advantage to us and a target for every competitor above.</w:t>
      </w:r>
    </w:p>
    <w:p>
      <w:pPr>
        <w:pStyle w:val="Heading4"/>
        <w:spacing w:after="80" w:before="200"/>
      </w:pPr>
      <w:r>
        <w:rPr>
          <w:rFonts w:ascii="Calibri" w:cs="Calibri" w:eastAsia="Calibri" w:hAnsi="Calibri"/>
          <w:b/>
          <w:bCs/>
          <w:i/>
          <w:iCs/>
          <w:color w:val="5A5A5A"/>
          <w:sz w:val="20"/>
          <w:szCs w:val="20"/>
        </w:rPr>
        <w:t xml:space="preserve">The Bristol counterparty question — handle it before a competitor raises it</w:t>
      </w:r>
    </w:p>
    <w:p>
      <w:pPr>
        <w:spacing w:after="140" w:line="276"/>
        <w:jc w:val="left"/>
      </w:pPr>
      <w:r>
        <w:rPr>
          <w:rFonts w:ascii="Calibri" w:cs="Calibri" w:eastAsia="Calibri" w:hAnsi="Calibri"/>
          <w:i w:val="false"/>
          <w:iCs w:val="false"/>
          <w:color w:val="222222"/>
          <w:sz w:val="20"/>
          <w:szCs w:val="20"/>
        </w:rPr>
        <w:t xml:space="preserve">Vattenfall began an ownership assessment of its UK district heating business in March 2025; press reporting indicates a sale of Bristol Heat Networks, Midlothian Energy and Vattenfall Brent Cross to Reinova Capital, with the UK IDNO business separately sold to Eclipse Power (Octopus Sky Fund). At the time of writing this is reported rather than confirmed by the parties.</w:t>
      </w:r>
    </w:p>
    <w:p>
      <w:pPr>
        <w:spacing w:after="140" w:line="276"/>
        <w:jc w:val="left"/>
      </w:pPr>
      <w:r>
        <w:rPr>
          <w:rFonts w:ascii="Calibri" w:cs="Calibri" w:eastAsia="Calibri" w:hAnsi="Calibri"/>
          <w:b/>
          <w:bCs/>
          <w:i w:val="false"/>
          <w:iCs w:val="false"/>
          <w:color w:val="222222"/>
          <w:sz w:val="20"/>
          <w:szCs w:val="20"/>
        </w:rPr>
        <w:t xml:space="preserve">Competitors will use this in city pursuits.</w:t>
      </w:r>
      <w:r>
        <w:rPr>
          <w:rFonts w:ascii="Calibri" w:cs="Calibri" w:eastAsia="Calibri" w:hAnsi="Calibri"/>
          <w:i w:val="false"/>
          <w:iCs w:val="false"/>
          <w:color w:val="222222"/>
          <w:sz w:val="20"/>
          <w:szCs w:val="20"/>
        </w:rPr>
        <w:t xml:space="preserve"> The line needs to be agreed centrally, said confidently and said first: the City Leap partnership is a contracted twenty-year structure with Bristol City Council; Ameresco's commitment, capital and obligations are unchanged; a change in a partner's shareholder is a normal event in twenty-year infrastructure and the partnership is designed to survive it. Then move immediately to delivery evidence: expected to exceed the £424m of low carbon delivery set out in the bid by the end of the first five years, £15m of social value generated, £10m invested in energy efficiency for households at risk of fuel poverty, a community energy fund with £750,000 from each partner, and a new 1MW air source heat pump energy centre joining the network from autumn 2026.</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Show the whole city system under one programme. Every competitor above can do a heat network; almost none can do schools, housing, buildings, EV, community energy and heat together.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Lead with governance and political risk management, not technology. Councils fail on governance more often than on engineering.</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Quantify local value with mechanisms, not adjectives — the Bristol social value numbers are the strongest evidence in the market.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Engage before zone designation. Once a Zone Coordinator has appointed a delivery partner, the market is closed for twenty years.</w:t>
      </w:r>
    </w:p>
    <w:p>
      <w:r>
        <w:br w:type="page"/>
      </w:r>
    </w:p>
    <w:p>
      <w:pPr>
        <w:pStyle w:val="Heading2"/>
        <w:spacing w:after="140" w:before="340"/>
      </w:pPr>
      <w:r>
        <w:rPr>
          <w:rFonts w:ascii="Calibri" w:cs="Calibri" w:eastAsia="Calibri" w:hAnsi="Calibri"/>
          <w:b/>
          <w:bCs/>
          <w:color w:val="1C6B4C"/>
          <w:sz w:val="26"/>
          <w:szCs w:val="26"/>
        </w:rPr>
        <w:t xml:space="preserve">8.5 Data Centres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DC Development Directors, Hyperscaler Energy Procurement, Colocation Infrastructure Leads.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Speed to power, resilience and grid mitigation. Planning, land, connection and heat export at development stage.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Bilateral development agreements, PPAs, private wire agreements, connection agreements. Not frameworks.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 on grid capacity, land, power resilience, planning and energy infrastructure funding. </w:t>
            </w:r>
            <w:r>
              <w:rPr>
                <w:rFonts w:ascii="Calibri" w:cs="Calibri" w:eastAsia="Calibri" w:hAnsi="Calibri"/>
                <w:b/>
                <w:bCs/>
                <w:i w:val="false"/>
                <w:iCs w:val="false"/>
                <w:color w:val="222222"/>
                <w:sz w:val="17"/>
                <w:szCs w:val="17"/>
              </w:rPr>
              <w:t xml:space="preserve">Partner on internal critical infrastructure — do not compete.</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The competitor set is not who you would expect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850"/>
        <w:gridCol w:w="2134"/>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85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bring</w:t>
            </w:r>
          </w:p>
        </w:tc>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Compete or partner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Octopus Energy</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PPA, flexibility, supply and increasingly network via Eclipse Power (Octopus Sky Fund) which acquired Vattenfall Networks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EDF</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Baseload PPA, nuclear provenance, supply</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PPA, private wire, on-site generation</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SSE Energy Solutions</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Private wire, off-site land, networks and connections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ENGIE (with UK Power Networks)</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Regulated network ownership in exactly the geography where demand is concentrated</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 — and increasingly decisive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Statera, NatPower, Fidra, Eku</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Co-located generation and storage, land with queue positions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Aggreko</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Modular microgrids and bridging power for the gap between demand and grid</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Rolls-Royce mtu, Caterpillar/Finning, Cummins, Kohler</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Standby and prime power generation</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Vertiv, Eaton, Schneider Electric, ABB</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UPS, switchgear, power train, cooling</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Mercury Engineering, Winthrop Technologies, Kirby Group, Dornan (Turner), Collen, Designer Group, Ethos</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Critical MEP and turnkey data centre delivery — an established, hyperscaler-trusted ecosystem</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do not compete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Keysource (Salute), Sudlows, Comtec, RED Engineering, Arup</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Design, commissioning and consultancy</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Hemiko</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Selected as developer on a first-of-a-kind UK data centre waste heat network — the heat export play</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Vattenfall Heat UK / successor, Veolia, Vital Energi</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offtake and district heating for waste heat export</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bl>
    <w:p>
      <w:pPr>
        <w:pStyle w:val="Heading4"/>
        <w:spacing w:after="80" w:before="200"/>
      </w:pPr>
      <w:r>
        <w:rPr>
          <w:rFonts w:ascii="Calibri" w:cs="Calibri" w:eastAsia="Calibri" w:hAnsi="Calibri"/>
          <w:b/>
          <w:bCs/>
          <w:i/>
          <w:iCs/>
          <w:color w:val="5A5A5A"/>
          <w:sz w:val="20"/>
          <w:szCs w:val="20"/>
        </w:rPr>
        <w:t xml:space="preserve">The structural read</w:t>
      </w:r>
    </w:p>
    <w:p>
      <w:pPr>
        <w:spacing w:after="140" w:line="276"/>
        <w:jc w:val="left"/>
      </w:pPr>
      <w:r>
        <w:rPr>
          <w:rFonts w:ascii="Calibri" w:cs="Calibri" w:eastAsia="Calibri" w:hAnsi="Calibri"/>
          <w:i w:val="false"/>
          <w:iCs w:val="false"/>
          <w:color w:val="222222"/>
          <w:sz w:val="20"/>
          <w:szCs w:val="20"/>
        </w:rPr>
        <w:t xml:space="preserve">Around 140 proposed UK data centres have requested approximately 50GW of grid connection capacity against a national peak of roughly 45GW, and high-capacity connections take over a year to secure even once approved. AI Growth Zones — Culham designated first, with further sites expected near existing transmission capacity — give priority connection access and the right for developers to build their own high-voltage lines and substations. The UK framework permits private wire and bilateral PPAs, letting generators sell directly to large end users.</w:t>
      </w:r>
    </w:p>
    <w:p>
      <w:pPr>
        <w:spacing w:after="140" w:line="276"/>
        <w:jc w:val="left"/>
      </w:pPr>
      <w:r>
        <w:rPr>
          <w:rFonts w:ascii="Calibri" w:cs="Calibri" w:eastAsia="Calibri" w:hAnsi="Calibri"/>
          <w:i w:val="false"/>
          <w:iCs w:val="false"/>
          <w:color w:val="222222"/>
          <w:sz w:val="20"/>
          <w:szCs w:val="20"/>
        </w:rPr>
        <w:t xml:space="preserve">The consequence is that </w:t>
      </w:r>
      <w:r>
        <w:rPr>
          <w:rFonts w:ascii="Calibri" w:cs="Calibri" w:eastAsia="Calibri" w:hAnsi="Calibri"/>
          <w:b/>
          <w:bCs/>
          <w:i w:val="false"/>
          <w:iCs w:val="false"/>
          <w:color w:val="222222"/>
          <w:sz w:val="20"/>
          <w:szCs w:val="20"/>
        </w:rPr>
        <w:t xml:space="preserve">this segment is won on scarcity, not service</w:t>
      </w:r>
      <w:r>
        <w:rPr>
          <w:rFonts w:ascii="Calibri" w:cs="Calibri" w:eastAsia="Calibri" w:hAnsi="Calibri"/>
          <w:i w:val="false"/>
          <w:iCs w:val="false"/>
          <w:color w:val="222222"/>
          <w:sz w:val="20"/>
          <w:szCs w:val="20"/>
        </w:rPr>
        <w:t xml:space="preserve">. Whoever controls land with a connection, or can deliver private wire and on-site generation fast, sets the terms. Our positioning line holds and is worth repeating verbatim: data centres do not have a power problem, they have an energy infrastructure problem.</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Lead with grid mitigation, private wire, funded connection infrastructure and heat export economics — the things that de-risk a development.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Use Cellarhead and Sonnedix as evidence of nationally significant infrastructure delivery. This is the segment where those credentials land hardest.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Partner deliberately and early with the critical MEP ecosystem. Competing with Mercury, Winthrop, Kirby or Dornan on white space is a losing position and damages our standing as a partner.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Heat export is a genuine differentiator and a bridge to the Cities segment — but note Hemiko has moved first on a first-of-a-kind scheme.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Track AI Growth Zone designations closely; the zones effectively pre-select where this market exists.</w:t>
      </w:r>
    </w:p>
    <w:p>
      <w:r>
        <w:br w:type="page"/>
      </w:r>
    </w:p>
    <w:p>
      <w:pPr>
        <w:pStyle w:val="Heading2"/>
        <w:spacing w:after="140" w:before="340"/>
      </w:pPr>
      <w:r>
        <w:rPr>
          <w:rFonts w:ascii="Calibri" w:cs="Calibri" w:eastAsia="Calibri" w:hAnsi="Calibri"/>
          <w:b/>
          <w:bCs/>
          <w:color w:val="1C6B4C"/>
          <w:sz w:val="26"/>
          <w:szCs w:val="26"/>
        </w:rPr>
        <w:t xml:space="preserve">8.6 Social Housing &amp; Schools Retrofit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 association Asset Directors, Council Housing and Property leads, Multi-Academy Trust and school business managers, DfE.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C targets, fuel poverty, damp and mould liability, grant compliance (PAS 2035), and a maintenance backlog with no capital.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Frameworks and grant-linked programmes — Warm Homes: Social Housing Fund (Wave 3, c.£1.2bn 2025–28, within a £15bn Warm Homes Plan targeting up to 5 million homes by 2030), PfH (including a £480m repairs and disrepair framework), LHC retrofit and decarbonisation frameworks, Efficiency North, Fusion21.</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Narrow, and it should stay narrow.</w:t>
            </w:r>
            <w:r>
              <w:rPr>
                <w:rFonts w:ascii="Calibri" w:cs="Calibri" w:eastAsia="Calibri" w:hAnsi="Calibri"/>
                <w:i w:val="false"/>
                <w:iCs w:val="false"/>
                <w:color w:val="222222"/>
                <w:sz w:val="17"/>
                <w:szCs w:val="17"/>
              </w:rPr>
              <w:t xml:space="preserve"> Access this segment inside city-wide programmes — as Bristol City Leap does — rather than as a standalone retrofit contractor.</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850"/>
        <w:gridCol w:w="2134"/>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Competitor</w:t>
            </w:r>
          </w:p>
        </w:tc>
        <w:tc>
          <w:tcPr>
            <w:tcW w:type="dxa" w:w="485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Position</w:t>
            </w:r>
          </w:p>
        </w:tc>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to us</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Market-leading retrofit coordinator and deliverer; Retrofit Coordination Company of the Year 2026; on all four lots of the £480m PfH framework</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(in city programmes)</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Sureserve Group</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End-to-end retrofit from funding and design to installation at scale; PE-owned</w:t>
            </w:r>
          </w:p>
        </w:tc>
        <w:tc>
          <w:tcPr>
            <w:tcW w:type="dxa" w:w="2134"/>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United Living</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SHDF assessment through to installation; major framework positions</w:t>
            </w:r>
          </w:p>
        </w:tc>
        <w:tc>
          <w:tcPr>
            <w:tcW w:type="dxa" w:w="2134"/>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Fortem (Willmott Dixon), Mears, Wates, Novus, Ian Williams, Bell Group, Morgan Sindall Property Services, Lovell</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Volume housing maintenance and retrofit contractors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 British Gas/Centrica, Warmworks</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ECO and grant-funded measure delivery at household level</w:t>
            </w:r>
          </w:p>
        </w:tc>
        <w:tc>
          <w:tcPr>
            <w:tcW w:type="dxa" w:w="2134"/>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Sustainable Building Services, Melius Homes, AgilityEco</w:t>
            </w:r>
          </w:p>
        </w:tc>
        <w:tc>
          <w:tcPr>
            <w:tcW w:type="dxa" w:w="485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specialists and grant delivery partners</w:t>
            </w:r>
          </w:p>
        </w:tc>
        <w:tc>
          <w:tcPr>
            <w:tcW w:type="dxa" w:w="2134"/>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Kensa, Clade, Vaillant, Mitsubishi, Daikin, Ideal</w:t>
            </w:r>
          </w:p>
        </w:tc>
        <w:tc>
          <w:tcPr>
            <w:tcW w:type="dxa" w:w="485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pump manufacture and shared ground loop infrastructure</w:t>
            </w:r>
          </w:p>
        </w:tc>
        <w:tc>
          <w:tcPr>
            <w:tcW w:type="dxa" w:w="2134"/>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bl>
    <w:p>
      <w:pPr>
        <w:pStyle w:val="Heading4"/>
        <w:spacing w:after="80" w:before="200"/>
      </w:pPr>
      <w:r>
        <w:rPr>
          <w:rFonts w:ascii="Calibri" w:cs="Calibri" w:eastAsia="Calibri" w:hAnsi="Calibri"/>
          <w:b/>
          <w:bCs/>
          <w:i/>
          <w:iCs/>
          <w:color w:val="5A5A5A"/>
          <w:sz w:val="20"/>
          <w:szCs w:val="20"/>
        </w:rPr>
        <w:t xml:space="preserve">Honest assessment</w:t>
      </w:r>
    </w:p>
    <w:p>
      <w:pPr>
        <w:spacing w:after="140" w:line="276"/>
        <w:jc w:val="left"/>
      </w:pPr>
      <w:r>
        <w:rPr>
          <w:rFonts w:ascii="Calibri" w:cs="Calibri" w:eastAsia="Calibri" w:hAnsi="Calibri"/>
          <w:i w:val="false"/>
          <w:iCs w:val="false"/>
          <w:color w:val="222222"/>
          <w:sz w:val="20"/>
          <w:szCs w:val="20"/>
        </w:rPr>
        <w:t xml:space="preserve">This is not an Ameresco market on its own terms. It is a volume, labour-margin, grant-compliance business where the winners have thousands of operatives and PAS 2035 machinery. Across the Warm Homes: Social Housing Fund, solar PV is the single most common measure at around 42% of installations, insulation around 36% and low carbon heating around 13% — a measure-counting programme, not a systems programme.</w:t>
      </w:r>
    </w:p>
    <w:p>
      <w:pPr>
        <w:spacing w:after="140" w:line="276"/>
        <w:jc w:val="left"/>
      </w:pPr>
      <w:r>
        <w:rPr>
          <w:rFonts w:ascii="Calibri" w:cs="Calibri" w:eastAsia="Calibri" w:hAnsi="Calibri"/>
          <w:b/>
          <w:bCs/>
          <w:i w:val="false"/>
          <w:iCs w:val="false"/>
          <w:color w:val="222222"/>
          <w:sz w:val="20"/>
          <w:szCs w:val="20"/>
        </w:rPr>
        <w:t xml:space="preserve">Where it does matter to us is inside city programmes.</w:t>
      </w:r>
      <w:r>
        <w:rPr>
          <w:rFonts w:ascii="Calibri" w:cs="Calibri" w:eastAsia="Calibri" w:hAnsi="Calibri"/>
          <w:i w:val="false"/>
          <w:iCs w:val="false"/>
          <w:color w:val="222222"/>
          <w:sz w:val="20"/>
          <w:szCs w:val="20"/>
        </w:rPr>
        <w:t xml:space="preserve"> A council or city partnership that wants schools, social housing, heat and council buildings under one governance structure needs somebody who can hold the whole thing together — and that is exactly the Bristol City Leap shape. Compete for the programme; subcontract the volume.</w:t>
      </w:r>
    </w:p>
    <w:p>
      <w:pPr>
        <w:pStyle w:val="Heading4"/>
        <w:spacing w:after="80" w:before="200"/>
      </w:pPr>
      <w:r>
        <w:rPr>
          <w:rFonts w:ascii="Calibri" w:cs="Calibri" w:eastAsia="Calibri" w:hAnsi="Calibri"/>
          <w:b/>
          <w:bCs/>
          <w:i/>
          <w:iCs/>
          <w:color w:val="5A5A5A"/>
          <w:sz w:val="20"/>
          <w:szCs w:val="20"/>
        </w:rPr>
        <w:t xml:space="preserve">How to land it here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Bid it only as a workstream inside a wider funded programme, never as a standalone retrofit tender.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Partner with volume retrofit contractors rather than building the capability.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Use the fuel poverty and social value mechanism from Bristol — £10m of energy efficiency investment for households at risk of fuel poverty — as the credibility bridge into housing conversations.</w:t>
      </w:r>
    </w:p>
    <w:p>
      <w:r>
        <w:br w:type="page"/>
      </w:r>
    </w:p>
    <w:p>
      <w:pPr>
        <w:pStyle w:val="Heading2"/>
        <w:spacing w:after="140" w:before="340"/>
      </w:pPr>
      <w:r>
        <w:rPr>
          <w:rFonts w:ascii="Calibri" w:cs="Calibri" w:eastAsia="Calibri" w:hAnsi="Calibri"/>
          <w:b/>
          <w:bCs/>
          <w:color w:val="1C6B4C"/>
          <w:sz w:val="26"/>
          <w:szCs w:val="26"/>
        </w:rPr>
        <w:t xml:space="preserve">8.7 EV Infrastructure &amp; Fleet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7178"/>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Attribute</w:t>
            </w:r>
          </w:p>
        </w:tc>
        <w:tc>
          <w:tcPr>
            <w:tcW w:type="dxa" w:w="717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The buyer</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Fleet Directors, Depot and Operations Managers, Local authority transport leads, Bus and logistics operators.</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Lead pain</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Depot power capacity, capital cost of chargers and vehicles, grid connection lead times, and uptime risk on operational fleets.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How it is bought</w:t>
            </w:r>
          </w:p>
        </w:tc>
        <w:tc>
          <w:tcPr>
            <w:tcW w:type="dxa" w:w="717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platform deals, concession agreements (public charging), framework call-offs, and increasingly bundled vehicle-plus-infrastructure financing.</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Our lane</w:t>
            </w:r>
          </w:p>
        </w:tc>
        <w:tc>
          <w:tcPr>
            <w:tcW w:type="dxa" w:w="717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EV as a workstream inside an estate or city programme — depot electrification alongside generation, storage and grid works — not as a standalone charging business.</w:t>
            </w:r>
          </w:p>
        </w:tc>
      </w:tr>
    </w:tbl>
    <w:p>
      <w:pPr>
        <w:spacing w:after="60"/>
      </w:pPr>
      <w:r>
        <w:t xml:space="preserve"/>
      </w:r>
    </w:p>
    <w:p>
      <w:pPr>
        <w:pStyle w:val="Heading4"/>
        <w:spacing w:after="80" w:before="200"/>
      </w:pPr>
      <w:r>
        <w:rPr>
          <w:rFonts w:ascii="Calibri" w:cs="Calibri" w:eastAsia="Calibri" w:hAnsi="Calibri"/>
          <w:b/>
          <w:bCs/>
          <w:i/>
          <w:iCs/>
          <w:color w:val="5A5A5A"/>
          <w:sz w:val="20"/>
          <w:szCs w:val="20"/>
        </w:rPr>
        <w:t xml:space="preserve">Competitor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656"/>
        <w:gridCol w:w="2328"/>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65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Model</w:t>
            </w:r>
          </w:p>
        </w:tc>
        <w:tc>
          <w:tcPr>
            <w:tcW w:type="dxa" w:w="232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Relevance to us</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Zenobe</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Funds, owns and operates vehicles, chargers and energy management; £3.2bn+ raised; £980m 2026 platform financing for 1,200+ buses</w:t>
            </w:r>
          </w:p>
        </w:tc>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 in depot electrification</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Believ (Liberty Global / Zouk)</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public charging concessions with local authorities</w:t>
            </w:r>
          </w:p>
        </w:tc>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(city programmes)</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Connected Kerb (Aviva-backed)</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On-street and destination charging under long concessions</w:t>
            </w:r>
          </w:p>
        </w:tc>
        <w:tc>
          <w:tcPr>
            <w:tcW w:type="dxa" w:w="2328"/>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SWARCO Smart Charging, Mer (Statkraft), char.gy, ubitricity (Shell)</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On-street and residential charging concessions</w:t>
            </w:r>
          </w:p>
        </w:tc>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bp pulse, InstaVolt (EQT), Osprey, Gridserve (Infracapital), Pod Point (EDF)</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rapid charging networks</w:t>
            </w:r>
          </w:p>
        </w:tc>
        <w:tc>
          <w:tcPr>
            <w:tcW w:type="dxa" w:w="2328"/>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Voltempo, Milence, Paua</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Heavy fleet and HGV charging</w:t>
            </w:r>
          </w:p>
        </w:tc>
        <w:tc>
          <w:tcPr>
            <w:tcW w:type="dxa" w:w="2328"/>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Mitie (Rock Power), OCU, Freedom Networks, GTC, Eclipse Power</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Depot grid connections and HV infrastructure</w:t>
            </w:r>
          </w:p>
        </w:tc>
        <w:tc>
          <w:tcPr>
            <w:tcW w:type="dxa" w:w="2328"/>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 Amey, SSE</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Depot electrification within wider contracts</w:t>
            </w:r>
          </w:p>
        </w:tc>
        <w:tc>
          <w:tcPr>
            <w:tcW w:type="dxa" w:w="2328"/>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bl>
    <w:p>
      <w:pPr>
        <w:pStyle w:val="Heading4"/>
        <w:spacing w:after="80" w:before="200"/>
      </w:pPr>
      <w:r>
        <w:rPr>
          <w:rFonts w:ascii="Calibri" w:cs="Calibri" w:eastAsia="Calibri" w:hAnsi="Calibri"/>
          <w:b/>
          <w:bCs/>
          <w:i/>
          <w:iCs/>
          <w:color w:val="5A5A5A"/>
          <w:sz w:val="20"/>
          <w:szCs w:val="20"/>
        </w:rPr>
        <w:t xml:space="preserve">Honest assessment</w:t>
      </w:r>
    </w:p>
    <w:p>
      <w:pPr>
        <w:spacing w:after="140" w:line="276"/>
        <w:jc w:val="left"/>
      </w:pPr>
      <w:r>
        <w:rPr>
          <w:rFonts w:ascii="Calibri" w:cs="Calibri" w:eastAsia="Calibri" w:hAnsi="Calibri"/>
          <w:i w:val="false"/>
          <w:iCs w:val="false"/>
          <w:color w:val="222222"/>
          <w:sz w:val="20"/>
          <w:szCs w:val="20"/>
        </w:rPr>
        <w:t xml:space="preserve">Zenobe has effectively defined the funded model in this segment and has raised capital at a scale that makes head-on competition on bus and coach depots unattractive. The credible Ameresco position is </w:t>
      </w:r>
      <w:r>
        <w:rPr>
          <w:rFonts w:ascii="Calibri" w:cs="Calibri" w:eastAsia="Calibri" w:hAnsi="Calibri"/>
          <w:b/>
          <w:bCs/>
          <w:i w:val="false"/>
          <w:iCs w:val="false"/>
          <w:color w:val="222222"/>
          <w:sz w:val="20"/>
          <w:szCs w:val="20"/>
        </w:rPr>
        <w:t xml:space="preserve">depot electrification as part of a larger estate or city energy programme</w:t>
      </w:r>
      <w:r>
        <w:rPr>
          <w:rFonts w:ascii="Calibri" w:cs="Calibri" w:eastAsia="Calibri" w:hAnsi="Calibri"/>
          <w:i w:val="false"/>
          <w:iCs w:val="false"/>
          <w:color w:val="222222"/>
          <w:sz w:val="20"/>
          <w:szCs w:val="20"/>
        </w:rPr>
        <w:t xml:space="preserve"> — where the customer needs the connection, the on-site generation, the storage and the chargers solved together, and where the charging alone is too small to interest a specialist platform.</w:t>
      </w:r>
    </w:p>
    <w:p>
      <w:pPr>
        <w:spacing w:after="140" w:line="276"/>
        <w:jc w:val="left"/>
      </w:pPr>
      <w:r>
        <w:rPr>
          <w:rFonts w:ascii="Calibri" w:cs="Calibri" w:eastAsia="Calibri" w:hAnsi="Calibri"/>
          <w:i w:val="false"/>
          <w:iCs w:val="false"/>
          <w:color w:val="222222"/>
          <w:sz w:val="20"/>
          <w:szCs w:val="20"/>
        </w:rPr>
        <w:t xml:space="preserve">Public on-street charging concessions are a different business — long, capital-intensive, local-authority-facing — and are best treated as a partnering opportunity inside city programmes rather than a market to enter.</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9. Technology-component competitors: the partial players</w:t>
      </w:r>
    </w:p>
    <w:p>
      <w:pPr>
        <w:spacing w:after="140" w:line="276"/>
        <w:jc w:val="left"/>
      </w:pPr>
      <w:r>
        <w:rPr>
          <w:rFonts w:ascii="Calibri" w:cs="Calibri" w:eastAsia="Calibri" w:hAnsi="Calibri"/>
          <w:i w:val="false"/>
          <w:iCs w:val="false"/>
          <w:color w:val="222222"/>
          <w:sz w:val="20"/>
          <w:szCs w:val="20"/>
        </w:rPr>
        <w:t xml:space="preserve">Ameresco is technology agnostic, which means almost every specialist in this section is simultaneously a potential subcontractor, a potential partner and a potential competitor. They become competitors at the moment a buyer decides to procure a technology instead of a programme.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The rule for this section</w:t>
            </w:r>
          </w:p>
          <w:p>
            <w:pPr>
              <w:spacing w:after="0"/>
            </w:pPr>
            <w:r>
              <w:rPr>
                <w:rFonts w:ascii="Calibri" w:cs="Calibri" w:eastAsia="Calibri" w:hAnsi="Calibri"/>
                <w:i w:val="false"/>
                <w:iCs w:val="false"/>
                <w:color w:val="222222"/>
                <w:sz w:val="19"/>
                <w:szCs w:val="19"/>
              </w:rPr>
              <w:t xml:space="preserve">A component specialist is only dangerous when the scope has already been narrowed to their component. </w:t>
            </w:r>
            <w:r>
              <w:rPr>
                <w:rFonts w:ascii="Calibri" w:cs="Calibri" w:eastAsia="Calibri" w:hAnsi="Calibri"/>
                <w:b/>
                <w:bCs/>
                <w:i w:val="false"/>
                <w:iCs w:val="false"/>
                <w:color w:val="222222"/>
                <w:sz w:val="19"/>
                <w:szCs w:val="19"/>
              </w:rPr>
              <w:t xml:space="preserve">The competitive act is therefore upstream — in how the requirement is framed — not at tender stage.</w:t>
            </w:r>
            <w:r>
              <w:rPr>
                <w:rFonts w:ascii="Calibri" w:cs="Calibri" w:eastAsia="Calibri" w:hAnsi="Calibri"/>
                <w:i w:val="false"/>
                <w:iCs w:val="false"/>
                <w:color w:val="222222"/>
                <w:sz w:val="19"/>
                <w:szCs w:val="19"/>
              </w:rPr>
              <w:t xml:space="preserve"> By the time a solar-only tender is issued, we have already lost or already decided not to play.</w:t>
            </w:r>
          </w:p>
        </w:tc>
      </w:tr>
    </w:tbl>
    <w:p>
      <w:pPr>
        <w:pStyle w:val="Heading2"/>
        <w:spacing w:after="140" w:before="340"/>
      </w:pPr>
      <w:r>
        <w:rPr>
          <w:rFonts w:ascii="Calibri" w:cs="Calibri" w:eastAsia="Calibri" w:hAnsi="Calibri"/>
          <w:b/>
          <w:bCs/>
          <w:color w:val="1C6B4C"/>
          <w:sz w:val="26"/>
          <w:szCs w:val="26"/>
        </w:rPr>
        <w:t xml:space="preserve">9.1 Solar PV — rooftop, ground-mount and funded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Lightsource bp</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Largest UK solar developer-owner; ownership in flux following bp's process to sell a c.50% stake</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compete (grid-scale)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Belectric</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Global EPC; c.210MWp UK contract with Severn Trent Green Power from March 2026; UK global BESS centre of excellence</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(EPC)</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Anesco</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Vertically integrated EPC with ICP capability and O&amp;M across solar and BESS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(EPC)</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Ethical Power / Ethical Power Connections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and balance of plant; over 1GW of grid connections delivered</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(EPC)</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Custom Solar (Mitie)</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Commercial and public sector rooftop and ground-mount; defence estate work</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Voltalia, BSR, RES, Enviromena</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and O&amp;M contractors</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Atrato Onsite Energy</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on-site solar for commercial customers — closest to our behind-the-meter funding model in solar alone</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Geo Green Power, Absolute Solar &amp; Wind, AEG, regional installers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Commercial rooftop EPC at keen prices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(disaggregation)</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NextEnergy Capital, Foresight Solar, Bluefield, Low Carbon, Octopus Energy Generation, Elgin Energy, Enso Energy, Island Green Power</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Developers and fund owners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Client / funder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Statkraft (ex-Solarcentury)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 and PPA offtaker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Both</w:t>
            </w:r>
          </w:p>
        </w:tc>
      </w:tr>
    </w:tbl>
    <w:p>
      <w:pPr>
        <w:pStyle w:val="Heading2"/>
        <w:spacing w:after="140" w:before="340"/>
      </w:pPr>
      <w:r>
        <w:rPr>
          <w:rFonts w:ascii="Calibri" w:cs="Calibri" w:eastAsia="Calibri" w:hAnsi="Calibri"/>
          <w:b/>
          <w:bCs/>
          <w:color w:val="1C6B4C"/>
          <w:sz w:val="26"/>
          <w:szCs w:val="26"/>
        </w:rPr>
        <w:t xml:space="preserve">9.2 Battery energy storage (BESS)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Zenobe</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300MW/600MWh Kilmarnock online early 2026; 1,100MW+ contracted; targeting 1.2GW by 2027</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(developer-owner)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Statera Energy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 acquired the 680MW Carrington project January 2025</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Harmony Energy, Field, Eku Energy (Macquarie), Fidra Energy, NatPower UK, Penso Power, Root-Power, Pacific Green</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Developer-owners across the GB pipeline</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Client / 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Gresham House Energy Storage Fund</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Listed owner of operating BESS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Client / funder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Wärtsilä, Fluence, Tesla, Sungrow, BYD, CATL, Trina Storage, Envision</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Integrators and suppliers, increasingly offering full-wrap delivery</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 / 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Belectric, Anesco, Ethical Power, G2 Energy (Mitie)</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BESS EPC and balance of plant</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(EPC)</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Powerstar, Connected Energy</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Behind-the-meter industrial storage, voltage optimisation, second-life batteries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(I&amp;C disaggregation)</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Modo Energy, Habitat, Flexitricity, Limejump, Axle</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Optimisers and route to market</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bl>
    <w:p>
      <w:pPr>
        <w:spacing w:after="140" w:line="276"/>
        <w:jc w:val="left"/>
      </w:pPr>
      <w:r>
        <w:rPr>
          <w:rFonts w:ascii="Calibri" w:cs="Calibri" w:eastAsia="Calibri" w:hAnsi="Calibri"/>
          <w:b/>
          <w:bCs/>
          <w:i w:val="false"/>
          <w:iCs w:val="false"/>
          <w:color w:val="222222"/>
          <w:sz w:val="20"/>
          <w:szCs w:val="20"/>
        </w:rPr>
        <w:t xml:space="preserve">Note on our position:</w:t>
      </w:r>
      <w:r>
        <w:rPr>
          <w:rFonts w:ascii="Calibri" w:cs="Calibri" w:eastAsia="Calibri" w:hAnsi="Calibri"/>
          <w:i w:val="false"/>
          <w:iCs w:val="false"/>
          <w:color w:val="222222"/>
          <w:sz w:val="20"/>
          <w:szCs w:val="20"/>
        </w:rPr>
        <w:t xml:space="preserve"> Cellarhead (300MW / 624MWh, £196.5m) sits at the top end of UK BESS delivery. But the EPC market is broadening quickly — Belectric, Anesco and Ethical Power all now have credible large-scale references, and both full-wrap EPC and multi-contracting models remain viable for clients, which erodes the premium for a single accountable contractor. Expect continued margin compression.</w:t>
      </w:r>
    </w:p>
    <w:p>
      <w:pPr>
        <w:pStyle w:val="Heading2"/>
        <w:spacing w:after="140" w:before="340"/>
      </w:pPr>
      <w:r>
        <w:rPr>
          <w:rFonts w:ascii="Calibri" w:cs="Calibri" w:eastAsia="Calibri" w:hAnsi="Calibri"/>
          <w:b/>
          <w:bCs/>
          <w:color w:val="1C6B4C"/>
          <w:sz w:val="26"/>
          <w:szCs w:val="26"/>
        </w:rPr>
        <w:t xml:space="preserve">9.3 CHP, engines and thermal generation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Clarke Energy</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Jenbacher (Kohler) distributor and EPC; the dominant UK gas engine integrator</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Edina</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MWM engine distributor, CHP and BESS packages, O&amp;M</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Business Solutions</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Hydrogen-ready CHP within funded packages</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 Vital Energi, Dalkia, E.ON</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CHP within energy centres and heat networks</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Finning (Caterpillar), Cummins, Rolls-Royce mtu, Kohler, 2G Energy, Bosch</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Engine and package supply, standby and prime power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 / 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ENER-G / legacy cogeneration providers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CHP supply and maintenance</w:t>
            </w:r>
          </w:p>
        </w:tc>
        <w:tc>
          <w:tcPr>
            <w:tcW w:type="dxa" w:w="2522"/>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bl>
    <w:p>
      <w:pPr>
        <w:spacing w:after="140" w:line="276"/>
        <w:jc w:val="left"/>
      </w:pPr>
      <w:r>
        <w:rPr>
          <w:rFonts w:ascii="Calibri" w:cs="Calibri" w:eastAsia="Calibri" w:hAnsi="Calibri"/>
          <w:i w:val="false"/>
          <w:iCs w:val="false"/>
          <w:color w:val="222222"/>
          <w:sz w:val="20"/>
          <w:szCs w:val="20"/>
        </w:rPr>
        <w:t xml:space="preserve">The strategic framing here matters more than the competitor list. Existing CHP fleets are a decarbonisation liability and a commercial opportunity: </w:t>
      </w:r>
      <w:r>
        <w:rPr>
          <w:rFonts w:ascii="Calibri" w:cs="Calibri" w:eastAsia="Calibri" w:hAnsi="Calibri"/>
          <w:b/>
          <w:bCs/>
          <w:i w:val="false"/>
          <w:iCs w:val="false"/>
          <w:color w:val="222222"/>
          <w:sz w:val="20"/>
          <w:szCs w:val="20"/>
        </w:rPr>
        <w:t xml:space="preserve">CHP transition — replacing or repurposing gas cogeneration with heat pumps, electrification and network heat — is a programme-shaped problem that suits our model and does not suit an engine distributor.</w:t>
      </w:r>
      <w:r>
        <w:rPr>
          <w:rFonts w:ascii="Calibri" w:cs="Calibri" w:eastAsia="Calibri" w:hAnsi="Calibri"/>
          <w:i w:val="false"/>
          <w:iCs w:val="false"/>
          <w:color w:val="222222"/>
          <w:sz w:val="20"/>
          <w:szCs w:val="20"/>
        </w:rPr>
        <w:t xml:space="preserve"> Lead with transition, not with plant.</w:t>
      </w:r>
    </w:p>
    <w:p>
      <w:pPr>
        <w:pStyle w:val="Heading2"/>
        <w:spacing w:after="140" w:before="340"/>
      </w:pPr>
      <w:r>
        <w:rPr>
          <w:rFonts w:ascii="Calibri" w:cs="Calibri" w:eastAsia="Calibri" w:hAnsi="Calibri"/>
          <w:b/>
          <w:bCs/>
          <w:color w:val="1C6B4C"/>
          <w:sz w:val="26"/>
          <w:szCs w:val="26"/>
        </w:rPr>
        <w:t xml:space="preserve">9.4 Heat pumps, at commercial and district scale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Large-scale water and air source heat pump energy centres</w:t>
            </w:r>
          </w:p>
        </w:tc>
        <w:tc>
          <w:tcPr>
            <w:tcW w:type="dxa" w:w="2522"/>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Star Refrigeration / Star Renewable Energy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High-temperature ammonia heat pumps for district heating and industrial process heat</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Kensa Group</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UK's leading ground source manufacturer; shared ground loop arrays and networked heat pump infrastructure, including investor-funded network models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Mitsubishi Electric, Daikin, Vaillant, Ideal Heating, Baxi, Clade Engineering</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Manufacture and commercial supply</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Dalkia, EQUANS, Mitie, Sureserve</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Installation at estate and housing volume</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 Veolia, Hemiko</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pumps as the generation layer in networks and ambient grids</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bl>
    <w:p>
      <w:pPr>
        <w:pStyle w:val="Heading2"/>
        <w:spacing w:after="140" w:before="340"/>
      </w:pPr>
      <w:r>
        <w:rPr>
          <w:rFonts w:ascii="Calibri" w:cs="Calibri" w:eastAsia="Calibri" w:hAnsi="Calibri"/>
          <w:b/>
          <w:bCs/>
          <w:color w:val="1C6B4C"/>
          <w:sz w:val="26"/>
          <w:szCs w:val="26"/>
        </w:rPr>
        <w:t xml:space="preserve">9.5 Geothermal and deep heat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Geothermal Engineering Ltd (GEL)</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Deep geothermal in Cornwall — the UK's most advanced deep geothermal developer</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Star Energy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Signed an MoU with Veolia to jointly develop large-scale geothermal heating for district heating, commercial property, hospitals, education campuses and industrial process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(via Veolia)</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GT Energy</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Deep geothermal heat for district heating</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Kensa, Rendesco, Erda Energy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Shallow geothermal, shared ground loops and ground energy systems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CeraPhi Energy, Town Rock Energy</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Repurposed wells and shallow/deep geothermal engineering</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bl>
    <w:p>
      <w:pPr>
        <w:spacing w:after="140" w:line="276"/>
        <w:jc w:val="left"/>
      </w:pPr>
      <w:r>
        <w:rPr>
          <w:rFonts w:ascii="Calibri" w:cs="Calibri" w:eastAsia="Calibri" w:hAnsi="Calibri"/>
          <w:i w:val="false"/>
          <w:iCs w:val="false"/>
          <w:color w:val="222222"/>
          <w:sz w:val="20"/>
          <w:szCs w:val="20"/>
        </w:rPr>
        <w:t xml:space="preserve">Geothermal is a small but strategically useful capability: it is one of the few technologies where a technology-agnostic integrator can differentiate a heat network bid against an incumbent with a fixed heat source. The Veolia–Star Energy MoU is the move to watch — it would give Veolia a differentiated heat source outside its EfW footprint, closing the gap identified in their battlecard.</w:t>
      </w:r>
    </w:p>
    <w:p>
      <w:pPr>
        <w:pStyle w:val="Heading2"/>
        <w:spacing w:after="140" w:before="340"/>
      </w:pPr>
      <w:r>
        <w:rPr>
          <w:rFonts w:ascii="Calibri" w:cs="Calibri" w:eastAsia="Calibri" w:hAnsi="Calibri"/>
          <w:b/>
          <w:bCs/>
          <w:color w:val="1C6B4C"/>
          <w:sz w:val="26"/>
          <w:szCs w:val="26"/>
        </w:rPr>
        <w:t xml:space="preserve">9.6 Heat networks — development, operation and metering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Design, build, own, operate at city and campus scale</w:t>
            </w:r>
          </w:p>
        </w:tc>
        <w:tc>
          <w:tcPr>
            <w:tcW w:type="dxa" w:w="2522"/>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Owned networks (Citigen), ambient ectogrid networks, city partnerships</w:t>
            </w:r>
          </w:p>
        </w:tc>
        <w:tc>
          <w:tcPr>
            <w:tcW w:type="dxa" w:w="2522"/>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Hemiko (DIF)</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Investor-developer-operator with c.£1bn to 2030; first UK data centre waste heat network</w:t>
            </w:r>
          </w:p>
        </w:tc>
        <w:tc>
          <w:tcPr>
            <w:tcW w:type="dxa" w:w="2522"/>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EfW-linked networks; Ecothermal Grid, £1bn pipeline to 2030; Southwark 2.0</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Vattenfall Heat UK (sale to Reinova Capital reported)</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Bristol, Brent Cross, Midlothian networks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Counterparty / 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1Energy</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City-scale low carbon heat network developer</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Switch2 Energy, Insite Energy, Metropolitan</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Metering, billing and network operation services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Triple Point Heat Networks Investment Management</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Delivery partner for the Green Heat Network Fund — the gatekeeper for grant</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Influence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Ramboll, Arup, AECOM, Buro Happold, Mott MacDonald</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Zone and network design, techno-economic modelling, client-side advice</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Influence</w:t>
            </w:r>
          </w:p>
        </w:tc>
      </w:tr>
    </w:tbl>
    <w:p>
      <w:pPr>
        <w:pStyle w:val="Heading2"/>
        <w:spacing w:after="140" w:before="340"/>
      </w:pPr>
      <w:r>
        <w:rPr>
          <w:rFonts w:ascii="Calibri" w:cs="Calibri" w:eastAsia="Calibri" w:hAnsi="Calibri"/>
          <w:b/>
          <w:bCs/>
          <w:color w:val="1C6B4C"/>
          <w:sz w:val="26"/>
          <w:szCs w:val="26"/>
        </w:rPr>
        <w:t xml:space="preserve">9.7 Energy efficiency, controls and building performance</w:t>
      </w:r>
    </w:p>
    <w:p>
      <w:pPr>
        <w:spacing w:after="140" w:line="276"/>
        <w:jc w:val="left"/>
      </w:pPr>
      <w:r>
        <w:rPr>
          <w:rFonts w:ascii="Calibri" w:cs="Calibri" w:eastAsia="Calibri" w:hAnsi="Calibri"/>
          <w:i w:val="false"/>
          <w:iCs w:val="false"/>
          <w:color w:val="222222"/>
          <w:sz w:val="20"/>
          <w:szCs w:val="20"/>
        </w:rPr>
        <w:t xml:space="preserve">The deck is right that efficiency alone is not our lane. It becomes our lane when it is bundled with generation or with a larger programme — the Schneider-style proposition. These are the organisations that sell it standalone.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Schneider Electric</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EcoStruxure, performance contracting, analytics, microgrid control</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Siemens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Desigo building automation, performance contracts with SFS finance</w:t>
            </w:r>
          </w:p>
        </w:tc>
        <w:tc>
          <w:tcPr>
            <w:tcW w:type="dxa" w:w="2522"/>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Johnson Controls (Asset+)</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Acquired Asset Plus — energy reduction and zero carbon measures for UK public sector, NHS and local authority</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Honeywell Building Solutions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Building automation and performance contracting</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Trane Technologies, Carrier, ABB, Danfoss, Bosch</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HVAC, drives, controls and plant</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Bellrock, Amey, ISS, CBRE, Sodexo, OCS, Sureserve</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FM-led efficiency and compliance</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LOW-MEDIUM</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Demand Logic, measurable.energy, Carbon Numbers, EnergyPro</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Analytics and sub-metering specialists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Sustainable Building Services, Melius Homes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Fabric-first retrofit delivery</w:t>
            </w:r>
          </w:p>
        </w:tc>
        <w:tc>
          <w:tcPr>
            <w:tcW w:type="dxa" w:w="2522"/>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r>
    </w:tbl>
    <w:p>
      <w:pPr>
        <w:pStyle w:val="Heading2"/>
        <w:spacing w:after="140" w:before="340"/>
      </w:pPr>
      <w:r>
        <w:rPr>
          <w:rFonts w:ascii="Calibri" w:cs="Calibri" w:eastAsia="Calibri" w:hAnsi="Calibri"/>
          <w:b/>
          <w:bCs/>
          <w:color w:val="1C6B4C"/>
          <w:sz w:val="26"/>
          <w:szCs w:val="26"/>
        </w:rPr>
        <w:t xml:space="preserve">9.8 Grid connections, private networks and IDNOs — our clearest capability gap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Eclipse Power Group</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IDNO and ICP; acquiring Vattenfall Networks (subsidiary of the Octopus Sky Fund) to create one of the UK's leading IDNOs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UK Power Networks (ENGIE, from May 2026)</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DNO for London, the South East and the East — the geography where data centre and commercial demand concentrates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Strategic</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OCU Group</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infrastructure, connections and civils at national scale</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Freedom Networks, GTC, Last Mile, ESP Utilities, Leep Utilities, Energy Assets Networks, Fulcrum, MUA, Harlaxton, Indigo Power, Utility Assets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IDNO and ICP networks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Rock Power Connections (Mitie)</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HV connections and electrical infrastructure inside an FM group</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COMPETE</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Ethical Power Connections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 connections and BOP for renewables</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compete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Balfour Beatty, M Group, Morgan Sindall Infrastructure, Murphy, Omexom Taylor Woodrow</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Transmission and HV delivery; appointed to National Grid's £1.2bn Electricity Transmission Partnership phase</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Adjacent</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SP Energy Networks framework contractors</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Regional HV overhead line and reinforcement work</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Adjacent</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Strategic gap: connections</w:t>
            </w:r>
          </w:p>
          <w:p>
            <w:pPr>
              <w:spacing w:after="0"/>
            </w:pPr>
            <w:r>
              <w:rPr>
                <w:rFonts w:ascii="Calibri" w:cs="Calibri" w:eastAsia="Calibri" w:hAnsi="Calibri"/>
                <w:i w:val="false"/>
                <w:iCs w:val="false"/>
                <w:color w:val="222222"/>
                <w:sz w:val="19"/>
                <w:szCs w:val="19"/>
              </w:rPr>
              <w:t xml:space="preserve">Grid connection capability is now the scarcest and most decisive asset in I&amp;C, data centres and grid-scale. We do not own it. </w:t>
            </w:r>
            <w:r>
              <w:rPr>
                <w:rFonts w:ascii="Calibri" w:cs="Calibri" w:eastAsia="Calibri" w:hAnsi="Calibri"/>
                <w:b/>
                <w:bCs/>
                <w:i w:val="false"/>
                <w:iCs w:val="false"/>
                <w:color w:val="222222"/>
                <w:sz w:val="19"/>
                <w:szCs w:val="19"/>
              </w:rPr>
              <w:t xml:space="preserve">Every competitor in our top ten either owns a network, has bought a connections business, or has a preferential route to one.</w:t>
            </w:r>
            <w:r>
              <w:rPr>
                <w:rFonts w:ascii="Calibri" w:cs="Calibri" w:eastAsia="Calibri" w:hAnsi="Calibri"/>
                <w:i w:val="false"/>
                <w:iCs w:val="false"/>
                <w:color w:val="222222"/>
                <w:sz w:val="19"/>
                <w:szCs w:val="19"/>
              </w:rPr>
              <w:t xml:space="preserve"> This is the single clearest case in this document for a partnership, a framework agreement or an acquisition. Continuing to treat connections as a subcontract line item understates its strategic weight.</w:t>
            </w:r>
          </w:p>
        </w:tc>
      </w:tr>
    </w:tbl>
    <w:p>
      <w:pPr>
        <w:pStyle w:val="Heading2"/>
        <w:spacing w:after="140" w:before="340"/>
      </w:pPr>
      <w:r>
        <w:rPr>
          <w:rFonts w:ascii="Calibri" w:cs="Calibri" w:eastAsia="Calibri" w:hAnsi="Calibri"/>
          <w:b/>
          <w:bCs/>
          <w:color w:val="1C6B4C"/>
          <w:sz w:val="26"/>
          <w:szCs w:val="26"/>
        </w:rPr>
        <w:t xml:space="preserve">9.9 Microgrids, resilience and standby power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Aggreko</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Hired energy-as-a-service, modular microgrids combining generation, solar and storage; explicitly targeting the data centre and industrial power gap</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 / 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Schneider Electric, Eaton, Vertiv, ABB</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Microgrid control, UPS, switchgear and power distribution</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 / partner</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Rolls-Royce mtu, Caterpillar/Finning, Cummins, Kohler</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Standby and prime generation</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Supplier / partner</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Powerstar</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Voltage optimisation, behind-the-meter storage and resilience packages</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bl>
    <w:p>
      <w:pPr>
        <w:pStyle w:val="Heading2"/>
        <w:spacing w:after="140" w:before="340"/>
      </w:pPr>
      <w:r>
        <w:rPr>
          <w:rFonts w:ascii="Calibri" w:cs="Calibri" w:eastAsia="Calibri" w:hAnsi="Calibri"/>
          <w:b/>
          <w:bCs/>
          <w:color w:val="1C6B4C"/>
          <w:sz w:val="26"/>
          <w:szCs w:val="26"/>
        </w:rPr>
        <w:t xml:space="preserve">9.10 Hydrogen, biomethane and RNG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4462"/>
        <w:gridCol w:w="2522"/>
      </w:tblGrid>
      <w:tr>
        <w:trPr>
          <w:tblHeader/>
        </w:trPr>
        <w:tc>
          <w:tcPr>
            <w:tcW w:type="dxa" w:w="271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they do</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 / role</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ENGIE</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Ten-year biomethane supply agreement with PepsiCo (2026) supporting a new anaerobic digestion unit; c.10,900 tCO₂/yr abated</w:t>
            </w:r>
          </w:p>
        </w:tc>
        <w:tc>
          <w:tcPr>
            <w:tcW w:type="dxa" w:w="2522"/>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r>
      <w:tr>
        <w:tc>
          <w:tcPr>
            <w:tcW w:type="dxa" w:w="271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EDF, Storegga, Progressive Energy (HyNet)</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Hydrogen production, storage and industrial cluster infrastructure</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 (different market)</w:t>
            </w:r>
          </w:p>
        </w:tc>
      </w:tr>
      <w:tr>
        <w:tc>
          <w:tcPr>
            <w:tcW w:type="dxa" w:w="271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Future Biogas, Bennamann, Severn Trent Green Power</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Biomethane and anaerobic digestion</w:t>
            </w:r>
          </w:p>
        </w:tc>
        <w:tc>
          <w:tcPr>
            <w:tcW w:type="dxa" w:w="2522"/>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PARTNER</w:t>
            </w:r>
          </w:p>
        </w:tc>
      </w:tr>
    </w:tbl>
    <w:p>
      <w:pPr>
        <w:spacing w:after="140" w:line="276"/>
        <w:jc w:val="left"/>
      </w:pPr>
      <w:r>
        <w:rPr>
          <w:rFonts w:ascii="Calibri" w:cs="Calibri" w:eastAsia="Calibri" w:hAnsi="Calibri"/>
          <w:i w:val="false"/>
          <w:iCs w:val="false"/>
          <w:color w:val="222222"/>
          <w:sz w:val="20"/>
          <w:szCs w:val="20"/>
        </w:rPr>
        <w:t xml:space="preserve">Ameresco's renewable natural gas capability is a strong differentiator in the US and only a marginal one in the UK today, where the biomethane market is served by established developers and the industrial hydrogen market is cluster-driven and outside our delivery model. Treat as an opportunistic capability, not a segment.</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10. Capital: private equity, infrastructure funds and public funders</w:t>
      </w:r>
    </w:p>
    <w:p>
      <w:pPr>
        <w:spacing w:after="140" w:line="276"/>
        <w:jc w:val="left"/>
      </w:pPr>
      <w:r>
        <w:rPr>
          <w:rFonts w:ascii="Calibri" w:cs="Calibri" w:eastAsia="Calibri" w:hAnsi="Calibri"/>
          <w:i w:val="false"/>
          <w:iCs w:val="false"/>
          <w:color w:val="222222"/>
          <w:sz w:val="20"/>
          <w:szCs w:val="20"/>
        </w:rPr>
        <w:t xml:space="preserve">Capital providers do not deliver anything, which is precisely why they matter. They play three distinct roles against us, sometimes simultaneously, and the role determines how we should treat them.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40"/>
        <w:gridCol w:w="4462"/>
        <w:gridCol w:w="3298"/>
      </w:tblGrid>
      <w:tr>
        <w:trPr>
          <w:tblHeader/>
        </w:trPr>
        <w:tc>
          <w:tcPr>
            <w:tcW w:type="dxa" w:w="194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Role</w:t>
            </w:r>
          </w:p>
        </w:tc>
        <w:tc>
          <w:tcPr>
            <w:tcW w:type="dxa" w:w="446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it looks like</w:t>
            </w:r>
          </w:p>
        </w:tc>
        <w:tc>
          <w:tcPr>
            <w:tcW w:type="dxa" w:w="329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Implication for us</w:t>
            </w:r>
          </w:p>
        </w:tc>
      </w:tr>
      <w:tr>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Rival funder</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 fund offers a customer capital directly, or backs a competitor's funded proposition, removing our funding advantage</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Our funding claim must be paired with accountability, not stated alone</w:t>
            </w:r>
          </w:p>
        </w:tc>
      </w:tr>
      <w:tr>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Enabler and partner</w:t>
            </w:r>
          </w:p>
        </w:tc>
        <w:tc>
          <w:tcPr>
            <w:tcW w:type="dxa" w:w="446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 fund provides project or portfolio capital alongside us, extending our capacity beyond balance sheet</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 live commercial option we should use more deliberately in large city and I&amp;C programmes</w:t>
            </w:r>
          </w:p>
        </w:tc>
      </w:tr>
      <w:tr>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Acquirer of competitors</w:t>
            </w:r>
          </w:p>
        </w:tc>
        <w:tc>
          <w:tcPr>
            <w:tcW w:type="dxa" w:w="446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 fund buys a competitor and recapitalises it into a direct rival — DIF/Hemiko, Corran/Vital, HGGC/Inspired</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Competitor capability can change overnight without any operational change</w:t>
            </w:r>
          </w:p>
        </w:tc>
      </w:tr>
    </w:tbl>
    <w:p>
      <w:pPr>
        <w:spacing w:after="200" w:before="60"/>
      </w:pPr>
      <w:r>
        <w:rPr>
          <w:rFonts w:ascii="Calibri" w:cs="Calibri" w:eastAsia="Calibri" w:hAnsi="Calibri"/>
          <w:i/>
          <w:iCs/>
          <w:color w:val="5A5A5A"/>
          <w:sz w:val="16"/>
          <w:szCs w:val="16"/>
        </w:rPr>
        <w:t xml:space="preserve">Table 10.1 — The three roles capital plays in our market.</w:t>
      </w:r>
    </w:p>
    <w:p>
      <w:pPr>
        <w:pStyle w:val="Heading2"/>
        <w:spacing w:after="140" w:before="340"/>
      </w:pPr>
      <w:r>
        <w:rPr>
          <w:rFonts w:ascii="Calibri" w:cs="Calibri" w:eastAsia="Calibri" w:hAnsi="Calibri"/>
          <w:b/>
          <w:bCs/>
          <w:color w:val="1C6B4C"/>
          <w:sz w:val="26"/>
          <w:szCs w:val="26"/>
        </w:rPr>
        <w:t xml:space="preserve">10.1 Infrastructure funds active in UK energy services and heat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5044"/>
        <w:gridCol w:w="2134"/>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Fund</w:t>
            </w:r>
          </w:p>
        </w:tc>
        <w:tc>
          <w:tcPr>
            <w:tcW w:type="dxa" w:w="504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Relevance</w:t>
            </w:r>
          </w:p>
        </w:tc>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Role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DIF Capital Partners</w:t>
            </w:r>
          </w:p>
        </w:tc>
        <w:tc>
          <w:tcPr>
            <w:tcW w:type="dxa" w:w="504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Majority owner of Hemiko, with c.£1bn to deploy into city heat by 2030</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Backs a direct competitor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Corran Capital</w:t>
            </w:r>
          </w:p>
        </w:tc>
        <w:tc>
          <w:tcPr>
            <w:tcW w:type="dxa" w:w="504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Investor in Vital Energi, alongside the £175m senior secured bond 2025/2030</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Backs a direct competitor</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Equitix</w:t>
            </w:r>
          </w:p>
        </w:tc>
        <w:tc>
          <w:tcPr>
            <w:tcW w:type="dxa" w:w="504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Long-standing UK infrastructure manager with energy efficiency and heat network mandates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Rival funder / partner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Amber Infrastructure</w:t>
            </w:r>
          </w:p>
        </w:tc>
        <w:tc>
          <w:tcPr>
            <w:tcW w:type="dxa" w:w="504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Manager of the Mayor of London's Energy Efficiency Fund (MEEF), whose investment period ended in 2025 after seven years; invested in district heat networks with water source heat pumps and energy performance contracts with guaranteed savings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rival funder</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Reinova Capital</w:t>
            </w:r>
          </w:p>
        </w:tc>
        <w:tc>
          <w:tcPr>
            <w:tcW w:type="dxa" w:w="504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Reported acquirer of Vattenfall's UK heat businesses including Bristol Heat Networks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Counterparty in Bristol City Leap</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Macquarie Asset Management / Green Investment Group</w:t>
            </w:r>
          </w:p>
        </w:tc>
        <w:tc>
          <w:tcPr>
            <w:tcW w:type="dxa" w:w="504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Owner of Eku Energy and a large UK renewables portfolio</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rival funder</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Greencoat Capital / Schroders Greencoat</w:t>
            </w:r>
          </w:p>
        </w:tc>
        <w:tc>
          <w:tcPr>
            <w:tcW w:type="dxa" w:w="504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Renewables and heat infrastructure funds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rival funder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InfraRed Capital Partners, Infracapital (M&amp;G), Igneo, Ancala, Arjun, Copenhagen Infrastructure Partners</w:t>
            </w:r>
          </w:p>
        </w:tc>
        <w:tc>
          <w:tcPr>
            <w:tcW w:type="dxa" w:w="504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UK infrastructure managers active in energy transition assets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rival funder</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Foresight Group, Gresham House, Downing, Triple Point, Bluefield, NextEnergy Capital, Octopus Energy Generation</w:t>
            </w:r>
          </w:p>
        </w:tc>
        <w:tc>
          <w:tcPr>
            <w:tcW w:type="dxa" w:w="504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Listed and unlisted renewable asset owners</w:t>
            </w:r>
          </w:p>
        </w:tc>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Client / funder</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Aviva Investors, Legal &amp; General, Pension Insurance Corporation, USS</w:t>
            </w:r>
          </w:p>
        </w:tc>
        <w:tc>
          <w:tcPr>
            <w:tcW w:type="dxa" w:w="504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Institutional capital seeking long-dated, inflation-linked UK infrastructure — including city partnerships</w:t>
            </w:r>
          </w:p>
        </w:tc>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under-used by us</w:t>
            </w:r>
          </w:p>
        </w:tc>
      </w:tr>
    </w:tbl>
    <w:p>
      <w:pPr>
        <w:pStyle w:val="Heading2"/>
        <w:spacing w:after="140" w:before="340"/>
      </w:pPr>
      <w:r>
        <w:rPr>
          <w:rFonts w:ascii="Calibri" w:cs="Calibri" w:eastAsia="Calibri" w:hAnsi="Calibri"/>
          <w:b/>
          <w:bCs/>
          <w:color w:val="1C6B4C"/>
          <w:sz w:val="26"/>
          <w:szCs w:val="26"/>
        </w:rPr>
        <w:t xml:space="preserve">10.2 Private equity in the delivery supply chain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4268"/>
        <w:gridCol w:w="3298"/>
      </w:tblGrid>
      <w:tr>
        <w:trPr>
          <w:tblHeader/>
        </w:trPr>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Investor</w:t>
            </w:r>
          </w:p>
        </w:tc>
        <w:tc>
          <w:tcPr>
            <w:tcW w:type="dxa" w:w="426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Asset</w:t>
            </w:r>
          </w:p>
        </w:tc>
        <w:tc>
          <w:tcPr>
            <w:tcW w:type="dxa" w:w="329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Why it matters</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HGGC</w:t>
            </w:r>
          </w:p>
        </w:tc>
        <w:tc>
          <w:tcPr>
            <w:tcW w:type="dxa" w:w="426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Inspired plc — c.£183.6m recommended offer, delisted from AIM September 2025; 3,500+ UK customers with large, complex energy footprints</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PE capital behind an adviser that sits between us and I&amp;C buyers and shapes their procurement</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Cap10 / PE ownership</w:t>
            </w:r>
          </w:p>
        </w:tc>
        <w:tc>
          <w:tcPr>
            <w:tcW w:type="dxa" w:w="426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Sureserve Group</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Consolidating compliance and retrofit delivery capacity</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OMERS Private Equity</w:t>
            </w:r>
          </w:p>
        </w:tc>
        <w:tc>
          <w:tcPr>
            <w:tcW w:type="dxa" w:w="426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Network Plus — UK utility and infrastructure repair and maintenance</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Consolidation of the utility delivery supply chain</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Turner Construction</w:t>
            </w:r>
          </w:p>
        </w:tc>
        <w:tc>
          <w:tcPr>
            <w:tcW w:type="dxa" w:w="426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Dornan — c.€700m acquisition creating a c.1,000-person entity with a c.€1.6bn backlog, c.85% in advanced technology projects</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Concentration of data centre MEP capability</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EQT</w:t>
            </w:r>
          </w:p>
        </w:tc>
        <w:tc>
          <w:tcPr>
            <w:tcW w:type="dxa" w:w="426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InstaVolt</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Charging infrastructure consolidation</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Zouk Capital / Liberty Global</w:t>
            </w:r>
          </w:p>
        </w:tc>
        <w:tc>
          <w:tcPr>
            <w:tcW w:type="dxa" w:w="426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Believ</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public charging concessions with councils</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KKR and infrastructure co-investors</w:t>
            </w:r>
          </w:p>
        </w:tc>
        <w:tc>
          <w:tcPr>
            <w:tcW w:type="dxa" w:w="426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Zenobe</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 funded EaaS model at platform scale</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Kuwait-backed consortium (reported)</w:t>
            </w:r>
          </w:p>
        </w:tc>
        <w:tc>
          <w:tcPr>
            <w:tcW w:type="dxa" w:w="426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Lightsource bp — bp process to sell c.50%</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Ownership uncertainty at the largest UK solar developer</w:t>
            </w:r>
          </w:p>
        </w:tc>
      </w:tr>
    </w:tbl>
    <w:p>
      <w:pPr>
        <w:pStyle w:val="Heading2"/>
        <w:spacing w:after="140" w:before="340"/>
      </w:pPr>
      <w:r>
        <w:rPr>
          <w:rFonts w:ascii="Calibri" w:cs="Calibri" w:eastAsia="Calibri" w:hAnsi="Calibri"/>
          <w:b/>
          <w:bCs/>
          <w:color w:val="1C6B4C"/>
          <w:sz w:val="26"/>
          <w:szCs w:val="26"/>
        </w:rPr>
        <w:t xml:space="preserve">10.3 Public capital — the funders that set the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4656"/>
        <w:gridCol w:w="2910"/>
      </w:tblGrid>
      <w:tr>
        <w:trPr>
          <w:tblHeader/>
        </w:trPr>
        <w:tc>
          <w:tcPr>
            <w:tcW w:type="dxa" w:w="213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Funder</w:t>
            </w:r>
          </w:p>
        </w:tc>
        <w:tc>
          <w:tcPr>
            <w:tcW w:type="dxa" w:w="4656"/>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What it does</w:t>
            </w:r>
          </w:p>
        </w:tc>
        <w:tc>
          <w:tcPr>
            <w:tcW w:type="dxa" w:w="291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How it affects competition</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Great British Energy</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c.£180m committed for solar and efficiency on schools and NHS sites (c.£80m schools, c.£100m NHS in England, £9.3m devolved); 2026 round open on a rolling basis; 250+ schools signed agreements for a share of up to £100m</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Grant capital pointed at one technology in our target estates — arms solar EPCs against funded propositions</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Salix Finance</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Delivering PSDS Phase 3c (to 31 March 2026) and Phase 4 (to 31 March 2028); no further phases</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 end of the grant era is our strongest structural tailwind, arriving on a two-year lag</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Green Heat Network Fund (Triple Point HNIM)</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Over £500m allocated; £68m across eight projects December 2025; c.£195m a year signalled; Round 12 closes 25 September 2026; up to (not including) 50% of eligible commercialisation and construction costs</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Determines which heat schemes are viable and therefore which competitors get built</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Warm Homes Plan / WH:SHF</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c.£15bn programme targeting up to 5 million homes by 2030; Wave 3 c.£1.2bn 2025–28</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Sustains the volume retrofit contractors as a competitive force in city programmes</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National Wealth Fund (formerly UK Infrastructure Bank)</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Investing in battery storage, district heating, grid infrastructure and supply chain</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Can co-fund us or a competitor; a genuine partnership route</w:t>
            </w:r>
          </w:p>
        </w:tc>
      </w:tr>
      <w:tr>
        <w:tc>
          <w:tcPr>
            <w:tcW w:type="dxa" w:w="213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DESNZ Heat Network Zoning / Heat Networks Delivery Unit</w:t>
            </w:r>
          </w:p>
        </w:tc>
        <w:tc>
          <w:tcPr>
            <w:tcW w:type="dxa" w:w="4656"/>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Zone designation, Zone Coordinators, statutory instruments anticipated spring 2026</w:t>
            </w:r>
          </w:p>
        </w:tc>
        <w:tc>
          <w:tcPr>
            <w:tcW w:type="dxa" w:w="291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Determines who is allowed to build city heat, and for how long</w:t>
            </w:r>
          </w:p>
        </w:tc>
      </w:tr>
      <w:tr>
        <w:tc>
          <w:tcPr>
            <w:tcW w:type="dxa" w:w="213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Scottish National Investment Bank, Development Bank of Wales, Combined Authorities</w:t>
            </w:r>
          </w:p>
        </w:tc>
        <w:tc>
          <w:tcPr>
            <w:tcW w:type="dxa" w:w="4656"/>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Regional co-investment in energy infrastructure</w:t>
            </w:r>
          </w:p>
        </w:tc>
        <w:tc>
          <w:tcPr>
            <w:tcW w:type="dxa" w:w="291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Local capital that can tip a city partnership</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The conclusion of Section 10</w:t>
            </w:r>
          </w:p>
          <w:p>
            <w:pPr>
              <w:spacing w:after="0"/>
            </w:pPr>
            <w:r>
              <w:rPr>
                <w:rFonts w:ascii="Calibri" w:cs="Calibri" w:eastAsia="Calibri" w:hAnsi="Calibri"/>
                <w:i w:val="false"/>
                <w:iCs w:val="false"/>
                <w:color w:val="222222"/>
                <w:sz w:val="19"/>
                <w:szCs w:val="19"/>
              </w:rPr>
              <w:t xml:space="preserve">There is now more capital chasing UK energy infrastructure than there are bankable, well-structured programmes to put it in. </w:t>
            </w:r>
            <w:r>
              <w:rPr>
                <w:rFonts w:ascii="Calibri" w:cs="Calibri" w:eastAsia="Calibri" w:hAnsi="Calibri"/>
                <w:b/>
                <w:bCs/>
                <w:i w:val="false"/>
                <w:iCs w:val="false"/>
                <w:color w:val="222222"/>
                <w:sz w:val="19"/>
                <w:szCs w:val="19"/>
              </w:rPr>
              <w:t xml:space="preserve">That inverts the traditional ESCO pitch.</w:t>
            </w:r>
            <w:r>
              <w:rPr>
                <w:rFonts w:ascii="Calibri" w:cs="Calibri" w:eastAsia="Calibri" w:hAnsi="Calibri"/>
                <w:i w:val="false"/>
                <w:iCs w:val="false"/>
                <w:color w:val="222222"/>
                <w:sz w:val="19"/>
                <w:szCs w:val="19"/>
              </w:rPr>
              <w:t xml:space="preserve"> Money is not scarce; the ability to originate, structure, deliver and stand behind a twenty-year programme is scarce. Our proposition should be sold as origination and accountability that capital can trust — not as access to capital.</w:t>
            </w:r>
          </w:p>
        </w:tc>
      </w:tr>
    </w:tbl>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11. Advisers, consultants and framework gatekeepers</w:t>
      </w:r>
    </w:p>
    <w:p>
      <w:pPr>
        <w:spacing w:after="140" w:line="276"/>
        <w:jc w:val="left"/>
      </w:pPr>
      <w:r>
        <w:rPr>
          <w:rFonts w:ascii="Calibri" w:cs="Calibri" w:eastAsia="Calibri" w:hAnsi="Calibri"/>
          <w:i w:val="false"/>
          <w:iCs w:val="false"/>
          <w:color w:val="222222"/>
          <w:sz w:val="20"/>
          <w:szCs w:val="20"/>
        </w:rPr>
        <w:t xml:space="preserve">These organisations rarely appear on a bid list and frequently decide the outcome. They write the feasibility study, set the technical specification, design the payment mechanism and advise on evaluation criteria. A specification written around measure counts and capital cost cannot be won by a programme proposition, whatever the bid quality.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3298"/>
        <w:gridCol w:w="3880"/>
      </w:tblGrid>
      <w:tr>
        <w:trPr>
          <w:tblHeader/>
        </w:trPr>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329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Where they sit</w:t>
            </w:r>
          </w:p>
        </w:tc>
        <w:tc>
          <w:tcPr>
            <w:tcW w:type="dxa" w:w="388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Why they matter to us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AECOM, Arup, Ramboll, WSP, Mott MacDonald, Buro Happold, Hoare Lea, Cundall</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Technical advisers on heat networks, estates decarbonisation and zoning</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set the technology assumptions and the network design before we see it</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Turner &amp; Townsend, Gleeds, Currie &amp; Brown, AtkinsRéalis (Faithful+Gould), Rider Levett Bucknall</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Cost and programme management, client-side PMO</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frame the comparison as capital cost per measure unless persuaded otherwise</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Inspired plc (HGGC), Inenco, Cornwall Insight, Enistic</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consultancy and procurement advice to I&amp;C buyers</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run the competitive process and increasingly recommend the structure</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Local Partnerships, Energy Systems Catapult, Carbon Trust</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advisory and delivery support</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Influential on local authority and NHS structuring decisions</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Bevan Brittan, Trowers &amp; Hamlins, Pinsent Masons, Burges Salmon, Browne Jacobson</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Legal advisers on concessions, JVs and heat network structures</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draft the risk allocation that determines whether a guarantee is worth anything</w:t>
            </w:r>
          </w:p>
        </w:tc>
      </w:tr>
      <w:tr>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Grant Thornton, EY, KPMG, PwC, Deloitte</w:t>
            </w:r>
          </w:p>
        </w:tc>
        <w:tc>
          <w:tcPr>
            <w:tcW w:type="dxa" w:w="329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Financial advisers on business cases and affordability</w:t>
            </w:r>
          </w:p>
        </w:tc>
        <w:tc>
          <w:tcPr>
            <w:tcW w:type="dxa" w:w="388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test whether a funded structure passes the client's value-for-money assessment</w:t>
            </w:r>
          </w:p>
        </w:tc>
      </w:tr>
      <w:tr>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NOE CPC, NHS SBS, CCS, SCAPE, Pagabo, Procure Partnerships, YPO, ESPO, LHC, Fusion21, Efficiency North, PfH</w:t>
            </w:r>
          </w:p>
        </w:tc>
        <w:tc>
          <w:tcPr>
            <w:tcW w:type="dxa" w:w="329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Framework operators</w:t>
            </w:r>
          </w:p>
        </w:tc>
        <w:tc>
          <w:tcPr>
            <w:tcW w:type="dxa" w:w="388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They define the lot structure — and therefore whether the market is allowed to buy a programme at all</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left w:val="single" w:color="4C9A2A" w:sz="18"/>
              <w:bottom w:val="none"/>
              <w:right w:val="none"/>
            </w:tcBorders>
            <w:shd w:fill="EDF4EE" w:val="clear"/>
            <w:tcMar>
              <w:top w:type="dxa" w:w="140"/>
              <w:left w:type="dxa" w:w="180"/>
              <w:bottom w:type="dxa" w:w="140"/>
              <w:right w:type="dxa" w:w="180"/>
            </w:tcMar>
          </w:tcPr>
          <w:p>
            <w:pPr>
              <w:spacing w:after="60"/>
            </w:pPr>
            <w:r>
              <w:rPr>
                <w:rFonts w:ascii="Calibri" w:cs="Calibri" w:eastAsia="Calibri" w:hAnsi="Calibri"/>
                <w:b/>
                <w:bCs/>
                <w:color w:val="10362B"/>
                <w:sz w:val="20"/>
                <w:szCs w:val="20"/>
              </w:rPr>
              <w:t xml:space="preserve">The most actionable point in this document</w:t>
            </w:r>
          </w:p>
          <w:p>
            <w:pPr>
              <w:spacing w:after="0"/>
            </w:pPr>
            <w:r>
              <w:rPr>
                <w:rFonts w:ascii="Calibri" w:cs="Calibri" w:eastAsia="Calibri" w:hAnsi="Calibri"/>
                <w:i w:val="false"/>
                <w:iCs w:val="false"/>
                <w:color w:val="222222"/>
                <w:sz w:val="19"/>
                <w:szCs w:val="19"/>
              </w:rPr>
              <w:t xml:space="preserve">Lot structure is competitive strategy. The NHS £1bn framework splits into 20 lots, only one of which — Lot 6, total service provision, up to £200m — describes what Ameresco is. </w:t>
            </w:r>
            <w:r>
              <w:rPr>
                <w:rFonts w:ascii="Calibri" w:cs="Calibri" w:eastAsia="Calibri" w:hAnsi="Calibri"/>
                <w:b/>
                <w:bCs/>
                <w:i w:val="false"/>
                <w:iCs w:val="false"/>
                <w:color w:val="222222"/>
                <w:sz w:val="19"/>
                <w:szCs w:val="19"/>
              </w:rPr>
              <w:t xml:space="preserve">Influence at framework design stage is worth more than bid quality at tender stage</w:t>
            </w:r>
            <w:r>
              <w:rPr>
                <w:rFonts w:ascii="Calibri" w:cs="Calibri" w:eastAsia="Calibri" w:hAnsi="Calibri"/>
                <w:i w:val="false"/>
                <w:iCs w:val="false"/>
                <w:color w:val="222222"/>
                <w:sz w:val="19"/>
                <w:szCs w:val="19"/>
              </w:rPr>
              <w:t xml:space="preserve">, and it is currently not resourced as a competitive activity.</w:t>
            </w:r>
          </w:p>
        </w:tc>
      </w:tr>
    </w:tbl>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12. Procurement routes: where competition is actually decided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1358"/>
        <w:gridCol w:w="4074"/>
        <w:gridCol w:w="1940"/>
      </w:tblGrid>
      <w:tr>
        <w:trPr>
          <w:tblHeader/>
        </w:trPr>
        <w:tc>
          <w:tcPr>
            <w:tcW w:type="dxa" w:w="232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Route</w:t>
            </w:r>
          </w:p>
        </w:tc>
        <w:tc>
          <w:tcPr>
            <w:tcW w:type="dxa" w:w="1358"/>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Segment</w:t>
            </w:r>
          </w:p>
        </w:tc>
        <w:tc>
          <w:tcPr>
            <w:tcW w:type="dxa" w:w="4074"/>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Detail</w:t>
            </w:r>
          </w:p>
        </w:tc>
        <w:tc>
          <w:tcPr>
            <w:tcW w:type="dxa" w:w="1940"/>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Our position</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NOE CPC Decarbonisation &amp; Energy Infrastructure (NOE.0655)</w:t>
            </w:r>
          </w:p>
        </w:tc>
        <w:tc>
          <w:tcPr>
            <w:tcW w:type="dxa" w:w="135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NHS / public</w:t>
            </w:r>
          </w:p>
        </w:tc>
        <w:tc>
          <w:tcPr>
            <w:tcW w:type="dxa" w:w="407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£1bn; 20 lots; up to 180 suppliers; £350m national (6 lots), £600m regional (15 lots), £200m principal partner (Lot 6); bids due 1 May 2026; live 1 Oct 2026 – 30 Sep 2029. Requires PAS 2035, TM65 and NHS net zero 2040 alignment</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Lot 6 is the only lot that pays for our model</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NHS SBS Decarbonisation of Estates (SBS10504)</w:t>
            </w:r>
          </w:p>
        </w:tc>
        <w:tc>
          <w:tcPr>
            <w:tcW w:type="dxa" w:w="135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NHS</w:t>
            </w:r>
          </w:p>
        </w:tc>
        <w:tc>
          <w:tcPr>
            <w:tcW w:type="dxa" w:w="407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Established route for estate decarbonisation works and services</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Secondary route</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Crown Commercial Service, SCAPE, Pagabo, Procure Partnerships, YPO, ESPO</w:t>
            </w:r>
          </w:p>
        </w:tc>
        <w:tc>
          <w:tcPr>
            <w:tcW w:type="dxa" w:w="135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Wider public sector</w:t>
            </w:r>
          </w:p>
        </w:tc>
        <w:tc>
          <w:tcPr>
            <w:tcW w:type="dxa" w:w="407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General construction and services frameworks with decarbonisation lots</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Access route; commoditised</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Re:fit</w:t>
            </w:r>
          </w:p>
        </w:tc>
        <w:tc>
          <w:tcPr>
            <w:tcW w:type="dxa" w:w="135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w:t>
            </w:r>
          </w:p>
        </w:tc>
        <w:tc>
          <w:tcPr>
            <w:tcW w:type="dxa" w:w="407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Energy performance contracting framework — historically the natural ESCO route</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Structurally aligned to our model where still used</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LHC Procurement Group, Fusion21, Efficiency North, PfH (incl. £480m repairs and disrepair)</w:t>
            </w:r>
          </w:p>
        </w:tc>
        <w:tc>
          <w:tcPr>
            <w:tcW w:type="dxa" w:w="135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w:t>
            </w:r>
          </w:p>
        </w:tc>
        <w:tc>
          <w:tcPr>
            <w:tcW w:type="dxa" w:w="407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and decarbonisation frameworks dominated by volume contractors</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route, not a lead route</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Competitive dialogue / concession (City Leap model)</w:t>
            </w:r>
          </w:p>
        </w:tc>
        <w:tc>
          <w:tcPr>
            <w:tcW w:type="dxa" w:w="135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w:t>
            </w:r>
          </w:p>
        </w:tc>
        <w:tc>
          <w:tcPr>
            <w:tcW w:type="dxa" w:w="407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Long-form dialogue leading to JV or concession; the structure we win in</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Our strongest ground</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Heat network zone designation</w:t>
            </w:r>
          </w:p>
        </w:tc>
        <w:tc>
          <w:tcPr>
            <w:tcW w:type="dxa" w:w="135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w:t>
            </w:r>
          </w:p>
        </w:tc>
        <w:tc>
          <w:tcPr>
            <w:tcW w:type="dxa" w:w="407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Zone Coordinators determine what is built, where and by whom; SIs anticipated spring 2026; six first zones including Bristol</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Emerging; engagement must be pre-designation</w:t>
            </w:r>
          </w:p>
        </w:tc>
      </w:tr>
      <w:tr>
        <w:tc>
          <w:tcPr>
            <w:tcW w:type="dxa" w:w="232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Bilateral / direct negotiation</w:t>
            </w:r>
          </w:p>
        </w:tc>
        <w:tc>
          <w:tcPr>
            <w:tcW w:type="dxa" w:w="1358"/>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Data centres</w:t>
            </w:r>
          </w:p>
        </w:tc>
        <w:tc>
          <w:tcPr>
            <w:tcW w:type="dxa" w:w="4074"/>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No framework; relationship and origination led</w:t>
            </w:r>
          </w:p>
        </w:tc>
        <w:tc>
          <w:tcPr>
            <w:tcW w:type="dxa" w:w="1940"/>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Our best margin, our weakest coverage</w:t>
            </w:r>
          </w:p>
        </w:tc>
      </w:tr>
      <w:tr>
        <w:tc>
          <w:tcPr>
            <w:tcW w:type="dxa" w:w="232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EPC tender</w:t>
            </w:r>
          </w:p>
        </w:tc>
        <w:tc>
          <w:tcPr>
            <w:tcW w:type="dxa" w:w="1358"/>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4074"/>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Price-led competition against a broadening contractor field</w:t>
            </w:r>
          </w:p>
        </w:tc>
        <w:tc>
          <w:tcPr>
            <w:tcW w:type="dxa" w:w="1940"/>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Selective participation only</w:t>
            </w:r>
          </w:p>
        </w:tc>
      </w:tr>
    </w:tbl>
    <w:p>
      <w:pPr>
        <w:spacing w:after="200" w:before="60"/>
      </w:pPr>
      <w:r>
        <w:rPr>
          <w:rFonts w:ascii="Calibri" w:cs="Calibri" w:eastAsia="Calibri" w:hAnsi="Calibri"/>
          <w:i/>
          <w:iCs/>
          <w:color w:val="5A5A5A"/>
          <w:sz w:val="16"/>
          <w:szCs w:val="16"/>
        </w:rPr>
        <w:t xml:space="preserve">Table 12.1 — Procurement routes by segment and our relative position.</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13. Master threat matrix</w:t>
      </w:r>
    </w:p>
    <w:p>
      <w:pPr>
        <w:spacing w:after="140" w:line="276"/>
        <w:jc w:val="left"/>
      </w:pPr>
      <w:r>
        <w:rPr>
          <w:rFonts w:ascii="Calibri" w:cs="Calibri" w:eastAsia="Calibri" w:hAnsi="Calibri"/>
          <w:i w:val="false"/>
          <w:iCs w:val="false"/>
          <w:color w:val="222222"/>
          <w:sz w:val="20"/>
          <w:szCs w:val="20"/>
        </w:rPr>
        <w:t xml:space="preserve">The full competitive universe in one table, scored against the whole Ameresco proposition. "Compete or partner" is a default posture, not a rule — several organisations are both on the same pursuit, and the choice should be made deal by deal.</w:t>
      </w:r>
    </w:p>
    <w:p>
      <w:pPr>
        <w:pStyle w:val="Heading2"/>
        <w:spacing w:after="140" w:before="340"/>
      </w:pPr>
      <w:r>
        <w:rPr>
          <w:rFonts w:ascii="Calibri" w:cs="Calibri" w:eastAsia="Calibri" w:hAnsi="Calibri"/>
          <w:b/>
          <w:bCs/>
          <w:color w:val="1C6B4C"/>
          <w:sz w:val="26"/>
          <w:szCs w:val="26"/>
        </w:rPr>
        <w:t xml:space="preserve">13.1 Critical and high threat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31"/>
        <w:gridCol w:w="1455"/>
        <w:gridCol w:w="2522"/>
        <w:gridCol w:w="1261"/>
        <w:gridCol w:w="2231"/>
      </w:tblGrid>
      <w:tr>
        <w:trPr>
          <w:tblHeader/>
        </w:trPr>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1455"/>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Archetype</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Segments</w:t>
            </w:r>
          </w:p>
        </w:tc>
        <w:tc>
          <w:tcPr>
            <w:tcW w:type="dxa" w:w="126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Posture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Vital Energi</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integrator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Cities, I&amp;C</w:t>
            </w:r>
          </w:p>
        </w:tc>
        <w:tc>
          <w:tcPr>
            <w:tcW w:type="dxa" w:w="1261"/>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E.ON UK (EIS)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integrator / utility</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 I&amp;C</w:t>
            </w:r>
          </w:p>
        </w:tc>
        <w:tc>
          <w:tcPr>
            <w:tcW w:type="dxa" w:w="1261"/>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EQUANS UK &amp; Ireland</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 FM-led</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Housing, I&amp;C</w:t>
            </w:r>
          </w:p>
        </w:tc>
        <w:tc>
          <w:tcPr>
            <w:tcW w:type="dxa" w:w="1261"/>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Hemiko (DIF)</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Pure-play city heat</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Data centres (heat export)</w:t>
            </w:r>
          </w:p>
        </w:tc>
        <w:tc>
          <w:tcPr>
            <w:tcW w:type="dxa" w:w="1261"/>
            <w:tcBorders>
              <w:top w:val="single" w:color="C9D6CF" w:sz="2"/>
              <w:left w:val="single" w:color="C9D6CF" w:sz="2"/>
              <w:bottom w:val="single" w:color="C9D6CF" w:sz="2"/>
              <w:right w:val="single" w:color="C9D6CF" w:sz="2"/>
            </w:tcBorders>
            <w:shd w:fill="F6D2D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CRITICAL</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Centrica Business Solutions</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 supply-led</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Public sector, Data centres</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Veolia UK &amp; Ireland</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Services-led with heat assets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 I&amp;C</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Dalkia UK (EDF)</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 FM-led</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SSE Energy Solutions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 network-led</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Cities, Grid-scale</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Schneider Electric UK&amp;I</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 Data centres</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ENGIE UK</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 network-led</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Grid-scale, Data centres</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 (rising)</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Zenobe</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developer-operator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EV/fleet, Grid-scale</w:t>
            </w:r>
          </w:p>
        </w:tc>
        <w:tc>
          <w:tcPr>
            <w:tcW w:type="dxa" w:w="1261"/>
            <w:tcBorders>
              <w:top w:val="single" w:color="C9D6CF" w:sz="2"/>
              <w:left w:val="single" w:color="C9D6CF" w:sz="2"/>
              <w:bottom w:val="single" w:color="C9D6CF" w:sz="2"/>
              <w:right w:val="single" w:color="C9D6CF" w:sz="2"/>
            </w:tcBorders>
            <w:shd w:fill="FBE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Siemens (SI / SFS)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MEDIUM-HIGH</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Mitie (Energy, Power &amp; Grid)</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 FM-led</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 EV</w:t>
            </w:r>
          </w:p>
        </w:tc>
        <w:tc>
          <w:tcPr>
            <w:tcW w:type="dxa" w:w="126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Octopus Energy (business / Octopus Sky)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 supply-led</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Data centres, Networks</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MEDIUM-HIGH</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Lightsource bp</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MEDIUM-HIGH</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Statera Energy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Developer-owner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MEDIUM-HIGH</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bl>
    <w:p>
      <w:pPr>
        <w:pStyle w:val="Heading2"/>
        <w:spacing w:after="140" w:before="340"/>
      </w:pPr>
      <w:r>
        <w:rPr>
          <w:rFonts w:ascii="Calibri" w:cs="Calibri" w:eastAsia="Calibri" w:hAnsi="Calibri"/>
          <w:b/>
          <w:bCs/>
          <w:color w:val="1C6B4C"/>
          <w:sz w:val="26"/>
          <w:szCs w:val="26"/>
        </w:rPr>
        <w:t xml:space="preserve">13.2 Medium threat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31"/>
        <w:gridCol w:w="1455"/>
        <w:gridCol w:w="2522"/>
        <w:gridCol w:w="1261"/>
        <w:gridCol w:w="2231"/>
      </w:tblGrid>
      <w:tr>
        <w:trPr>
          <w:tblHeader/>
        </w:trPr>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1455"/>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Archetype</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Segments</w:t>
            </w:r>
          </w:p>
        </w:tc>
        <w:tc>
          <w:tcPr>
            <w:tcW w:type="dxa" w:w="126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Posture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Johnson Controls (Asset+)</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Honeywell Building Solutions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Technology / OEM</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Belectric</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Anesco</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 owner-operator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 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Ethical Power / EPC Connections</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 / ICP</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Vattenfall Heat UK (→ Reinova, reported)</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owner-operator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JV 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Sureserve Group</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 compliance</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 Public sector</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United Living</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contractor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Amey</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Services / FM-led</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EV</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Balfour Beatty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Construction / infrastructure</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 Public sector</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Kier, Morgan Sindall, Wates, Willmott Dixon</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Construction</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Housing</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Clarke Energy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CHP integrator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Public sector</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Edina</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CHP / BESS integrator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Kensa Group</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GSHP manufacturer / networks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 Cities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Star Renewable Energy / Star Energy</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pumps / geothermal</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 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1Energy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network developer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Atrato Onsite Energy</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solar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Custom Solar (Mitie)</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Solar EPC</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Powerstar</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BTM storage / voltage optimisation</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Aggreko</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Hired EaaS / microgrids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Data centres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Wärtsilä, Fluence, Tesla, Sungrow</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BESS integrators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Supplier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Inspired plc (HGGC)</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Adviser</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(influence)</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Neutralise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AECOM, Arup, Ramboll, WSP, Mott MacDonald</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Adviser</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All</w:t>
            </w:r>
          </w:p>
        </w:tc>
        <w:tc>
          <w:tcPr>
            <w:tcW w:type="dxa" w:w="126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 (influence)</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Influence</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Believ, Connected Kerb</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Funded EV concessions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EV, Cities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Eclipse Power Group</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IDNO / ICP</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All</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OCU Group</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Utility infrastructure</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All</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Mercury, Winthrop, Kirby, Dornan (Turner), Collen</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Critical MEP</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Data centres</w:t>
            </w:r>
          </w:p>
        </w:tc>
        <w:tc>
          <w:tcPr>
            <w:tcW w:type="dxa" w:w="1261"/>
            <w:tcBorders>
              <w:top w:val="single" w:color="C9D6CF" w:sz="2"/>
              <w:left w:val="single" w:color="C9D6CF" w:sz="2"/>
              <w:bottom w:val="single" w:color="C9D6CF" w:sz="2"/>
              <w:right w:val="single" w:color="C9D6CF" w:sz="2"/>
            </w:tcBorders>
            <w:shd w:fill="FBF3CB"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MEDIUM</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 — do not compete</w:t>
            </w:r>
          </w:p>
        </w:tc>
      </w:tr>
    </w:tbl>
    <w:p>
      <w:pPr>
        <w:pStyle w:val="Heading2"/>
        <w:spacing w:after="140" w:before="340"/>
      </w:pPr>
      <w:r>
        <w:rPr>
          <w:rFonts w:ascii="Calibri" w:cs="Calibri" w:eastAsia="Calibri" w:hAnsi="Calibri"/>
          <w:b/>
          <w:bCs/>
          <w:color w:val="1C6B4C"/>
          <w:sz w:val="26"/>
          <w:szCs w:val="26"/>
        </w:rPr>
        <w:t xml:space="preserve">13.3 Lower or niche threat — monitor only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31"/>
        <w:gridCol w:w="1455"/>
        <w:gridCol w:w="2522"/>
        <w:gridCol w:w="1261"/>
        <w:gridCol w:w="2231"/>
      </w:tblGrid>
      <w:tr>
        <w:trPr>
          <w:tblHeader/>
        </w:trPr>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Organisation</w:t>
            </w:r>
          </w:p>
        </w:tc>
        <w:tc>
          <w:tcPr>
            <w:tcW w:type="dxa" w:w="1455"/>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Archetype</w:t>
            </w:r>
          </w:p>
        </w:tc>
        <w:tc>
          <w:tcPr>
            <w:tcW w:type="dxa" w:w="2522"/>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Segments</w:t>
            </w:r>
          </w:p>
        </w:tc>
        <w:tc>
          <w:tcPr>
            <w:tcW w:type="dxa" w:w="126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Threat</w:t>
            </w:r>
          </w:p>
        </w:tc>
        <w:tc>
          <w:tcPr>
            <w:tcW w:type="dxa" w:w="2231"/>
            <w:tcBorders>
              <w:top w:val="single" w:color="C9D6CF" w:sz="2"/>
              <w:left w:val="single" w:color="C9D6CF" w:sz="2"/>
              <w:bottom w:val="single" w:color="C9D6CF" w:sz="2"/>
              <w:right w:val="single" w:color="C9D6CF" w:sz="2"/>
            </w:tcBorders>
            <w:shd w:fill="10362B" w:val="clear"/>
            <w:tcMar>
              <w:top w:type="dxa" w:w="70"/>
              <w:left w:type="dxa" w:w="90"/>
              <w:bottom w:type="dxa" w:w="70"/>
              <w:right w:type="dxa" w:w="90"/>
            </w:tcMar>
          </w:tcPr>
          <w:p>
            <w:pPr>
              <w:spacing w:after="20" w:before="20"/>
            </w:pPr>
            <w:r>
              <w:rPr>
                <w:rFonts w:ascii="Calibri" w:cs="Calibri" w:eastAsia="Calibri" w:hAnsi="Calibri"/>
                <w:b/>
                <w:bCs/>
                <w:color w:val="FFFFFF"/>
                <w:sz w:val="17"/>
                <w:szCs w:val="17"/>
              </w:rPr>
              <w:t xml:space="preserve">Posture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ISS, CBRE, Sodexo, OCS, Bellrock, Churchill</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FM</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Public sector, I&amp;C</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Harmony Energy, Field, Eku, Fidra, NatPower, Penso, Root-Power, Pacific Green, Elgin, Enso</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BESS/solar developers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Client / 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Gresham House, Foresight, NextEnergy, Bluefield, Low Carbon, Downing, Triple Point</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Asset funds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Funder / client</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Voltalia, BSR, RES, Enviromena</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EPC</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Compete</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Fortem, Mears, Novus, Ian Williams, Bell Group, Lovell, MSPS</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 contractors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Warmworks, AgilityEco, Melius Homes, Sustainable Building Services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Retrofit / ECO delivery</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Housing</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Switch2, Insite Energy, Metropolitan</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Heat metering &amp; billing</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GT Energy, GEL, CeraPhi, Town Rock, Rendesco, Erda</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Geothermal</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Cities, Public sector</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Mitsubishi, Daikin, Vaillant, Ideal, Baxi, Clade, Bosch, Danfoss, Trane, Carrier, ABB, Eaton, Vertiv</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Manufacturers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All</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Supplier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bp pulse, InstaVolt, Osprey, Gridserve, Pod Point, char.gy, ubitricity, SWARCO, Mer, Voltempo, Milence, Paua</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EV charging networks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EV</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Freedom Networks, GTC, Last Mile, ESP, Leep, Energy Assets, Fulcrum, MUA, Harlaxton, Indigo, Utility Assets</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IDNOs</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All</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Rolls-Royce mtu, Finning/Caterpillar, Cummins, Kohler, 2G Energy</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Generation packages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Data centres</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Supplier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Flexitricity, Limejump, Habitat, Axle, Modo</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Flexibility &amp; optimisation</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Grid-scale</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Demand Logic, measurable.energy, Carbon Numbers</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Analytics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I&amp;C, Public sector</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Storegga, Progressive Energy, Future Biogas, Bennamann</w:t>
            </w:r>
          </w:p>
        </w:tc>
        <w:tc>
          <w:tcPr>
            <w:tcW w:type="dxa" w:w="1455"/>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Hydrogen / biomethane</w:t>
            </w:r>
          </w:p>
        </w:tc>
        <w:tc>
          <w:tcPr>
            <w:tcW w:type="dxa" w:w="2522"/>
            <w:tcBorders>
              <w:top w:val="single" w:color="C9D6CF" w:sz="2"/>
              <w:left w:val="single" w:color="C9D6CF" w:sz="2"/>
              <w:bottom w:val="single" w:color="C9D6CF" w:sz="2"/>
              <w:right w:val="single" w:color="C9D6CF" w:sz="2"/>
            </w:tcBorders>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Industrial</w:t>
            </w:r>
          </w:p>
        </w:tc>
        <w:tc>
          <w:tcPr>
            <w:tcW w:type="dxa" w:w="1261"/>
            <w:tcBorders>
              <w:top w:val="single" w:color="C9D6CF" w:sz="2"/>
              <w:left w:val="single" w:color="C9D6CF" w:sz="2"/>
              <w:bottom w:val="single" w:color="C9D6CF" w:sz="2"/>
              <w:right w:val="single" w:color="C9D6CF" w:sz="2"/>
            </w:tcBorders>
            <w:shd w:fill="E4F0DC"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w:t>
            </w:r>
          </w:p>
        </w:tc>
        <w:tc>
          <w:tcPr>
            <w:tcW w:type="dxa" w:w="2231"/>
            <w:tcBorders>
              <w:top w:val="single" w:color="C9D6CF" w:sz="2"/>
              <w:left w:val="single" w:color="C9D6CF" w:sz="2"/>
              <w:bottom w:val="single" w:color="C9D6CF" w:sz="2"/>
              <w:right w:val="single" w:color="C9D6CF" w:sz="2"/>
            </w:tcBorders>
            <w:shd w:fill="DCE9F5"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Partner</w:t>
            </w:r>
          </w:p>
        </w:tc>
      </w:tr>
      <w:tr>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b/>
                <w:bCs/>
                <w:i w:val="false"/>
                <w:iCs w:val="false"/>
                <w:color w:val="222222"/>
                <w:sz w:val="17"/>
                <w:szCs w:val="17"/>
              </w:rPr>
              <w:t xml:space="preserve">ScottishPower, Statkraft, EDF (generation)</w:t>
            </w:r>
          </w:p>
        </w:tc>
        <w:tc>
          <w:tcPr>
            <w:tcW w:type="dxa" w:w="1455"/>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Utilities</w:t>
            </w:r>
          </w:p>
        </w:tc>
        <w:tc>
          <w:tcPr>
            <w:tcW w:type="dxa" w:w="2522"/>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Grid-scale, I&amp;C</w:t>
            </w:r>
          </w:p>
        </w:tc>
        <w:tc>
          <w:tcPr>
            <w:tcW w:type="dxa" w:w="126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center"/>
            </w:pPr>
            <w:r>
              <w:rPr>
                <w:rFonts w:ascii="Calibri" w:cs="Calibri" w:eastAsia="Calibri" w:hAnsi="Calibri"/>
                <w:i w:val="false"/>
                <w:iCs w:val="false"/>
                <w:color w:val="222222"/>
                <w:sz w:val="17"/>
                <w:szCs w:val="17"/>
              </w:rPr>
              <w:t xml:space="preserve">LOW-MEDIUM</w:t>
            </w:r>
          </w:p>
        </w:tc>
        <w:tc>
          <w:tcPr>
            <w:tcW w:type="dxa" w:w="2231"/>
            <w:tcBorders>
              <w:top w:val="single" w:color="C9D6CF" w:sz="2"/>
              <w:left w:val="single" w:color="C9D6CF" w:sz="2"/>
              <w:bottom w:val="single" w:color="C9D6CF" w:sz="2"/>
              <w:right w:val="single" w:color="C9D6CF" w:sz="2"/>
            </w:tcBorders>
            <w:shd w:fill="F1F5F2" w:val="clear"/>
            <w:tcMar>
              <w:top w:type="dxa" w:w="70"/>
              <w:left w:type="dxa" w:w="90"/>
              <w:bottom w:type="dxa" w:w="70"/>
              <w:right w:type="dxa" w:w="90"/>
            </w:tcMar>
          </w:tcPr>
          <w:p>
            <w:pPr>
              <w:spacing w:after="20" w:before="20" w:line="240"/>
              <w:jc w:val="left"/>
            </w:pPr>
            <w:r>
              <w:rPr>
                <w:rFonts w:ascii="Calibri" w:cs="Calibri" w:eastAsia="Calibri" w:hAnsi="Calibri"/>
                <w:i w:val="false"/>
                <w:iCs w:val="false"/>
                <w:color w:val="222222"/>
                <w:sz w:val="17"/>
                <w:szCs w:val="17"/>
              </w:rPr>
              <w:t xml:space="preserve">Both</w:t>
            </w:r>
          </w:p>
        </w:tc>
      </w:tr>
    </w:tbl>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14. Conclusions and recommended actions</w:t>
      </w:r>
    </w:p>
    <w:p>
      <w:pPr>
        <w:pStyle w:val="Heading2"/>
        <w:spacing w:after="140" w:before="340"/>
      </w:pPr>
      <w:r>
        <w:rPr>
          <w:rFonts w:ascii="Calibri" w:cs="Calibri" w:eastAsia="Calibri" w:hAnsi="Calibri"/>
          <w:b/>
          <w:bCs/>
          <w:color w:val="1C6B4C"/>
          <w:sz w:val="26"/>
          <w:szCs w:val="26"/>
        </w:rPr>
        <w:t xml:space="preserve">14.1 What the analysis actually shows</w:t>
      </w:r>
    </w:p>
    <w:p>
      <w:pPr>
        <w:spacing w:after="140" w:line="276"/>
        <w:jc w:val="left"/>
      </w:pPr>
      <w:r>
        <w:rPr>
          <w:rFonts w:ascii="Calibri" w:cs="Calibri" w:eastAsia="Calibri" w:hAnsi="Calibri"/>
          <w:b/>
          <w:bCs/>
          <w:i w:val="false"/>
          <w:iCs w:val="false"/>
          <w:color w:val="222222"/>
          <w:sz w:val="20"/>
          <w:szCs w:val="20"/>
        </w:rPr>
        <w:t xml:space="preserve">We are more differentiated than we behave.</w:t>
      </w:r>
      <w:r>
        <w:rPr>
          <w:rFonts w:ascii="Calibri" w:cs="Calibri" w:eastAsia="Calibri" w:hAnsi="Calibri"/>
          <w:i w:val="false"/>
          <w:iCs w:val="false"/>
          <w:color w:val="222222"/>
          <w:sz w:val="20"/>
          <w:szCs w:val="20"/>
        </w:rPr>
        <w:t xml:space="preserve"> Only E.ON and Vital Energi score above 24 on wrap coverage, and neither of them matches us on all five elements at once. The proposition is real. The problem is that its value is invisible at the moment most buying decisions are shaped — which is well before tender.</w:t>
      </w:r>
    </w:p>
    <w:p>
      <w:pPr>
        <w:spacing w:after="140" w:line="276"/>
        <w:jc w:val="left"/>
      </w:pPr>
      <w:r>
        <w:rPr>
          <w:rFonts w:ascii="Calibri" w:cs="Calibri" w:eastAsia="Calibri" w:hAnsi="Calibri"/>
          <w:b/>
          <w:bCs/>
          <w:i w:val="false"/>
          <w:iCs w:val="false"/>
          <w:color w:val="222222"/>
          <w:sz w:val="20"/>
          <w:szCs w:val="20"/>
        </w:rPr>
        <w:t xml:space="preserve">Our differentiation is concentrated in the least legible element.</w:t>
      </w:r>
      <w:r>
        <w:rPr>
          <w:rFonts w:ascii="Calibri" w:cs="Calibri" w:eastAsia="Calibri" w:hAnsi="Calibri"/>
          <w:i w:val="false"/>
          <w:iCs w:val="false"/>
          <w:color w:val="222222"/>
          <w:sz w:val="20"/>
          <w:szCs w:val="20"/>
        </w:rPr>
        <w:t xml:space="preserve"> Finance is no longer scarce; delivery is available from twenty organisations; design is available from every consultancy. </w:t>
      </w:r>
      <w:r>
        <w:rPr>
          <w:rFonts w:ascii="Calibri" w:cs="Calibri" w:eastAsia="Calibri" w:hAnsi="Calibri"/>
          <w:b/>
          <w:bCs/>
          <w:i w:val="false"/>
          <w:iCs w:val="false"/>
          <w:color w:val="222222"/>
          <w:sz w:val="20"/>
          <w:szCs w:val="20"/>
        </w:rPr>
        <w:t xml:space="preserve">Optimise — guaranteed savings, measurement and verification, and continuous improvement over 10–25 years — is where the field genuinely thins.</w:t>
      </w:r>
      <w:r>
        <w:rPr>
          <w:rFonts w:ascii="Calibri" w:cs="Calibri" w:eastAsia="Calibri" w:hAnsi="Calibri"/>
          <w:i w:val="false"/>
          <w:iCs w:val="false"/>
          <w:color w:val="222222"/>
          <w:sz w:val="20"/>
          <w:szCs w:val="20"/>
        </w:rPr>
        <w:t xml:space="preserve"> It is also the hardest thing for a buyer to evaluate, which means it must be made contractual and specific in every proposal rather than described as a capability.</w:t>
      </w:r>
    </w:p>
    <w:p>
      <w:pPr>
        <w:spacing w:after="140" w:line="276"/>
        <w:jc w:val="left"/>
      </w:pPr>
      <w:r>
        <w:rPr>
          <w:rFonts w:ascii="Calibri" w:cs="Calibri" w:eastAsia="Calibri" w:hAnsi="Calibri"/>
          <w:b/>
          <w:bCs/>
          <w:i w:val="false"/>
          <w:iCs w:val="false"/>
          <w:color w:val="222222"/>
          <w:sz w:val="20"/>
          <w:szCs w:val="20"/>
        </w:rPr>
        <w:t xml:space="preserve">The market is moving our way on a two-year lag.</w:t>
      </w:r>
      <w:r>
        <w:rPr>
          <w:rFonts w:ascii="Calibri" w:cs="Calibri" w:eastAsia="Calibri" w:hAnsi="Calibri"/>
          <w:i w:val="false"/>
          <w:iCs w:val="false"/>
          <w:color w:val="222222"/>
          <w:sz w:val="20"/>
          <w:szCs w:val="20"/>
        </w:rPr>
        <w:t xml:space="preserve"> The end of PSDS, the arrival of heat network zoning and the shift from grant to structure all favour a funded, accountable, long-horizon partner. But competitors carrying awarded grant backlogs will look strong until 2027–28, and GB Energy grant will keep single-technology propositions competitive in our target public estates in the meantime.</w:t>
      </w:r>
    </w:p>
    <w:p>
      <w:pPr>
        <w:spacing w:after="140" w:line="276"/>
        <w:jc w:val="left"/>
      </w:pPr>
      <w:r>
        <w:rPr>
          <w:rFonts w:ascii="Calibri" w:cs="Calibri" w:eastAsia="Calibri" w:hAnsi="Calibri"/>
          <w:b/>
          <w:bCs/>
          <w:i w:val="false"/>
          <w:iCs w:val="false"/>
          <w:color w:val="222222"/>
          <w:sz w:val="20"/>
          <w:szCs w:val="20"/>
        </w:rPr>
        <w:t xml:space="preserve">Two capability gaps are strategic rather than tactical.</w:t>
      </w:r>
      <w:r>
        <w:rPr>
          <w:rFonts w:ascii="Calibri" w:cs="Calibri" w:eastAsia="Calibri" w:hAnsi="Calibri"/>
          <w:i w:val="false"/>
          <w:iCs w:val="false"/>
          <w:color w:val="222222"/>
          <w:sz w:val="20"/>
          <w:szCs w:val="20"/>
        </w:rPr>
        <w:t xml:space="preserve"> Grid connections and digital optimisation platform. Every top-ten competitor has an answer to at least one of them; several have both.</w:t>
      </w:r>
    </w:p>
    <w:p>
      <w:pPr>
        <w:pStyle w:val="Heading2"/>
        <w:spacing w:after="140" w:before="340"/>
      </w:pPr>
      <w:r>
        <w:rPr>
          <w:rFonts w:ascii="Calibri" w:cs="Calibri" w:eastAsia="Calibri" w:hAnsi="Calibri"/>
          <w:b/>
          <w:bCs/>
          <w:color w:val="1C6B4C"/>
          <w:sz w:val="26"/>
          <w:szCs w:val="26"/>
        </w:rPr>
        <w:t xml:space="preserve">14.2 Ten recommended actions</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Resource framework and specification influence as a competitive activity.</w:t>
      </w:r>
      <w:r>
        <w:rPr>
          <w:rFonts w:ascii="Calibri" w:cs="Calibri" w:eastAsia="Calibri" w:hAnsi="Calibri"/>
          <w:i w:val="false"/>
          <w:iCs w:val="false"/>
          <w:color w:val="222222"/>
          <w:sz w:val="20"/>
          <w:szCs w:val="20"/>
        </w:rPr>
        <w:t xml:space="preserve"> Lot structure decides more outcomes than bid quality. Prioritise the NHS £1bn framework Lot 6 position and equivalent principal-partner routes; treat consultancy lots as contested ground.</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Agree and circulate one line on the Vattenfall / Bristol counterparty change this month.</w:t>
      </w:r>
      <w:r>
        <w:rPr>
          <w:rFonts w:ascii="Calibri" w:cs="Calibri" w:eastAsia="Calibri" w:hAnsi="Calibri"/>
          <w:i w:val="false"/>
          <w:iCs w:val="false"/>
          <w:color w:val="222222"/>
          <w:sz w:val="20"/>
          <w:szCs w:val="20"/>
        </w:rPr>
        <w:t xml:space="preserve"> Competitors will raise it in city pursuits. The line should be confident, factual and immediately followed by Bristol delivery evidence — the £424m five-year delivery expectation, £15m of social value, £10m for households at risk of fuel poverty, the community energy fund and the 1MW heat pump energy centre from autumn 2026.</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Close the grid connections gap by partnership or acquisition.</w:t>
      </w:r>
      <w:r>
        <w:rPr>
          <w:rFonts w:ascii="Calibri" w:cs="Calibri" w:eastAsia="Calibri" w:hAnsi="Calibri"/>
          <w:i w:val="false"/>
          <w:iCs w:val="false"/>
          <w:color w:val="222222"/>
          <w:sz w:val="20"/>
          <w:szCs w:val="20"/>
        </w:rPr>
        <w:t xml:space="preserve"> Establish a preferred relationship with an IDNO or ICP (Eclipse Power, OCU, GTC or equivalent) so that connections are a capability we bring rather than a risk we flag. This is the highest-value single move in this document.</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Make the guarantee and M&amp;V contractual and quantified in every proposal.</w:t>
      </w:r>
      <w:r>
        <w:rPr>
          <w:rFonts w:ascii="Calibri" w:cs="Calibri" w:eastAsia="Calibri" w:hAnsi="Calibri"/>
          <w:i w:val="false"/>
          <w:iCs w:val="false"/>
          <w:color w:val="222222"/>
          <w:sz w:val="20"/>
          <w:szCs w:val="20"/>
        </w:rPr>
        <w:t xml:space="preserve"> Our sharpest edge is the least visible. Publish the mechanism, the measurement standard, the reporting cadence and the remedy — and ask evaluators to require the same from every bidder.</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Stop competing with grant.</w:t>
      </w:r>
      <w:r>
        <w:rPr>
          <w:rFonts w:ascii="Calibri" w:cs="Calibri" w:eastAsia="Calibri" w:hAnsi="Calibri"/>
          <w:i w:val="false"/>
          <w:iCs w:val="false"/>
          <w:color w:val="222222"/>
          <w:sz w:val="20"/>
          <w:szCs w:val="20"/>
        </w:rPr>
        <w:t xml:space="preserve"> Where GB Energy funding is available for solar on a school or NHS site, concede the roof and sell the heat, plant, resilience and M&amp;V. Build a specific play for this and brief the public sector team.</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Engage in the six first heat network zones before Zone Coordinator appointments are made.</w:t>
      </w:r>
      <w:r>
        <w:rPr>
          <w:rFonts w:ascii="Calibri" w:cs="Calibri" w:eastAsia="Calibri" w:hAnsi="Calibri"/>
          <w:i w:val="false"/>
          <w:iCs w:val="false"/>
          <w:color w:val="222222"/>
          <w:sz w:val="20"/>
          <w:szCs w:val="20"/>
        </w:rPr>
        <w:t xml:space="preserve"> Leeds, Plymouth, Bristol, Stockport, Sheffield and the two London areas. Bristol is an advantage; the other five are open. After designation these markets close for twenty years.</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Build a formal partner map for data centres.</w:t>
      </w:r>
      <w:r>
        <w:rPr>
          <w:rFonts w:ascii="Calibri" w:cs="Calibri" w:eastAsia="Calibri" w:hAnsi="Calibri"/>
          <w:i w:val="false"/>
          <w:iCs w:val="false"/>
          <w:color w:val="222222"/>
          <w:sz w:val="20"/>
          <w:szCs w:val="20"/>
        </w:rPr>
        <w:t xml:space="preserve"> Named relationships with the critical MEP ecosystem (Mercury, Winthrop, Kirby, Dornan/Turner) and with standby and microgrid suppliers, so we compete on grid, land, private wire and heat export and never on white space.</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Track five trigger events monthly:</w:t>
      </w:r>
      <w:r>
        <w:rPr>
          <w:rFonts w:ascii="Calibri" w:cs="Calibri" w:eastAsia="Calibri" w:hAnsi="Calibri"/>
          <w:i w:val="false"/>
          <w:iCs w:val="false"/>
          <w:color w:val="222222"/>
          <w:sz w:val="20"/>
          <w:szCs w:val="20"/>
        </w:rPr>
        <w:t xml:space="preserve"> a Mitie funding platform; a Schneider or Siemens UK delivery acquisition; an ENGIE UK services acquisition; Vital Energi moving into guaranteed savings; and any Zone Coordinator delivery appointment. Each would change the competitive picture materially and each is publicly observable.</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Use infrastructure capital deliberately as a capacity extender.</w:t>
      </w:r>
      <w:r>
        <w:rPr>
          <w:rFonts w:ascii="Calibri" w:cs="Calibri" w:eastAsia="Calibri" w:hAnsi="Calibri"/>
          <w:i w:val="false"/>
          <w:iCs w:val="false"/>
          <w:color w:val="222222"/>
          <w:sz w:val="20"/>
          <w:szCs w:val="20"/>
        </w:rPr>
        <w:t xml:space="preserve"> Institutional investors — Aviva, L&amp;G, PIC, the National Wealth Fund — are looking for exactly the long-dated, inflation-linked assets our programmes create. Co-investment lets us bid larger than balance sheet without diluting accountability.</w:t>
      </w:r>
    </w:p>
    <w:p>
      <w:pPr>
        <w:pStyle w:val="ListParagraph"/>
        <w:numPr>
          <w:ilvl w:val="0"/>
          <w:numId w:val="2"/>
        </w:numPr>
        <w:spacing w:after="70" w:line="264"/>
      </w:pPr>
      <w:r>
        <w:rPr>
          <w:rFonts w:ascii="Calibri" w:cs="Calibri" w:eastAsia="Calibri" w:hAnsi="Calibri"/>
          <w:b/>
          <w:bCs/>
          <w:i w:val="false"/>
          <w:iCs w:val="false"/>
          <w:color w:val="222222"/>
          <w:sz w:val="20"/>
          <w:szCs w:val="20"/>
        </w:rPr>
        <w:t xml:space="preserve">Enforce the qualification test that already exists in the value proposition.</w:t>
      </w:r>
      <w:r>
        <w:rPr>
          <w:rFonts w:ascii="Calibri" w:cs="Calibri" w:eastAsia="Calibri" w:hAnsi="Calibri"/>
          <w:i w:val="false"/>
          <w:iCs w:val="false"/>
          <w:color w:val="222222"/>
          <w:sz w:val="20"/>
          <w:szCs w:val="20"/>
        </w:rPr>
        <w:t xml:space="preserve"> If the buyer only wants the cheapest price for a single technology, we are not in our strongest lane. Every pursuit that fails that test consumes capacity that belongs in a funded programme. The discipline is the strategy.</w:t>
      </w:r>
    </w:p>
    <w:p>
      <w:pPr>
        <w:pStyle w:val="Heading2"/>
        <w:spacing w:after="140" w:before="340"/>
      </w:pPr>
      <w:r>
        <w:rPr>
          <w:rFonts w:ascii="Calibri" w:cs="Calibri" w:eastAsia="Calibri" w:hAnsi="Calibri"/>
          <w:b/>
          <w:bCs/>
          <w:color w:val="1C6B4C"/>
          <w:sz w:val="26"/>
          <w:szCs w:val="26"/>
        </w:rPr>
        <w:t xml:space="preserve">14.3 What we would still like to know</w:t>
      </w:r>
    </w:p>
    <w:p>
      <w:pPr>
        <w:spacing w:after="140" w:line="276"/>
        <w:jc w:val="left"/>
      </w:pPr>
      <w:r>
        <w:rPr>
          <w:rFonts w:ascii="Calibri" w:cs="Calibri" w:eastAsia="Calibri" w:hAnsi="Calibri"/>
          <w:i w:val="false"/>
          <w:iCs w:val="false"/>
          <w:color w:val="222222"/>
          <w:sz w:val="20"/>
          <w:szCs w:val="20"/>
        </w:rPr>
        <w:t xml:space="preserve">Three questions this analysis cannot answer from public sources and which would materially sharpen it:</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Our own win/loss data.</w:t>
      </w:r>
      <w:r>
        <w:rPr>
          <w:rFonts w:ascii="Calibri" w:cs="Calibri" w:eastAsia="Calibri" w:hAnsi="Calibri"/>
          <w:i w:val="false"/>
          <w:iCs w:val="false"/>
          <w:color w:val="222222"/>
          <w:sz w:val="20"/>
          <w:szCs w:val="20"/>
        </w:rPr>
        <w:t xml:space="preserve"> Which of these ten we actually lose to, at what stage, and on what stated reason. Public analysis identifies who can beat us; only internal data shows who does.</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Competitor pricing behaviour on funded structures.</w:t>
      </w:r>
      <w:r>
        <w:rPr>
          <w:rFonts w:ascii="Calibri" w:cs="Calibri" w:eastAsia="Calibri" w:hAnsi="Calibri"/>
          <w:i w:val="false"/>
          <w:iCs w:val="false"/>
          <w:color w:val="222222"/>
          <w:sz w:val="20"/>
          <w:szCs w:val="20"/>
        </w:rPr>
        <w:t xml:space="preserve"> Whether Vital, E.ON and Centrica are pricing funded deals at or below our hurdle rates, which determines whether the funding differentiator is being competed away or simply matched.</w:t>
      </w:r>
    </w:p>
    <w:p>
      <w:pPr>
        <w:pStyle w:val="ListParagraph"/>
        <w:numPr>
          <w:ilvl w:val="0"/>
          <w:numId w:val="3"/>
        </w:numPr>
        <w:spacing w:after="70" w:line="264"/>
      </w:pPr>
      <w:r>
        <w:rPr>
          <w:rFonts w:ascii="Calibri" w:cs="Calibri" w:eastAsia="Calibri" w:hAnsi="Calibri"/>
          <w:b/>
          <w:bCs/>
          <w:i w:val="false"/>
          <w:iCs w:val="false"/>
          <w:color w:val="222222"/>
          <w:sz w:val="20"/>
          <w:szCs w:val="20"/>
        </w:rPr>
        <w:t xml:space="preserve">Framework outcomes.</w:t>
      </w:r>
      <w:r>
        <w:rPr>
          <w:rFonts w:ascii="Calibri" w:cs="Calibri" w:eastAsia="Calibri" w:hAnsi="Calibri"/>
          <w:i w:val="false"/>
          <w:iCs w:val="false"/>
          <w:color w:val="222222"/>
          <w:sz w:val="20"/>
          <w:szCs w:val="20"/>
        </w:rPr>
        <w:t xml:space="preserve"> The awarded supplier list for the NHS £1bn framework, particularly Lot 6, once published — that single document will define the public sector competitive set through to 2029.</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Appendix A — Full company index</w:t>
      </w:r>
    </w:p>
    <w:p>
      <w:pPr>
        <w:spacing w:after="140" w:line="276"/>
        <w:jc w:val="left"/>
      </w:pPr>
      <w:r>
        <w:rPr>
          <w:rFonts w:ascii="Calibri" w:cs="Calibri" w:eastAsia="Calibri" w:hAnsi="Calibri"/>
          <w:i w:val="false"/>
          <w:iCs w:val="false"/>
          <w:color w:val="222222"/>
          <w:sz w:val="20"/>
          <w:szCs w:val="20"/>
        </w:rPr>
        <w:t xml:space="preserve">Every organisation referenced in this analysis, grouped by primary role. Organisations appearing in more than one role are listed under each.</w:t>
      </w:r>
    </w:p>
    <w:p>
      <w:pPr>
        <w:pStyle w:val="Heading3"/>
        <w:spacing w:after="100" w:before="240"/>
      </w:pPr>
      <w:r>
        <w:rPr>
          <w:rFonts w:ascii="Calibri" w:cs="Calibri" w:eastAsia="Calibri" w:hAnsi="Calibri"/>
          <w:b/>
          <w:bCs/>
          <w:color w:val="4C9A2A"/>
          <w:sz w:val="22"/>
          <w:szCs w:val="22"/>
        </w:rPr>
        <w:t xml:space="preserve">A1. Funded multi-technology integrators (direct peers)</w:t>
      </w:r>
    </w:p>
    <w:p>
      <w:pPr>
        <w:spacing w:after="140" w:line="276"/>
        <w:jc w:val="left"/>
      </w:pPr>
      <w:r>
        <w:rPr>
          <w:rFonts w:ascii="Calibri" w:cs="Calibri" w:eastAsia="Calibri" w:hAnsi="Calibri"/>
          <w:i w:val="false"/>
          <w:iCs w:val="false"/>
          <w:color w:val="222222"/>
          <w:sz w:val="20"/>
          <w:szCs w:val="20"/>
        </w:rPr>
        <w:t xml:space="preserve">Ameresco · E.ON UK Energy Infrastructure Solutions · Vital Energi · Veolia UK &amp; Ireland · EQUANS UK &amp; Ireland · Centrica Business Solutions · Dalkia UK (EDF) · SSE Energy Solutions · ENGIE UK · Hemiko (DIF Capital Partners)</w:t>
      </w:r>
    </w:p>
    <w:p>
      <w:pPr>
        <w:pStyle w:val="Heading3"/>
        <w:spacing w:after="100" w:before="240"/>
      </w:pPr>
      <w:r>
        <w:rPr>
          <w:rFonts w:ascii="Calibri" w:cs="Calibri" w:eastAsia="Calibri" w:hAnsi="Calibri"/>
          <w:b/>
          <w:bCs/>
          <w:color w:val="4C9A2A"/>
          <w:sz w:val="22"/>
          <w:szCs w:val="22"/>
        </w:rPr>
        <w:t xml:space="preserve">A2. Services, FM and construction-led</w:t>
      </w:r>
    </w:p>
    <w:p>
      <w:pPr>
        <w:spacing w:after="140" w:line="276"/>
        <w:jc w:val="left"/>
      </w:pPr>
      <w:r>
        <w:rPr>
          <w:rFonts w:ascii="Calibri" w:cs="Calibri" w:eastAsia="Calibri" w:hAnsi="Calibri"/>
          <w:i w:val="false"/>
          <w:iCs w:val="false"/>
          <w:color w:val="222222"/>
          <w:sz w:val="20"/>
          <w:szCs w:val="20"/>
        </w:rPr>
        <w:t xml:space="preserve">EQUANS · Mitie · Dalkia UK · Veolia · Amey · ISS · CBRE · Sodexo · OCS · Bellrock · Churchill · Sureserve Group · United Living · Fortem (Willmott Dixon) · Mears · Wates · Novus · Ian Williams · Bell Group · Lovell · Morgan Sindall Property Services · Kier · Balfour Beatty · Morgan Sindall Infrastructure · Willmott Dixon · NG Bailey · SPIE UK · Skanska UK · Laing O'Rourke · Mace · BAM</w:t>
      </w:r>
    </w:p>
    <w:p>
      <w:pPr>
        <w:pStyle w:val="Heading3"/>
        <w:spacing w:after="100" w:before="240"/>
      </w:pPr>
      <w:r>
        <w:rPr>
          <w:rFonts w:ascii="Calibri" w:cs="Calibri" w:eastAsia="Calibri" w:hAnsi="Calibri"/>
          <w:b/>
          <w:bCs/>
          <w:color w:val="4C9A2A"/>
          <w:sz w:val="22"/>
          <w:szCs w:val="22"/>
        </w:rPr>
        <w:t xml:space="preserve">A3. Utility and supply-led</w:t>
      </w:r>
    </w:p>
    <w:p>
      <w:pPr>
        <w:spacing w:after="140" w:line="276"/>
        <w:jc w:val="left"/>
      </w:pPr>
      <w:r>
        <w:rPr>
          <w:rFonts w:ascii="Calibri" w:cs="Calibri" w:eastAsia="Calibri" w:hAnsi="Calibri"/>
          <w:i w:val="false"/>
          <w:iCs w:val="false"/>
          <w:color w:val="222222"/>
          <w:sz w:val="20"/>
          <w:szCs w:val="20"/>
        </w:rPr>
        <w:t xml:space="preserve">Centrica / British Gas Business · E.ON UK · EDF · SSE · ENGIE (incl. UK Power Networks) · Octopus Energy (incl. Octopus Sky Fund / Eclipse Power) · ScottishPower · Statkraft · Bord Gáis (Centrica) · Good Energy · Drax</w:t>
      </w:r>
    </w:p>
    <w:p>
      <w:pPr>
        <w:pStyle w:val="Heading3"/>
        <w:spacing w:after="100" w:before="240"/>
      </w:pPr>
      <w:r>
        <w:rPr>
          <w:rFonts w:ascii="Calibri" w:cs="Calibri" w:eastAsia="Calibri" w:hAnsi="Calibri"/>
          <w:b/>
          <w:bCs/>
          <w:color w:val="4C9A2A"/>
          <w:sz w:val="22"/>
          <w:szCs w:val="22"/>
        </w:rPr>
        <w:t xml:space="preserve">A4. Technology, OEM and platform</w:t>
      </w:r>
    </w:p>
    <w:p>
      <w:pPr>
        <w:spacing w:after="140" w:line="276"/>
        <w:jc w:val="left"/>
      </w:pPr>
      <w:r>
        <w:rPr>
          <w:rFonts w:ascii="Calibri" w:cs="Calibri" w:eastAsia="Calibri" w:hAnsi="Calibri"/>
          <w:i w:val="false"/>
          <w:iCs w:val="false"/>
          <w:color w:val="222222"/>
          <w:sz w:val="20"/>
          <w:szCs w:val="20"/>
        </w:rPr>
        <w:t xml:space="preserve">Schneider Electric · Siemens (Smart Infrastructure, Siemens Financial Services) · Johnson Controls (Asset+) · Honeywell Building Solutions · Trane Technologies · Carrier · ABB · Danfoss · Bosch · Eaton · Vertiv · Mitsubishi Electric · Daikin · Vaillant · Ideal Heating · Baxi · Clade Engineering · Kensa Group · Powerstar · Connected Energy</w:t>
      </w:r>
    </w:p>
    <w:p>
      <w:pPr>
        <w:pStyle w:val="Heading3"/>
        <w:spacing w:after="100" w:before="240"/>
      </w:pPr>
      <w:r>
        <w:rPr>
          <w:rFonts w:ascii="Calibri" w:cs="Calibri" w:eastAsia="Calibri" w:hAnsi="Calibri"/>
          <w:b/>
          <w:bCs/>
          <w:color w:val="4C9A2A"/>
          <w:sz w:val="22"/>
          <w:szCs w:val="22"/>
        </w:rPr>
        <w:t xml:space="preserve">A5. Solar — developers, owners and EPC</w:t>
      </w:r>
    </w:p>
    <w:p>
      <w:pPr>
        <w:spacing w:after="140" w:line="276"/>
        <w:jc w:val="left"/>
      </w:pPr>
      <w:r>
        <w:rPr>
          <w:rFonts w:ascii="Calibri" w:cs="Calibri" w:eastAsia="Calibri" w:hAnsi="Calibri"/>
          <w:i w:val="false"/>
          <w:iCs w:val="false"/>
          <w:color w:val="222222"/>
          <w:sz w:val="20"/>
          <w:szCs w:val="20"/>
        </w:rPr>
        <w:t xml:space="preserve">Lightsource bp · Belectric · Anesco · Ethical Power / Ethical Power Connections · Custom Solar (Mitie) · Voltalia · BSR · RES · Enviromena · Geo Green Power · Absolute Solar &amp; Wind · Atrato Onsite Energy · NextEnergy Capital · Foresight Solar · Bluefield Solar · Low Carbon · Island Green Power · Elgin Energy · Enso Energy · Octopus Energy Generation · Statkraft · Severn Trent Green Power</w:t>
      </w:r>
    </w:p>
    <w:p>
      <w:pPr>
        <w:pStyle w:val="Heading3"/>
        <w:spacing w:after="100" w:before="240"/>
      </w:pPr>
      <w:r>
        <w:rPr>
          <w:rFonts w:ascii="Calibri" w:cs="Calibri" w:eastAsia="Calibri" w:hAnsi="Calibri"/>
          <w:b/>
          <w:bCs/>
          <w:color w:val="4C9A2A"/>
          <w:sz w:val="22"/>
          <w:szCs w:val="22"/>
        </w:rPr>
        <w:t xml:space="preserve">A6. Battery storage — developers, owners, integrators and EPC</w:t>
      </w:r>
    </w:p>
    <w:p>
      <w:pPr>
        <w:spacing w:after="140" w:line="276"/>
        <w:jc w:val="left"/>
      </w:pPr>
      <w:r>
        <w:rPr>
          <w:rFonts w:ascii="Calibri" w:cs="Calibri" w:eastAsia="Calibri" w:hAnsi="Calibri"/>
          <w:i w:val="false"/>
          <w:iCs w:val="false"/>
          <w:color w:val="222222"/>
          <w:sz w:val="20"/>
          <w:szCs w:val="20"/>
        </w:rPr>
        <w:t xml:space="preserve">Zenobe · Statera Energy · Harmony Energy · Field · Eku Energy (Macquarie) · Fidra Energy · NatPower UK · Penso Power · Root-Power · Pacific Green · Gresham House Energy Storage Fund · Elgin Energy · Wärtsilä · Fluence · Tesla · Sungrow · BYD · CATL · Trina Storage · Envision · Belectric · Anesco · Ethical Power · G2 Energy (Mitie) · Powerstar · Connected Energy</w:t>
      </w:r>
    </w:p>
    <w:p>
      <w:pPr>
        <w:pStyle w:val="Heading3"/>
        <w:spacing w:after="100" w:before="240"/>
      </w:pPr>
      <w:r>
        <w:rPr>
          <w:rFonts w:ascii="Calibri" w:cs="Calibri" w:eastAsia="Calibri" w:hAnsi="Calibri"/>
          <w:b/>
          <w:bCs/>
          <w:color w:val="4C9A2A"/>
          <w:sz w:val="22"/>
          <w:szCs w:val="22"/>
        </w:rPr>
        <w:t xml:space="preserve">A7. CHP, engines and thermal generation</w:t>
      </w:r>
    </w:p>
    <w:p>
      <w:pPr>
        <w:spacing w:after="140" w:line="276"/>
        <w:jc w:val="left"/>
      </w:pPr>
      <w:r>
        <w:rPr>
          <w:rFonts w:ascii="Calibri" w:cs="Calibri" w:eastAsia="Calibri" w:hAnsi="Calibri"/>
          <w:i w:val="false"/>
          <w:iCs w:val="false"/>
          <w:color w:val="222222"/>
          <w:sz w:val="20"/>
          <w:szCs w:val="20"/>
        </w:rPr>
        <w:t xml:space="preserve">Clarke Energy (Jenbacher/Kohler) · Edina (MWM) · Centrica Business Solutions · Veolia · Vital Energi · Dalkia · E.ON · Finning (Caterpillar) · Cummins · Rolls-Royce mtu · Kohler · 2G Energy · Bosch · ENER-G legacy cogeneration</w:t>
      </w:r>
    </w:p>
    <w:p>
      <w:pPr>
        <w:pStyle w:val="Heading3"/>
        <w:spacing w:after="100" w:before="240"/>
      </w:pPr>
      <w:r>
        <w:rPr>
          <w:rFonts w:ascii="Calibri" w:cs="Calibri" w:eastAsia="Calibri" w:hAnsi="Calibri"/>
          <w:b/>
          <w:bCs/>
          <w:color w:val="4C9A2A"/>
          <w:sz w:val="22"/>
          <w:szCs w:val="22"/>
        </w:rPr>
        <w:t xml:space="preserve">A8. Heat pumps, geothermal and heat networks</w:t>
      </w:r>
    </w:p>
    <w:p>
      <w:pPr>
        <w:spacing w:after="140" w:line="276"/>
        <w:jc w:val="left"/>
      </w:pPr>
      <w:r>
        <w:rPr>
          <w:rFonts w:ascii="Calibri" w:cs="Calibri" w:eastAsia="Calibri" w:hAnsi="Calibri"/>
          <w:i w:val="false"/>
          <w:iCs w:val="false"/>
          <w:color w:val="222222"/>
          <w:sz w:val="20"/>
          <w:szCs w:val="20"/>
        </w:rPr>
        <w:t xml:space="preserve">Vital Energi · E.ON · Veolia · Hemiko · Vattenfall Heat UK (sale to Reinova Capital reported) · 1Energy · Switch2 Energy · Insite Energy · Metropolitan · Star Refrigeration / Star Renewable Energy · Star Energy · Geothermal Engineering Ltd · GT Energy · CeraPhi Energy · Town Rock Energy · Rendesco · Erda Energy · Kensa Group · Clade Engineering · Triple Point Heat Networks Investment Management · Ramboll · Arup · AECOM · Buro Happold</w:t>
      </w:r>
    </w:p>
    <w:p>
      <w:pPr>
        <w:pStyle w:val="Heading3"/>
        <w:spacing w:after="100" w:before="240"/>
      </w:pPr>
      <w:r>
        <w:rPr>
          <w:rFonts w:ascii="Calibri" w:cs="Calibri" w:eastAsia="Calibri" w:hAnsi="Calibri"/>
          <w:b/>
          <w:bCs/>
          <w:color w:val="4C9A2A"/>
          <w:sz w:val="22"/>
          <w:szCs w:val="22"/>
        </w:rPr>
        <w:t xml:space="preserve">A9. Grid connections, IDNOs and network infrastructure</w:t>
      </w:r>
    </w:p>
    <w:p>
      <w:pPr>
        <w:spacing w:after="140" w:line="276"/>
        <w:jc w:val="left"/>
      </w:pPr>
      <w:r>
        <w:rPr>
          <w:rFonts w:ascii="Calibri" w:cs="Calibri" w:eastAsia="Calibri" w:hAnsi="Calibri"/>
          <w:i w:val="false"/>
          <w:iCs w:val="false"/>
          <w:color w:val="222222"/>
          <w:sz w:val="20"/>
          <w:szCs w:val="20"/>
        </w:rPr>
        <w:t xml:space="preserve">Eclipse Power Group · UK Power Networks (ENGIE) · OCU Group · Freedom Networks · GTC · Last Mile Asset Management · ESP Utilities Group · Leep Utilities · Energy Assets Networks · Fulcrum · MUA Group · Harlaxton Energy Networks · Indigo Power · Utility Assets · UK Power Distribution · Rock Power Connections (Mitie) · Ethical Power Connections · Balfour Beatty · M Group · Morgan Sindall Infrastructure · Murphy · Omexom Taylor Woodrow · Network Plus (OMERS)</w:t>
      </w:r>
    </w:p>
    <w:p>
      <w:pPr>
        <w:pStyle w:val="Heading3"/>
        <w:spacing w:after="100" w:before="240"/>
      </w:pPr>
      <w:r>
        <w:rPr>
          <w:rFonts w:ascii="Calibri" w:cs="Calibri" w:eastAsia="Calibri" w:hAnsi="Calibri"/>
          <w:b/>
          <w:bCs/>
          <w:color w:val="4C9A2A"/>
          <w:sz w:val="22"/>
          <w:szCs w:val="22"/>
        </w:rPr>
        <w:t xml:space="preserve">A10. Data centre energy and critical infrastructure</w:t>
      </w:r>
    </w:p>
    <w:p>
      <w:pPr>
        <w:spacing w:after="140" w:line="276"/>
        <w:jc w:val="left"/>
      </w:pPr>
      <w:r>
        <w:rPr>
          <w:rFonts w:ascii="Calibri" w:cs="Calibri" w:eastAsia="Calibri" w:hAnsi="Calibri"/>
          <w:i w:val="false"/>
          <w:iCs w:val="false"/>
          <w:color w:val="222222"/>
          <w:sz w:val="20"/>
          <w:szCs w:val="20"/>
        </w:rPr>
        <w:t xml:space="preserve">Mercury Engineering · Winthrop Technologies · Kirby Group Engineering · Dornan (Turner Construction) · Collen Construction · Designer Group · Ethos Engineering · LotusWorks · Keysource (Salute) · Sudlows · Comtec · RED Engineering · Arup · Aggreko · Vertiv · Eaton · Schneider Electric · ABB · Rolls-Royce mtu · Finning · Cummins · Kohler · Skanska UK · Mace · Laing O'Rourke · BAM Ireland · Blu-3 · JCA Engineering · DPR Construction</w:t>
      </w:r>
    </w:p>
    <w:p>
      <w:pPr>
        <w:pStyle w:val="Heading3"/>
        <w:spacing w:after="100" w:before="240"/>
      </w:pPr>
      <w:r>
        <w:rPr>
          <w:rFonts w:ascii="Calibri" w:cs="Calibri" w:eastAsia="Calibri" w:hAnsi="Calibri"/>
          <w:b/>
          <w:bCs/>
          <w:color w:val="4C9A2A"/>
          <w:sz w:val="22"/>
          <w:szCs w:val="22"/>
        </w:rPr>
        <w:t xml:space="preserve">A11. EV infrastructure and fleet</w:t>
      </w:r>
    </w:p>
    <w:p>
      <w:pPr>
        <w:spacing w:after="140" w:line="276"/>
        <w:jc w:val="left"/>
      </w:pPr>
      <w:r>
        <w:rPr>
          <w:rFonts w:ascii="Calibri" w:cs="Calibri" w:eastAsia="Calibri" w:hAnsi="Calibri"/>
          <w:i w:val="false"/>
          <w:iCs w:val="false"/>
          <w:color w:val="222222"/>
          <w:sz w:val="20"/>
          <w:szCs w:val="20"/>
        </w:rPr>
        <w:t xml:space="preserve">Zenobe · Believ (Liberty Global / Zouk) · Connected Kerb · SWARCO Smart Charging · Mer (Statkraft) · bp pulse · InstaVolt (EQT) · Osprey · Gridserve (Infracapital) · Pod Point (EDF) · char.gy · ubitricity (Shell) · Voltempo · Milence · Paua · Rock Power Connections (Mitie) · EQUANS · Amey</w:t>
      </w:r>
    </w:p>
    <w:p>
      <w:pPr>
        <w:pStyle w:val="Heading3"/>
        <w:spacing w:after="100" w:before="240"/>
      </w:pPr>
      <w:r>
        <w:rPr>
          <w:rFonts w:ascii="Calibri" w:cs="Calibri" w:eastAsia="Calibri" w:hAnsi="Calibri"/>
          <w:b/>
          <w:bCs/>
          <w:color w:val="4C9A2A"/>
          <w:sz w:val="22"/>
          <w:szCs w:val="22"/>
        </w:rPr>
        <w:t xml:space="preserve">A12. Retrofit and housing decarbonisation</w:t>
      </w:r>
    </w:p>
    <w:p>
      <w:pPr>
        <w:spacing w:after="140" w:line="276"/>
        <w:jc w:val="left"/>
      </w:pPr>
      <w:r>
        <w:rPr>
          <w:rFonts w:ascii="Calibri" w:cs="Calibri" w:eastAsia="Calibri" w:hAnsi="Calibri"/>
          <w:i w:val="false"/>
          <w:iCs w:val="false"/>
          <w:color w:val="222222"/>
          <w:sz w:val="20"/>
          <w:szCs w:val="20"/>
        </w:rPr>
        <w:t xml:space="preserve">EQUANS · Sureserve Group (incl. Everwarm, Providor) · United Living · Fortem · Mears · Wates · Novus · Ian Williams · Bell Group · Lovell · Morgan Sindall Property Services · K&amp;T Heating · Warmworks · AgilityEco · Melius Homes · Sustainable Building Services · E.ON · British Gas / Centrica</w:t>
      </w:r>
    </w:p>
    <w:p>
      <w:pPr>
        <w:pStyle w:val="Heading3"/>
        <w:spacing w:after="100" w:before="240"/>
      </w:pPr>
      <w:r>
        <w:rPr>
          <w:rFonts w:ascii="Calibri" w:cs="Calibri" w:eastAsia="Calibri" w:hAnsi="Calibri"/>
          <w:b/>
          <w:bCs/>
          <w:color w:val="4C9A2A"/>
          <w:sz w:val="22"/>
          <w:szCs w:val="22"/>
        </w:rPr>
        <w:t xml:space="preserve">A13. Infrastructure funds, private equity and public funders</w:t>
      </w:r>
    </w:p>
    <w:p>
      <w:pPr>
        <w:spacing w:after="140" w:line="276"/>
        <w:jc w:val="left"/>
      </w:pPr>
      <w:r>
        <w:rPr>
          <w:rFonts w:ascii="Calibri" w:cs="Calibri" w:eastAsia="Calibri" w:hAnsi="Calibri"/>
          <w:i w:val="false"/>
          <w:iCs w:val="false"/>
          <w:color w:val="222222"/>
          <w:sz w:val="20"/>
          <w:szCs w:val="20"/>
        </w:rPr>
        <w:t xml:space="preserve">DIF Capital Partners · Corran Capital · Reinova Capital · Equitix · Amber Infrastructure (MEEF, LEEF) · Macquarie Asset Management / Green Investment Group · Greencoat Capital / Schroders Greencoat · InfraRed Capital Partners · Infracapital (M&amp;G) · Igneo Infrastructure Partners · Ancala Partners · Arjun Infrastructure · Copenhagen Infrastructure Partners · KKR · EQT · Zouk Capital · HGGC · Cap10 · OMERS Private Equity · Foresight Group · Gresham House · Downing · Triple Point · Bluefield · NextEnergy Capital · Octopus Energy Generation · Aviva Investors · Legal &amp; General · Pension Insurance Corporation · USS · National Wealth Fund · Great British Energy · Salix Finance · Green Heat Network Fund · Scottish National Investment Bank · Development Bank of Wales · British Business Bank</w:t>
      </w:r>
    </w:p>
    <w:p>
      <w:pPr>
        <w:pStyle w:val="Heading3"/>
        <w:spacing w:after="100" w:before="240"/>
      </w:pPr>
      <w:r>
        <w:rPr>
          <w:rFonts w:ascii="Calibri" w:cs="Calibri" w:eastAsia="Calibri" w:hAnsi="Calibri"/>
          <w:b/>
          <w:bCs/>
          <w:color w:val="4C9A2A"/>
          <w:sz w:val="22"/>
          <w:szCs w:val="22"/>
        </w:rPr>
        <w:t xml:space="preserve">A14. Advisers, consultants and framework operators</w:t>
      </w:r>
    </w:p>
    <w:p>
      <w:pPr>
        <w:spacing w:after="140" w:line="276"/>
        <w:jc w:val="left"/>
      </w:pPr>
      <w:r>
        <w:rPr>
          <w:rFonts w:ascii="Calibri" w:cs="Calibri" w:eastAsia="Calibri" w:hAnsi="Calibri"/>
          <w:i w:val="false"/>
          <w:iCs w:val="false"/>
          <w:color w:val="222222"/>
          <w:sz w:val="20"/>
          <w:szCs w:val="20"/>
        </w:rPr>
        <w:t xml:space="preserve">AECOM · Arup · Ramboll · WSP · Mott MacDonald · Buro Happold · Hoare Lea · Cundall · Turner &amp; Townsend · Gleeds · Currie &amp; Brown · AtkinsRéalis (Faithful+Gould) · Rider Levett Bucknall · Inspired plc (HGGC) · Inenco · Cornwall Insight · Local Partnerships · Energy Systems Catapult · Carbon Trust · Bevan Brittan · Trowers &amp; Hamlins · Pinsent Masons · Burges Salmon · Browne Jacobson · Grant Thornton · EY · KPMG · PwC · Deloitte · NOE CPC · NHS SBS · Crown Commercial Service · SCAPE · Pagabo · Procure Partnerships · YPO · ESPO · LHC Procurement Group · Fusion21 · Efficiency North · Procurement for Housing (PfH) · Re:fit</w:t>
      </w:r>
    </w:p>
    <w:p>
      <w:pPr>
        <w:pStyle w:val="Heading3"/>
        <w:spacing w:after="100" w:before="240"/>
      </w:pPr>
      <w:r>
        <w:rPr>
          <w:rFonts w:ascii="Calibri" w:cs="Calibri" w:eastAsia="Calibri" w:hAnsi="Calibri"/>
          <w:b/>
          <w:bCs/>
          <w:color w:val="4C9A2A"/>
          <w:sz w:val="22"/>
          <w:szCs w:val="22"/>
        </w:rPr>
        <w:t xml:space="preserve">A15. Flexibility, optimisation and analytics</w:t>
      </w:r>
    </w:p>
    <w:p>
      <w:pPr>
        <w:spacing w:after="140" w:line="276"/>
        <w:jc w:val="left"/>
      </w:pPr>
      <w:r>
        <w:rPr>
          <w:rFonts w:ascii="Calibri" w:cs="Calibri" w:eastAsia="Calibri" w:hAnsi="Calibri"/>
          <w:i w:val="false"/>
          <w:iCs w:val="false"/>
          <w:color w:val="222222"/>
          <w:sz w:val="20"/>
          <w:szCs w:val="20"/>
        </w:rPr>
        <w:t xml:space="preserve">Flexitricity · Limejump · Habitat Energy · Axle Energy · Modo Energy · Octopus Energy · Centrica Business Solutions · Demand Logic · measurable.energy · Carbon Numbers · EnergyPro</w:t>
      </w:r>
    </w:p>
    <w:p>
      <w:r>
        <w:br w:type="page"/>
      </w:r>
    </w:p>
    <w:p>
      <w:pPr>
        <w:pStyle w:val="Heading1"/>
        <w:pBdr>
          <w:bottom w:val="single" w:color="4C9A2A" w:sz="12" w:space="6"/>
        </w:pBdr>
        <w:spacing w:after="200" w:before="480"/>
      </w:pPr>
      <w:r>
        <w:rPr>
          <w:rFonts w:ascii="Calibri" w:cs="Calibri" w:eastAsia="Calibri" w:hAnsi="Calibri"/>
          <w:b/>
          <w:bCs/>
          <w:color w:val="10362B"/>
          <w:sz w:val="34"/>
          <w:szCs w:val="34"/>
        </w:rPr>
        <w:t xml:space="preserve">Appendix B — Sources</w:t>
      </w:r>
    </w:p>
    <w:p>
      <w:pPr>
        <w:spacing w:after="140" w:line="276"/>
        <w:jc w:val="left"/>
      </w:pPr>
      <w:r>
        <w:rPr>
          <w:rFonts w:ascii="Calibri" w:cs="Calibri" w:eastAsia="Calibri" w:hAnsi="Calibri"/>
          <w:i w:val="false"/>
          <w:iCs w:val="false"/>
          <w:color w:val="222222"/>
          <w:sz w:val="20"/>
          <w:szCs w:val="20"/>
        </w:rPr>
        <w:t xml:space="preserve">Primary sources consulted, August 2026. Company financials are from filed accounts and published announcements; market and policy data from government publications and trade press. Where a transaction is reported but unconfirmed by the parties it is flagged as such in the text.</w:t>
      </w:r>
    </w:p>
    <w:p>
      <w:pPr>
        <w:pStyle w:val="Heading3"/>
        <w:spacing w:after="100" w:before="240"/>
      </w:pPr>
      <w:r>
        <w:rPr>
          <w:rFonts w:ascii="Calibri" w:cs="Calibri" w:eastAsia="Calibri" w:hAnsi="Calibri"/>
          <w:b/>
          <w:bCs/>
          <w:color w:val="4C9A2A"/>
          <w:sz w:val="22"/>
          <w:szCs w:val="22"/>
        </w:rPr>
        <w:t xml:space="preserve">Company financials and announcements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Vital Energi Utilities Ltd report and financial statements; Vital Holdings results coverage (Construction News, January 2026); Vital Energi investor information and Nordic ABM bond listing, September 2025.</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Bouygues / EQUANS full-year 2025 results; EQUANS UK &amp; Ireland corporate information and Carbon Reduction Plan 2025.</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Centrica plc preliminary results for the year ended 31 December 2025 and Annual Report 2025; Centrica Business Solutions announcements (Solihull Hospital energy centre).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Dalkia UK results coverage (Construction Enquirer, July 2025 and April 2026); EDF 2025 annual results; EDF Energy Holdings Ltd annual report.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E.ON UK news releases 2025–26: Citigen and City of London connections, Coventry Strategic Energy Partnership, Silvertown / Lendlease ectogrid, heat zoning in the City of London.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Veolia press releases and coverage: Ecothermal Grid UK launch and £1bn pipeline (November 2025); Southwark 2.0.</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SSE plc business information; SSE Energy Solutions distributed energy infrastructure materials; London Underground private wire solar agreement (March 2026); SSEN Transmission stake sale to Ontario Teachers' Pension Plan.</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Mitie Group announcements: Custom Solar and Rock Power Connections acquisitions, G2 Energy, ESM Power, heat pump team; FY26 trading update; Bassingbourn Barracks / DIO.</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Ameresco Inc. Q4 and full year 2025 results and 2026 guidance; Bristol City Leap portfolio materials.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Bristol City Leap business plan 2025–2030 and two-year progress release; Vattenfall Heat UK Bristol partnership materials; Energy UK Vattenfall heat networks case study.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Vattenfall group press releases on district heating ownership assessment (March 2025) and UK electricity distribution divestment; coverage of the reported Reinova Capital transaction (City AM); Eclipse Power Group announcement on acquiring Vattenfall Networks.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Hemiko / DIF Capital Partners announcements; Heat Networks Industry Council and UKDEA directory entries; data centre waste heat network coverage (Datacenter Dynamics, BeBeez).</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ENGIE corporate materials on UK operations, the UK Power Networks acquisition, the 157MW UK portfolio acquisition and the PepsiCo biomethane agreement.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Zenobe funding announcements (£980m platform financing 2026; €325m European facility; ScotZEB); Kilmarnock BESS coverage.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bp / Lightsource bp announcements and coverage of the stake sale process; Statera Energy Carrington acquisition; Belectric Severn Trent Green Power EPC contract; Anesco and Ethical Power corporate materials.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HGGC announcement on the completion of the Inspired plc acquisition (October 2025); Turner Construction / Dornan transaction coverage; OMERS / Network Plus announcement.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Johnson Controls UK materials on Asset Plus and public sector decarbonisation; Schneider Electric performance contracting materials and UK 2026 energy transition predictions; Guidehouse Insights ESCO leaderboard coverage.</w:t>
      </w:r>
    </w:p>
    <w:p>
      <w:pPr>
        <w:pStyle w:val="Heading3"/>
        <w:spacing w:after="100" w:before="240"/>
      </w:pPr>
      <w:r>
        <w:rPr>
          <w:rFonts w:ascii="Calibri" w:cs="Calibri" w:eastAsia="Calibri" w:hAnsi="Calibri"/>
          <w:b/>
          <w:bCs/>
          <w:color w:val="4C9A2A"/>
          <w:sz w:val="22"/>
          <w:szCs w:val="22"/>
        </w:rPr>
        <w:t xml:space="preserve">Policy, funding and market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Salix Finance: Public Sector Decarbonisation Scheme Phase 3c and Phase 4 guidance and status; Local Government Chronicle coverage of the June 2025 decision to commit no further PSDS investment.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Great British Energy: solar for schools and hospitals programme announcements and progress updates; DESNZ written ministerial statement, March 2025.</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DESNZ: Heat Network Zoning government response to the 2023 consultation (January 2026); heat network zoning maps for England; Heat Networks Delivery Unit guidance; DESNZ Heat Networks Newsletter, February 2026; Trowers &amp; Hamlins heat zoning explainer.</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Green Heat Network Fund: scheme overview (February 2026), guidance for applicants Round 12, December 2025 award announcements; Triple Point Heat Networks Investment Management.</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NOE CPC Decarbonisation and Energy Infrastructure framework (NOE.0655) tender notice and coverage (Construction Enquirer, Mills &amp; Reeve, March 2026); NHS SBS Decarbonisation of Estates framework SBS10504.</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Warm Homes Plan and Warm Homes: Social Housing Fund Wave 3 guidance and statistics (GOV.UK, February and April 2026); National Housing Federation materials; PfH and LHC framework award coverage.</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AI Growth Zones policy paper and analysis (Baker McKenzie, January 2026); Electric Insights Q1 2026 quarterly report on grid capacity; BCLP analysis of UK data centres and power strategy.</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National Grid Electricity Transmission Partnership appointments (New Civil Engineer, June 2026); SP Energy Networks framework awards.</w:t>
      </w:r>
    </w:p>
    <w:p>
      <w:pPr>
        <w:pStyle w:val="ListParagraph"/>
        <w:numPr>
          <w:ilvl w:val="0"/>
          <w:numId w:val="3"/>
        </w:numPr>
        <w:spacing w:after="70" w:line="264"/>
      </w:pPr>
      <w:r>
        <w:rPr>
          <w:rFonts w:ascii="Calibri" w:cs="Calibri" w:eastAsia="Calibri" w:hAnsi="Calibri"/>
          <w:i w:val="false"/>
          <w:iCs w:val="false"/>
          <w:color w:val="222222"/>
          <w:sz w:val="20"/>
          <w:szCs w:val="20"/>
        </w:rPr>
        <w:t xml:space="preserve">Market sizing: Mordor Intelligence (UK CHP; ESCO market), IMARC Group (UK energy-as-a-service), Technavio (UK energy efficiency services), Modo Energy (GB battery storage EPC landscape), IndexBox (UK BESS outlook 2026).</w:t>
      </w:r>
    </w:p>
    <w:p>
      <w:pPr>
        <w:spacing w:after="200"/>
      </w:pPr>
      <w:r>
        <w:t xml:space="preserve"/>
      </w:r>
    </w:p>
    <w:p>
      <w:pPr>
        <w:spacing w:after="140" w:line="276"/>
        <w:jc w:val="left"/>
      </w:pPr>
      <w:r>
        <w:rPr>
          <w:rFonts w:ascii="Calibri" w:cs="Calibri" w:eastAsia="Calibri" w:hAnsi="Calibri"/>
          <w:b/>
          <w:bCs/>
          <w:i/>
          <w:iCs/>
          <w:color w:val="222222"/>
          <w:sz w:val="20"/>
          <w:szCs w:val="20"/>
        </w:rPr>
        <w:t xml:space="preserve">Document ends.</w:t>
      </w:r>
    </w:p>
    <w:sectPr>
      <w:headerReference w:type="default" r:id="rId7"/>
      <w:footerReference w:type="default" r:id="rId8"/>
      <w:pgSz w:w="11906" w:h="16838" w:orient="portrait"/>
      <w:pgMar w:top="10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F" w:sz="4" w:space="4"/>
      </w:pBdr>
      <w:spacing w:after="60"/>
      <w:jc w:val="right"/>
    </w:pPr>
    <w:r>
      <w:rPr>
        <w:rFonts w:ascii="Calibri" w:cs="Calibri" w:eastAsia="Calibri" w:hAnsi="Calibri"/>
        <w:color w:val="5A5A5A"/>
        <w:sz w:val="15"/>
        <w:szCs w:val="15"/>
      </w:rPr>
      <w:t xml:space="preserve">UK Competitor Analysis  ·  Ameresco UK  ·  Company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0362B"/>
      <w:sz w:val="34"/>
      <w:szCs w:val="34"/>
    </w:rPr>
  </w:style>
  <w:style w:type="paragraph" w:styleId="Heading2">
    <w:name w:val="Heading 2"/>
    <w:basedOn w:val="Normal"/>
    <w:next w:val="Normal"/>
    <w:qFormat/>
    <w:rPr>
      <w:rFonts w:ascii="Calibri" w:cs="Calibri" w:eastAsia="Calibri" w:hAnsi="Calibri"/>
      <w:b/>
      <w:bCs/>
      <w:color w:val="1C6B4C"/>
      <w:sz w:val="26"/>
      <w:szCs w:val="26"/>
    </w:rPr>
  </w:style>
  <w:style w:type="paragraph" w:styleId="Heading3">
    <w:name w:val="Heading 3"/>
    <w:basedOn w:val="Normal"/>
    <w:next w:val="Normal"/>
    <w:qFormat/>
    <w:rPr>
      <w:rFonts w:ascii="Calibri" w:cs="Calibri" w:eastAsia="Calibri" w:hAnsi="Calibri"/>
      <w:b/>
      <w:bCs/>
      <w:color w:val="4C9A2A"/>
      <w:sz w:val="22"/>
      <w:szCs w:val="22"/>
    </w:rPr>
  </w:style>
  <w:style w:type="paragraph" w:styleId="Heading4">
    <w:name w:val="Heading 4"/>
    <w:basedOn w:val="Normal"/>
    <w:next w:val="Normal"/>
    <w:qFormat/>
    <w:rPr>
      <w:rFonts w:ascii="Calibri" w:cs="Calibri" w:eastAsia="Calibri" w:hAnsi="Calibri"/>
      <w:b/>
      <w:bCs/>
      <w:i/>
      <w:i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Competitor Analysis — The Full 360° Market</dc:title>
  <dc:creator>Ameresco UK</dc:creator>
  <dc:description>Competitor analysis across I&amp;C, public sector, grid-scale, cities, data centres, retrofit and EV.</dc:description>
  <cp:lastModifiedBy>Un-named</cp:lastModifiedBy>
  <cp:revision>1</cp:revision>
  <dcterms:created xsi:type="dcterms:W3CDTF">2026-08-04T07:14:29.591Z</dcterms:created>
  <dcterms:modified xsi:type="dcterms:W3CDTF">2026-08-04T07:14:29.594Z</dcterms:modified>
</cp:coreProperties>
</file>

<file path=docProps/custom.xml><?xml version="1.0" encoding="utf-8"?>
<Properties xmlns="http://schemas.openxmlformats.org/officeDocument/2006/custom-properties" xmlns:vt="http://schemas.openxmlformats.org/officeDocument/2006/docPropsVTypes"/>
</file>