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D3E8B" w14:textId="77777777" w:rsidR="005C0BE2" w:rsidRDefault="00000000">
      <w:pPr>
        <w:spacing w:after="40"/>
      </w:pPr>
      <w:r>
        <w:rPr>
          <w:b/>
          <w:bCs/>
          <w:color w:val="091F2C"/>
          <w:sz w:val="36"/>
          <w:szCs w:val="36"/>
        </w:rPr>
        <w:t>AI Centre of Excellence</w:t>
      </w:r>
    </w:p>
    <w:p w14:paraId="33E52679" w14:textId="77777777" w:rsidR="005C0BE2" w:rsidRDefault="00000000">
      <w:pPr>
        <w:spacing w:after="120"/>
      </w:pPr>
      <w:r>
        <w:rPr>
          <w:b/>
          <w:bCs/>
          <w:color w:val="0078D4"/>
          <w:sz w:val="22"/>
          <w:szCs w:val="22"/>
        </w:rPr>
        <w:t>A Three-Stream MCAPS + Factory + Partner Offering to Scale AI Transformation</w:t>
      </w:r>
    </w:p>
    <w:p w14:paraId="7901D0D6" w14:textId="77777777" w:rsidR="005C0BE2" w:rsidRDefault="00000000">
      <w:pPr>
        <w:spacing w:after="120"/>
      </w:pPr>
      <w:r>
        <w:rPr>
          <w:i/>
          <w:iCs/>
          <w:color w:val="595959"/>
          <w:sz w:val="16"/>
          <w:szCs w:val="16"/>
        </w:rPr>
        <w:t>Prepared by Yuri Baijnath · SR CSA Manager · MCAPS RSA CSU</w:t>
      </w:r>
    </w:p>
    <w:p w14:paraId="55B59CA0" w14:textId="77777777" w:rsidR="005C0BE2" w:rsidRDefault="00000000">
      <w:pPr>
        <w:spacing w:before="140" w:after="60"/>
      </w:pPr>
      <w:r>
        <w:rPr>
          <w:b/>
          <w:bCs/>
          <w:color w:val="0078D4"/>
          <w:sz w:val="20"/>
          <w:szCs w:val="20"/>
        </w:rPr>
        <w:t>THE OPPORTUNITY</w:t>
      </w:r>
    </w:p>
    <w:p w14:paraId="33467BC5" w14:textId="77777777" w:rsidR="005C0BE2" w:rsidRDefault="00000000">
      <w:pPr>
        <w:spacing w:before="40" w:after="40"/>
      </w:pPr>
      <w:r>
        <w:rPr>
          <w:sz w:val="17"/>
          <w:szCs w:val="17"/>
        </w:rPr>
        <w:t>88% of organisations now use AI in at least one business function (up from 78% a year ago) — yet nearly two-thirds have not begun scaling AI across the enterprise, and 60% report hardly any material value despite substantial investment. Only one-third of employees say they have been properly trained. Meanwhile, "future-built" companies achieve 5× the revenue lift and 3× the cost reductions their peers get from AI. An AI Centre of Excellence (AI CoE) closes this gap — aligning business strategy, people, technology, and governance around measurable AI outcomes.</w:t>
      </w:r>
    </w:p>
    <w:p w14:paraId="3206FFA5" w14:textId="77777777" w:rsidR="005C0BE2" w:rsidRDefault="00000000">
      <w:pPr>
        <w:spacing w:before="40" w:after="40"/>
      </w:pPr>
      <w:r>
        <w:rPr>
          <w:color w:val="808080"/>
          <w:sz w:val="13"/>
          <w:szCs w:val="13"/>
        </w:rPr>
        <w:t>Sources: McKinsey · The State of AI 2025 · BCG · Build for the Future 2025 · BCG · AI at Work 2025.</w:t>
      </w:r>
    </w:p>
    <w:p w14:paraId="518A36EE" w14:textId="77777777" w:rsidR="005C0BE2" w:rsidRDefault="00000000">
      <w:pPr>
        <w:spacing w:before="140" w:after="60"/>
      </w:pPr>
      <w:r>
        <w:rPr>
          <w:b/>
          <w:bCs/>
          <w:color w:val="0078D4"/>
          <w:sz w:val="20"/>
          <w:szCs w:val="20"/>
        </w:rPr>
        <w:t>THE OFFERING</w:t>
      </w:r>
    </w:p>
    <w:p w14:paraId="3E6A2812" w14:textId="77777777" w:rsidR="005C0BE2" w:rsidRDefault="00000000">
      <w:pPr>
        <w:spacing w:before="40" w:after="40"/>
      </w:pPr>
      <w:r>
        <w:rPr>
          <w:sz w:val="17"/>
          <w:szCs w:val="17"/>
        </w:rPr>
        <w:t>A repeatable offering — aligned to the Microsoft Customer Engagement Methodology (MCEM) — to sell and stand up AI Centres of Excellence in our customers. Delivered through three streams: MCAPS-led envisioning · Cloud Accelerate Factory zero-cost foundation · Partner-led build and managed run. Anchored in the Cloud Adoption Framework, Azure Essentials, Frontier CoE assets, and Responsible AI. Covers all three AI surfaces under one operating model: M365 Copilot (productivity), Copilot Studio (extensibility), and Azure AI Foundry (custom build) — co-sponsored by Modern Work, Business Applications, and Cloud &amp; AI Platforms CSUs. Executed through Microsoft's AI Transformation Offer (ATO) — a 3-component programme (Journey to Value · AI Foundation · Agent Factory) with up to $50k pre-sales ECIF and up to $1M post-sales ECIF + ACO. The Cloud Accelerate Factory absorbs landing-zone, GenAI Assistant MVP, data and security build-out at zero cost — freeing ECIF, ACO, and partner-services budget for high-value envisioning, agent design, and managed run. 100+ accounts running ATO already see 15% higher MoM AI ACR. An optional ISD delivery layer (three models: ISD-only · ISD+Partner · ISD+ICSU+Partner) is engaged for sovereign, regulated, or Microsoft-led pursuits — without displacing the partner-led default.</w:t>
      </w:r>
    </w:p>
    <w:p w14:paraId="09900BB1" w14:textId="77777777" w:rsidR="005C0BE2" w:rsidRDefault="00000000">
      <w:pPr>
        <w:spacing w:before="140" w:after="60"/>
      </w:pPr>
      <w:r>
        <w:rPr>
          <w:b/>
          <w:bCs/>
          <w:color w:val="0078D4"/>
          <w:sz w:val="20"/>
          <w:szCs w:val="20"/>
        </w:rPr>
        <w:t>THE 5+1 PILLAR FRAMEWORK</w:t>
      </w:r>
    </w:p>
    <w:tbl>
      <w:tblPr>
        <w:tblW w:w="10800" w:type="dxa"/>
        <w:tblInd w:w="105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000" w:firstRow="0" w:lastRow="0" w:firstColumn="0" w:lastColumn="0" w:noHBand="0" w:noVBand="0"/>
      </w:tblPr>
      <w:tblGrid>
        <w:gridCol w:w="2399"/>
        <w:gridCol w:w="5400"/>
        <w:gridCol w:w="3001"/>
      </w:tblGrid>
      <w:tr w:rsidR="005C0BE2" w14:paraId="3AE941F5" w14:textId="77777777">
        <w:trPr>
          <w:tblHeader/>
        </w:trPr>
        <w:tc>
          <w:tcPr>
            <w:tcW w:w="2399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091F2C"/>
          </w:tcPr>
          <w:p w14:paraId="761D2DE9" w14:textId="77777777" w:rsidR="005C0BE2" w:rsidRDefault="00000000">
            <w:r>
              <w:rPr>
                <w:b/>
                <w:bCs/>
                <w:color w:val="FFFFFF"/>
                <w:sz w:val="16"/>
                <w:szCs w:val="16"/>
              </w:rPr>
              <w:t>Pillar</w:t>
            </w:r>
          </w:p>
        </w:tc>
        <w:tc>
          <w:tcPr>
            <w:tcW w:w="540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091F2C"/>
          </w:tcPr>
          <w:p w14:paraId="58772EB7" w14:textId="77777777" w:rsidR="005C0BE2" w:rsidRDefault="00000000">
            <w:r>
              <w:rPr>
                <w:b/>
                <w:bCs/>
                <w:color w:val="FFFFFF"/>
                <w:sz w:val="16"/>
                <w:szCs w:val="16"/>
              </w:rPr>
              <w:t>Focus</w:t>
            </w:r>
          </w:p>
        </w:tc>
        <w:tc>
          <w:tcPr>
            <w:tcW w:w="3001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091F2C"/>
          </w:tcPr>
          <w:p w14:paraId="6F48120C" w14:textId="77777777" w:rsidR="005C0BE2" w:rsidRDefault="00000000">
            <w:r>
              <w:rPr>
                <w:b/>
                <w:bCs/>
                <w:color w:val="FFFFFF"/>
                <w:sz w:val="16"/>
                <w:szCs w:val="16"/>
              </w:rPr>
              <w:t>MCAPS Owner</w:t>
            </w:r>
          </w:p>
        </w:tc>
      </w:tr>
      <w:tr w:rsidR="005C0BE2" w14:paraId="15E08FCA" w14:textId="77777777">
        <w:tc>
          <w:tcPr>
            <w:tcW w:w="2399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FF8F5"/>
            <w:tcMar>
              <w:top w:w="50" w:type="dxa"/>
              <w:bottom w:w="50" w:type="dxa"/>
            </w:tcMar>
          </w:tcPr>
          <w:p w14:paraId="2194278D" w14:textId="77777777" w:rsidR="005C0BE2" w:rsidRDefault="00000000">
            <w:r>
              <w:rPr>
                <w:b/>
                <w:bCs/>
                <w:sz w:val="16"/>
                <w:szCs w:val="16"/>
              </w:rPr>
              <w:t>1. Business Strategy</w:t>
            </w:r>
          </w:p>
        </w:tc>
        <w:tc>
          <w:tcPr>
            <w:tcW w:w="540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tcMar>
              <w:top w:w="50" w:type="dxa"/>
              <w:bottom w:w="50" w:type="dxa"/>
            </w:tcMar>
          </w:tcPr>
          <w:p w14:paraId="4BBE1401" w14:textId="77777777" w:rsidR="005C0BE2" w:rsidRDefault="00000000">
            <w:r>
              <w:rPr>
                <w:sz w:val="16"/>
                <w:szCs w:val="16"/>
              </w:rPr>
              <w:t>Vision · Metrics · Use case prioritisation · Investment portfolio (Frontier sub-pillars)</w:t>
            </w:r>
          </w:p>
        </w:tc>
        <w:tc>
          <w:tcPr>
            <w:tcW w:w="3001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tcMar>
              <w:top w:w="50" w:type="dxa"/>
              <w:bottom w:w="50" w:type="dxa"/>
            </w:tcMar>
          </w:tcPr>
          <w:p w14:paraId="561244A7" w14:textId="77777777" w:rsidR="005C0BE2" w:rsidRDefault="00000000">
            <w:r>
              <w:rPr>
                <w:sz w:val="16"/>
                <w:szCs w:val="16"/>
              </w:rPr>
              <w:t>ATU (AE / ATS)</w:t>
            </w:r>
          </w:p>
        </w:tc>
      </w:tr>
      <w:tr w:rsidR="005C0BE2" w14:paraId="3818DA96" w14:textId="77777777">
        <w:tc>
          <w:tcPr>
            <w:tcW w:w="2399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FF8F5"/>
            <w:tcMar>
              <w:top w:w="50" w:type="dxa"/>
              <w:bottom w:w="50" w:type="dxa"/>
            </w:tcMar>
          </w:tcPr>
          <w:p w14:paraId="62F8F90B" w14:textId="77777777" w:rsidR="005C0BE2" w:rsidRDefault="00000000">
            <w:r>
              <w:rPr>
                <w:b/>
                <w:bCs/>
                <w:sz w:val="16"/>
                <w:szCs w:val="16"/>
              </w:rPr>
              <w:t>2. Organization &amp; Culture</w:t>
            </w:r>
          </w:p>
        </w:tc>
        <w:tc>
          <w:tcPr>
            <w:tcW w:w="540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tcMar>
              <w:top w:w="50" w:type="dxa"/>
              <w:bottom w:w="50" w:type="dxa"/>
            </w:tcMar>
          </w:tcPr>
          <w:p w14:paraId="047711D6" w14:textId="77777777" w:rsidR="005C0BE2" w:rsidRDefault="00000000">
            <w:r>
              <w:rPr>
                <w:sz w:val="16"/>
                <w:szCs w:val="16"/>
              </w:rPr>
              <w:t>AI CoE · Change · Upskilling · Agentic culture (Frontier sub-pillars)</w:t>
            </w:r>
          </w:p>
        </w:tc>
        <w:tc>
          <w:tcPr>
            <w:tcW w:w="3001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tcMar>
              <w:top w:w="50" w:type="dxa"/>
              <w:bottom w:w="50" w:type="dxa"/>
            </w:tcMar>
          </w:tcPr>
          <w:p w14:paraId="66F3F55D" w14:textId="77777777" w:rsidR="005C0BE2" w:rsidRDefault="00000000">
            <w:r>
              <w:rPr>
                <w:sz w:val="16"/>
                <w:szCs w:val="16"/>
              </w:rPr>
              <w:t>CSU + HR partnership</w:t>
            </w:r>
          </w:p>
        </w:tc>
      </w:tr>
      <w:tr w:rsidR="005C0BE2" w14:paraId="0DEB4CEC" w14:textId="77777777">
        <w:tc>
          <w:tcPr>
            <w:tcW w:w="2399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FF8F5"/>
            <w:tcMar>
              <w:top w:w="50" w:type="dxa"/>
              <w:bottom w:w="50" w:type="dxa"/>
            </w:tcMar>
          </w:tcPr>
          <w:p w14:paraId="2C867240" w14:textId="77777777" w:rsidR="005C0BE2" w:rsidRDefault="00000000">
            <w:r>
              <w:rPr>
                <w:b/>
                <w:bCs/>
                <w:sz w:val="16"/>
                <w:szCs w:val="16"/>
              </w:rPr>
              <w:t>3. AI Strategy &amp; Experience</w:t>
            </w:r>
          </w:p>
        </w:tc>
        <w:tc>
          <w:tcPr>
            <w:tcW w:w="540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tcMar>
              <w:top w:w="50" w:type="dxa"/>
              <w:bottom w:w="50" w:type="dxa"/>
            </w:tcMar>
          </w:tcPr>
          <w:p w14:paraId="3CD9DF36" w14:textId="77777777" w:rsidR="005C0BE2" w:rsidRDefault="00000000">
            <w:r>
              <w:rPr>
                <w:sz w:val="16"/>
                <w:szCs w:val="16"/>
              </w:rPr>
              <w:t>Cross-functional teams · Agile experimentation · Reusable assets · Impact measurement</w:t>
            </w:r>
          </w:p>
        </w:tc>
        <w:tc>
          <w:tcPr>
            <w:tcW w:w="3001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tcMar>
              <w:top w:w="50" w:type="dxa"/>
              <w:bottom w:w="50" w:type="dxa"/>
            </w:tcMar>
          </w:tcPr>
          <w:p w14:paraId="0D54EBEB" w14:textId="77777777" w:rsidR="005C0BE2" w:rsidRDefault="00000000">
            <w:r>
              <w:rPr>
                <w:sz w:val="16"/>
                <w:szCs w:val="16"/>
              </w:rPr>
              <w:t>STU Specialists + CSU CSAs</w:t>
            </w:r>
          </w:p>
        </w:tc>
      </w:tr>
      <w:tr w:rsidR="005C0BE2" w14:paraId="37846610" w14:textId="77777777">
        <w:tc>
          <w:tcPr>
            <w:tcW w:w="2399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FF8F5"/>
            <w:tcMar>
              <w:top w:w="50" w:type="dxa"/>
              <w:bottom w:w="50" w:type="dxa"/>
            </w:tcMar>
          </w:tcPr>
          <w:p w14:paraId="16F2B634" w14:textId="77777777" w:rsidR="005C0BE2" w:rsidRDefault="00000000">
            <w:r>
              <w:rPr>
                <w:b/>
                <w:bCs/>
                <w:sz w:val="16"/>
                <w:szCs w:val="16"/>
              </w:rPr>
              <w:t>4. Technology &amp; Data Strategy</w:t>
            </w:r>
          </w:p>
        </w:tc>
        <w:tc>
          <w:tcPr>
            <w:tcW w:w="540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tcMar>
              <w:top w:w="50" w:type="dxa"/>
              <w:bottom w:w="50" w:type="dxa"/>
            </w:tcMar>
          </w:tcPr>
          <w:p w14:paraId="7844B2C4" w14:textId="77777777" w:rsidR="005C0BE2" w:rsidRDefault="00000000">
            <w:r>
              <w:rPr>
                <w:sz w:val="16"/>
                <w:szCs w:val="16"/>
              </w:rPr>
              <w:t>Data readiness · Scalable infra · Buy/Extend/Build · Optimisation (IQ Stack + AI LZ)</w:t>
            </w:r>
          </w:p>
        </w:tc>
        <w:tc>
          <w:tcPr>
            <w:tcW w:w="3001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tcMar>
              <w:top w:w="50" w:type="dxa"/>
              <w:bottom w:w="50" w:type="dxa"/>
            </w:tcMar>
          </w:tcPr>
          <w:p w14:paraId="7E8B0D26" w14:textId="77777777" w:rsidR="005C0BE2" w:rsidRDefault="00000000">
            <w:r>
              <w:rPr>
                <w:sz w:val="16"/>
                <w:szCs w:val="16"/>
              </w:rPr>
              <w:t>CSU CSAs (lead)</w:t>
            </w:r>
          </w:p>
        </w:tc>
      </w:tr>
      <w:tr w:rsidR="005C0BE2" w14:paraId="1992432F" w14:textId="77777777">
        <w:tc>
          <w:tcPr>
            <w:tcW w:w="2399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FF8F5"/>
            <w:tcMar>
              <w:top w:w="50" w:type="dxa"/>
              <w:bottom w:w="50" w:type="dxa"/>
            </w:tcMar>
          </w:tcPr>
          <w:p w14:paraId="6D4C4602" w14:textId="77777777" w:rsidR="005C0BE2" w:rsidRDefault="00000000">
            <w:r>
              <w:rPr>
                <w:b/>
                <w:bCs/>
                <w:sz w:val="16"/>
                <w:szCs w:val="16"/>
              </w:rPr>
              <w:t>5. AI Governance &amp; Security</w:t>
            </w:r>
          </w:p>
        </w:tc>
        <w:tc>
          <w:tcPr>
            <w:tcW w:w="540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tcMar>
              <w:top w:w="50" w:type="dxa"/>
              <w:bottom w:w="50" w:type="dxa"/>
            </w:tcMar>
          </w:tcPr>
          <w:p w14:paraId="22269E88" w14:textId="77777777" w:rsidR="005C0BE2" w:rsidRDefault="00000000">
            <w:r>
              <w:rPr>
                <w:sz w:val="16"/>
                <w:szCs w:val="16"/>
              </w:rPr>
              <w:t>Responsible AI · Governance · AI security &amp; risk · Privacy &amp; compliance</w:t>
            </w:r>
          </w:p>
        </w:tc>
        <w:tc>
          <w:tcPr>
            <w:tcW w:w="3001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tcMar>
              <w:top w:w="50" w:type="dxa"/>
              <w:bottom w:w="50" w:type="dxa"/>
            </w:tcMar>
          </w:tcPr>
          <w:p w14:paraId="3E9C9F26" w14:textId="77777777" w:rsidR="005C0BE2" w:rsidRDefault="00000000">
            <w:r>
              <w:rPr>
                <w:sz w:val="16"/>
                <w:szCs w:val="16"/>
              </w:rPr>
              <w:t>CSA + Security Specialist</w:t>
            </w:r>
          </w:p>
        </w:tc>
      </w:tr>
      <w:tr w:rsidR="005C0BE2" w14:paraId="076A2F07" w14:textId="77777777">
        <w:tc>
          <w:tcPr>
            <w:tcW w:w="2399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5E6F0"/>
            <w:tcMar>
              <w:top w:w="50" w:type="dxa"/>
              <w:bottom w:w="50" w:type="dxa"/>
            </w:tcMar>
          </w:tcPr>
          <w:p w14:paraId="1B281567" w14:textId="77777777" w:rsidR="005C0BE2" w:rsidRDefault="00000000">
            <w:r>
              <w:rPr>
                <w:b/>
                <w:bCs/>
                <w:color w:val="091F2C"/>
                <w:sz w:val="16"/>
                <w:szCs w:val="16"/>
              </w:rPr>
              <w:t>6. Co-sell &amp; Partner</w:t>
            </w:r>
          </w:p>
        </w:tc>
        <w:tc>
          <w:tcPr>
            <w:tcW w:w="540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5E6F0"/>
            <w:tcMar>
              <w:top w:w="50" w:type="dxa"/>
              <w:bottom w:w="50" w:type="dxa"/>
            </w:tcMar>
          </w:tcPr>
          <w:p w14:paraId="6BC9D427" w14:textId="77777777" w:rsidR="005C0BE2" w:rsidRDefault="00000000">
            <w:r>
              <w:rPr>
                <w:sz w:val="16"/>
                <w:szCs w:val="16"/>
              </w:rPr>
              <w:t>MAICPP, Frontier CoE assets, joint delivery model</w:t>
            </w:r>
          </w:p>
        </w:tc>
        <w:tc>
          <w:tcPr>
            <w:tcW w:w="3001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5E6F0"/>
            <w:tcMar>
              <w:top w:w="50" w:type="dxa"/>
              <w:bottom w:w="50" w:type="dxa"/>
            </w:tcMar>
          </w:tcPr>
          <w:p w14:paraId="38DCBDCD" w14:textId="77777777" w:rsidR="005C0BE2" w:rsidRDefault="00000000">
            <w:r>
              <w:rPr>
                <w:sz w:val="16"/>
                <w:szCs w:val="16"/>
              </w:rPr>
              <w:t>EPS (PDM) + ATU</w:t>
            </w:r>
          </w:p>
        </w:tc>
      </w:tr>
    </w:tbl>
    <w:p w14:paraId="0F9AD2F2" w14:textId="77777777" w:rsidR="005C0BE2" w:rsidRDefault="00000000">
      <w:pPr>
        <w:spacing w:before="140" w:after="60"/>
      </w:pPr>
      <w:r>
        <w:rPr>
          <w:b/>
          <w:bCs/>
          <w:color w:val="0078D4"/>
          <w:sz w:val="20"/>
          <w:szCs w:val="20"/>
        </w:rPr>
        <w:t>THREE STREAMS · ONE ENGAGEMENT</w:t>
      </w:r>
    </w:p>
    <w:tbl>
      <w:tblPr>
        <w:tblW w:w="10800" w:type="dxa"/>
        <w:tblInd w:w="105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000" w:firstRow="0" w:lastRow="0" w:firstColumn="0" w:lastColumn="0" w:noHBand="0" w:noVBand="0"/>
      </w:tblPr>
      <w:tblGrid>
        <w:gridCol w:w="3600"/>
        <w:gridCol w:w="3600"/>
        <w:gridCol w:w="3600"/>
      </w:tblGrid>
      <w:tr w:rsidR="005C0BE2" w14:paraId="7D20C17B" w14:textId="77777777">
        <w:trPr>
          <w:tblHeader/>
        </w:trPr>
        <w:tc>
          <w:tcPr>
            <w:tcW w:w="360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0078D4"/>
          </w:tcPr>
          <w:p w14:paraId="419B589E" w14:textId="77777777" w:rsidR="005C0BE2" w:rsidRDefault="00000000">
            <w:r>
              <w:rPr>
                <w:b/>
                <w:bCs/>
                <w:color w:val="FFFFFF"/>
                <w:sz w:val="16"/>
                <w:szCs w:val="16"/>
              </w:rPr>
              <w:t>Stream 1 — MCAPS Envisioning</w:t>
            </w:r>
          </w:p>
        </w:tc>
        <w:tc>
          <w:tcPr>
            <w:tcW w:w="360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0078D4"/>
          </w:tcPr>
          <w:p w14:paraId="7FA382E8" w14:textId="77777777" w:rsidR="005C0BE2" w:rsidRDefault="00000000">
            <w:r>
              <w:rPr>
                <w:b/>
                <w:bCs/>
                <w:color w:val="FFFFFF"/>
                <w:sz w:val="16"/>
                <w:szCs w:val="16"/>
              </w:rPr>
              <w:t>Stream 2 — Cloud Accelerate Factory (Zero Cost)</w:t>
            </w:r>
          </w:p>
        </w:tc>
        <w:tc>
          <w:tcPr>
            <w:tcW w:w="360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0078D4"/>
          </w:tcPr>
          <w:p w14:paraId="3EE1F27F" w14:textId="77777777" w:rsidR="005C0BE2" w:rsidRDefault="00000000">
            <w:r>
              <w:rPr>
                <w:b/>
                <w:bCs/>
                <w:color w:val="FFFFFF"/>
                <w:sz w:val="16"/>
                <w:szCs w:val="16"/>
              </w:rPr>
              <w:t>Stream 3 — Partners (Build &amp; Run)</w:t>
            </w:r>
          </w:p>
        </w:tc>
      </w:tr>
      <w:tr w:rsidR="005C0BE2" w14:paraId="56D1EF9E" w14:textId="77777777">
        <w:tc>
          <w:tcPr>
            <w:tcW w:w="360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B9998" w14:textId="77777777" w:rsidR="005C0BE2" w:rsidRDefault="00000000">
            <w:pPr>
              <w:spacing w:before="40" w:after="40"/>
            </w:pPr>
            <w:r>
              <w:rPr>
                <w:b/>
                <w:bCs/>
                <w:sz w:val="17"/>
                <w:szCs w:val="17"/>
              </w:rPr>
              <w:t>Stages 1–2 · ATO Component 1.</w:t>
            </w:r>
          </w:p>
          <w:p w14:paraId="0E305DA0" w14:textId="77777777" w:rsidR="005C0BE2" w:rsidRDefault="00000000">
            <w:pPr>
              <w:spacing w:before="40" w:after="40"/>
            </w:pPr>
            <w:r>
              <w:rPr>
                <w:sz w:val="16"/>
                <w:szCs w:val="16"/>
              </w:rPr>
              <w:t>ATU qualifies · STU envisions · CSU CSAs design · EPS orchestrates partners.</w:t>
            </w:r>
          </w:p>
          <w:p w14:paraId="70846AE9" w14:textId="77777777" w:rsidR="005C0BE2" w:rsidRDefault="00000000">
            <w:pPr>
              <w:spacing w:before="40" w:after="40"/>
            </w:pPr>
            <w:r>
              <w:rPr>
                <w:sz w:val="16"/>
                <w:szCs w:val="16"/>
              </w:rPr>
              <w:t>ECIF pre-sales (up to $50k) covers envisioning workshops, scenario design, CoE blueprint.</w:t>
            </w:r>
          </w:p>
          <w:p w14:paraId="230657CB" w14:textId="77777777" w:rsidR="005C0BE2" w:rsidRDefault="00000000">
            <w:pPr>
              <w:spacing w:before="40" w:after="40"/>
            </w:pPr>
            <w:r>
              <w:rPr>
                <w:sz w:val="16"/>
                <w:szCs w:val="16"/>
              </w:rPr>
              <w:t>Anchors Responsible AI posture and 5+1 pillar governance.</w:t>
            </w:r>
          </w:p>
        </w:tc>
        <w:tc>
          <w:tcPr>
            <w:tcW w:w="360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2D6FF" w14:textId="77777777" w:rsidR="005C0BE2" w:rsidRDefault="00000000">
            <w:pPr>
              <w:spacing w:before="40" w:after="40"/>
            </w:pPr>
            <w:r>
              <w:rPr>
                <w:b/>
                <w:bCs/>
                <w:sz w:val="17"/>
                <w:szCs w:val="17"/>
              </w:rPr>
              <w:t>Stage 3 foundation · ATO Component 2 + MVP of C3 · Zero customer/partner cost.</w:t>
            </w:r>
          </w:p>
          <w:p w14:paraId="7BDEBCB7" w14:textId="77777777" w:rsidR="005C0BE2" w:rsidRDefault="00000000">
            <w:pPr>
              <w:spacing w:before="40" w:after="40"/>
            </w:pPr>
            <w:r>
              <w:rPr>
                <w:sz w:val="16"/>
                <w:szCs w:val="16"/>
              </w:rPr>
              <w:t>Microsoft-operated remote engineers (ASIA/EMEA/Americas), 2-week nomination SLA.</w:t>
            </w:r>
          </w:p>
          <w:p w14:paraId="2AFAAEA5" w14:textId="77777777" w:rsidR="005C0BE2" w:rsidRDefault="00000000">
            <w:pPr>
              <w:spacing w:before="40" w:after="40"/>
            </w:pPr>
            <w:r>
              <w:rPr>
                <w:sz w:val="16"/>
                <w:szCs w:val="16"/>
              </w:rPr>
              <w:t>AI offerings: GenAI Assistant MVP · Azure Landing Zone · Lakehouse · Power BI to Fabric · Defender · Sentinel · Arc · App/Infra/DB migration.</w:t>
            </w:r>
          </w:p>
          <w:p w14:paraId="6E0AB4A6" w14:textId="77777777" w:rsidR="005C0BE2" w:rsidRDefault="00000000">
            <w:pPr>
              <w:spacing w:before="40" w:after="40"/>
            </w:pPr>
            <w:r>
              <w:rPr>
                <w:sz w:val="16"/>
                <w:szCs w:val="16"/>
              </w:rPr>
              <w:t>Requires Unified Support OR 2-page Factory agreement. Out of scope: M365 Copilot, agent rewrites, in-country sovereign delivery.</w:t>
            </w:r>
          </w:p>
        </w:tc>
        <w:tc>
          <w:tcPr>
            <w:tcW w:w="360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133CD" w14:textId="77777777" w:rsidR="005C0BE2" w:rsidRDefault="00000000">
            <w:pPr>
              <w:spacing w:before="40" w:after="40"/>
            </w:pPr>
            <w:r>
              <w:rPr>
                <w:b/>
                <w:bCs/>
                <w:sz w:val="17"/>
                <w:szCs w:val="17"/>
              </w:rPr>
              <w:t>Stages 3–5 · ATO Component 3 scale + run.</w:t>
            </w:r>
          </w:p>
          <w:p w14:paraId="2DECFDBD" w14:textId="77777777" w:rsidR="005C0BE2" w:rsidRDefault="00000000">
            <w:pPr>
              <w:spacing w:before="40" w:after="40"/>
            </w:pPr>
            <w:r>
              <w:rPr>
                <w:sz w:val="16"/>
                <w:szCs w:val="16"/>
              </w:rPr>
              <w:t>4 archetypes × 3-tier ladder: Envisioning → Build → Managed Run.</w:t>
            </w:r>
          </w:p>
          <w:p w14:paraId="77CF1353" w14:textId="77777777" w:rsidR="005C0BE2" w:rsidRDefault="00000000">
            <w:pPr>
              <w:spacing w:before="40" w:after="40"/>
            </w:pPr>
            <w:r>
              <w:rPr>
                <w:sz w:val="16"/>
                <w:szCs w:val="16"/>
              </w:rPr>
              <w:t>Microsoft enables; Partner delivers. Factory absorbs the foundation so partner services spend on agent build, change, and managed run.</w:t>
            </w:r>
          </w:p>
          <w:p w14:paraId="5E2544EC" w14:textId="77777777" w:rsidR="005C0BE2" w:rsidRDefault="00000000">
            <w:pPr>
              <w:spacing w:before="40" w:after="40"/>
            </w:pPr>
            <w:r>
              <w:rPr>
                <w:sz w:val="16"/>
                <w:szCs w:val="16"/>
              </w:rPr>
              <w:t>$1 partner services typically drives $3–5 Azure consumption.</w:t>
            </w:r>
          </w:p>
        </w:tc>
      </w:tr>
    </w:tbl>
    <w:p w14:paraId="4EE27117" w14:textId="77777777" w:rsidR="005C0BE2" w:rsidRDefault="00000000">
      <w:pPr>
        <w:spacing w:before="140" w:after="60"/>
      </w:pPr>
      <w:r>
        <w:rPr>
          <w:b/>
          <w:bCs/>
          <w:color w:val="0078D4"/>
          <w:sz w:val="20"/>
          <w:szCs w:val="20"/>
        </w:rPr>
        <w:t>MCEM ENGAGEMENT FLOW</w:t>
      </w:r>
    </w:p>
    <w:tbl>
      <w:tblPr>
        <w:tblW w:w="10800" w:type="dxa"/>
        <w:tblInd w:w="105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000" w:firstRow="0" w:lastRow="0" w:firstColumn="0" w:lastColumn="0" w:noHBand="0" w:noVBand="0"/>
      </w:tblPr>
      <w:tblGrid>
        <w:gridCol w:w="2160"/>
        <w:gridCol w:w="2160"/>
        <w:gridCol w:w="2160"/>
        <w:gridCol w:w="2160"/>
        <w:gridCol w:w="2160"/>
      </w:tblGrid>
      <w:tr w:rsidR="005C0BE2" w14:paraId="6AA9574F" w14:textId="77777777">
        <w:trPr>
          <w:tblHeader/>
        </w:trPr>
        <w:tc>
          <w:tcPr>
            <w:tcW w:w="21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091F2C"/>
          </w:tcPr>
          <w:p w14:paraId="60196063" w14:textId="77777777" w:rsidR="005C0BE2" w:rsidRDefault="00000000">
            <w:r>
              <w:rPr>
                <w:b/>
                <w:bCs/>
                <w:color w:val="FFFFFF"/>
                <w:sz w:val="16"/>
                <w:szCs w:val="16"/>
              </w:rPr>
              <w:t>1. Listen &amp; Consult</w:t>
            </w:r>
          </w:p>
        </w:tc>
        <w:tc>
          <w:tcPr>
            <w:tcW w:w="21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091F2C"/>
          </w:tcPr>
          <w:p w14:paraId="4893986C" w14:textId="77777777" w:rsidR="005C0BE2" w:rsidRDefault="00000000">
            <w:r>
              <w:rPr>
                <w:b/>
                <w:bCs/>
                <w:color w:val="FFFFFF"/>
                <w:sz w:val="16"/>
                <w:szCs w:val="16"/>
              </w:rPr>
              <w:t>2. Inspire &amp; Design</w:t>
            </w:r>
          </w:p>
        </w:tc>
        <w:tc>
          <w:tcPr>
            <w:tcW w:w="21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091F2C"/>
          </w:tcPr>
          <w:p w14:paraId="614B34A2" w14:textId="77777777" w:rsidR="005C0BE2" w:rsidRDefault="00000000">
            <w:r>
              <w:rPr>
                <w:b/>
                <w:bCs/>
                <w:color w:val="FFFFFF"/>
                <w:sz w:val="16"/>
                <w:szCs w:val="16"/>
              </w:rPr>
              <w:t>3. Empower &amp; Achieve</w:t>
            </w:r>
          </w:p>
        </w:tc>
        <w:tc>
          <w:tcPr>
            <w:tcW w:w="21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091F2C"/>
          </w:tcPr>
          <w:p w14:paraId="1D2F1D0B" w14:textId="77777777" w:rsidR="005C0BE2" w:rsidRDefault="00000000">
            <w:r>
              <w:rPr>
                <w:b/>
                <w:bCs/>
                <w:color w:val="FFFFFF"/>
                <w:sz w:val="16"/>
                <w:szCs w:val="16"/>
              </w:rPr>
              <w:t>4. Realize Value</w:t>
            </w:r>
          </w:p>
        </w:tc>
        <w:tc>
          <w:tcPr>
            <w:tcW w:w="21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091F2C"/>
          </w:tcPr>
          <w:p w14:paraId="337A01F1" w14:textId="77777777" w:rsidR="005C0BE2" w:rsidRDefault="00000000">
            <w:r>
              <w:rPr>
                <w:b/>
                <w:bCs/>
                <w:color w:val="FFFFFF"/>
                <w:sz w:val="16"/>
                <w:szCs w:val="16"/>
              </w:rPr>
              <w:t>5. Manage &amp; Optimize</w:t>
            </w:r>
          </w:p>
        </w:tc>
      </w:tr>
      <w:tr w:rsidR="005C0BE2" w14:paraId="73108BD9" w14:textId="77777777">
        <w:tc>
          <w:tcPr>
            <w:tcW w:w="21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FF8F5"/>
            <w:tcMar>
              <w:top w:w="50" w:type="dxa"/>
              <w:bottom w:w="50" w:type="dxa"/>
            </w:tcMar>
          </w:tcPr>
          <w:p w14:paraId="7D876CF4" w14:textId="77777777" w:rsidR="005C0BE2" w:rsidRDefault="00000000">
            <w:r>
              <w:rPr>
                <w:sz w:val="16"/>
                <w:szCs w:val="16"/>
              </w:rPr>
              <w:lastRenderedPageBreak/>
              <w:t>Qualify CoE opportunity; Readiness Scorecard</w:t>
            </w:r>
          </w:p>
        </w:tc>
        <w:tc>
          <w:tcPr>
            <w:tcW w:w="21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tcMar>
              <w:top w:w="50" w:type="dxa"/>
              <w:bottom w:w="50" w:type="dxa"/>
            </w:tcMar>
          </w:tcPr>
          <w:p w14:paraId="4F6BC520" w14:textId="77777777" w:rsidR="005C0BE2" w:rsidRDefault="00000000">
            <w:r>
              <w:rPr>
                <w:sz w:val="16"/>
                <w:szCs w:val="16"/>
              </w:rPr>
              <w:t>Envisioning workshop; CoE blueprint</w:t>
            </w:r>
          </w:p>
        </w:tc>
        <w:tc>
          <w:tcPr>
            <w:tcW w:w="21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FF8F5"/>
            <w:tcMar>
              <w:top w:w="50" w:type="dxa"/>
              <w:bottom w:w="50" w:type="dxa"/>
            </w:tcMar>
          </w:tcPr>
          <w:p w14:paraId="74763975" w14:textId="77777777" w:rsidR="005C0BE2" w:rsidRDefault="00000000">
            <w:r>
              <w:rPr>
                <w:sz w:val="16"/>
                <w:szCs w:val="16"/>
              </w:rPr>
              <w:t>Stand up CoE; first pilot live</w:t>
            </w:r>
          </w:p>
        </w:tc>
        <w:tc>
          <w:tcPr>
            <w:tcW w:w="21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tcMar>
              <w:top w:w="50" w:type="dxa"/>
              <w:bottom w:w="50" w:type="dxa"/>
            </w:tcMar>
          </w:tcPr>
          <w:p w14:paraId="76873FBA" w14:textId="77777777" w:rsidR="005C0BE2" w:rsidRDefault="00000000">
            <w:r>
              <w:rPr>
                <w:sz w:val="16"/>
                <w:szCs w:val="16"/>
              </w:rPr>
              <w:t>Production scale; ACR ramp; value KPIs</w:t>
            </w:r>
          </w:p>
        </w:tc>
        <w:tc>
          <w:tcPr>
            <w:tcW w:w="21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FF8F5"/>
            <w:tcMar>
              <w:top w:w="50" w:type="dxa"/>
              <w:bottom w:w="50" w:type="dxa"/>
            </w:tcMar>
          </w:tcPr>
          <w:p w14:paraId="3DA4B716" w14:textId="77777777" w:rsidR="005C0BE2" w:rsidRDefault="00000000">
            <w:r>
              <w:rPr>
                <w:sz w:val="16"/>
                <w:szCs w:val="16"/>
              </w:rPr>
              <w:t>Evolve to federated CoE; expansion</w:t>
            </w:r>
          </w:p>
        </w:tc>
      </w:tr>
    </w:tbl>
    <w:p w14:paraId="5CD20143" w14:textId="77777777" w:rsidR="005C0BE2" w:rsidRDefault="00000000">
      <w:pPr>
        <w:spacing w:before="140" w:after="60"/>
      </w:pPr>
      <w:r>
        <w:rPr>
          <w:b/>
          <w:bCs/>
          <w:color w:val="0078D4"/>
          <w:sz w:val="20"/>
          <w:szCs w:val="20"/>
        </w:rPr>
        <w:t>SUCCESS METRICS</w:t>
      </w:r>
    </w:p>
    <w:p w14:paraId="7F8743DF" w14:textId="77777777" w:rsidR="005C0BE2" w:rsidRDefault="00000000">
      <w:pPr>
        <w:pStyle w:val="ListParagraph"/>
        <w:numPr>
          <w:ilvl w:val="0"/>
          <w:numId w:val="3"/>
        </w:numPr>
        <w:spacing w:before="20" w:after="20"/>
      </w:pPr>
      <w:r>
        <w:rPr>
          <w:b/>
          <w:bCs/>
          <w:sz w:val="17"/>
          <w:szCs w:val="17"/>
        </w:rPr>
        <w:t>ACR growth QoQ and MACC attainment tied to active CoE engagements</w:t>
      </w:r>
    </w:p>
    <w:p w14:paraId="0343CEBB" w14:textId="77777777" w:rsidR="005C0BE2" w:rsidRDefault="00000000">
      <w:pPr>
        <w:pStyle w:val="ListParagraph"/>
        <w:numPr>
          <w:ilvl w:val="0"/>
          <w:numId w:val="1"/>
        </w:numPr>
        <w:spacing w:before="20" w:after="20"/>
      </w:pPr>
      <w:r>
        <w:rPr>
          <w:sz w:val="17"/>
          <w:szCs w:val="17"/>
        </w:rPr>
        <w:t># of production AI workloads per customer; Copilot seats; Fabric capacity</w:t>
      </w:r>
    </w:p>
    <w:p w14:paraId="5B5E9434" w14:textId="77777777" w:rsidR="005C0BE2" w:rsidRDefault="00000000">
      <w:pPr>
        <w:pStyle w:val="ListParagraph"/>
        <w:numPr>
          <w:ilvl w:val="0"/>
          <w:numId w:val="1"/>
        </w:numPr>
        <w:spacing w:before="20" w:after="20"/>
      </w:pPr>
      <w:r>
        <w:rPr>
          <w:sz w:val="17"/>
          <w:szCs w:val="17"/>
        </w:rPr>
        <w:t># of CoE Anchor Partners activated in MEA; partner-attached pipeline</w:t>
      </w:r>
    </w:p>
    <w:p w14:paraId="5668788A" w14:textId="77777777" w:rsidR="005C0BE2" w:rsidRDefault="00000000">
      <w:pPr>
        <w:pStyle w:val="ListParagraph"/>
        <w:numPr>
          <w:ilvl w:val="0"/>
          <w:numId w:val="1"/>
        </w:numPr>
        <w:spacing w:before="20" w:after="20"/>
      </w:pPr>
      <w:r>
        <w:rPr>
          <w:sz w:val="17"/>
          <w:szCs w:val="17"/>
        </w:rPr>
        <w:t>Factory engagements per quarter — F1 GenAI Assistant MVPs, F2 Azure Landing Zones — as a leading indicator of partner-services budget freed for high-value work</w:t>
      </w:r>
    </w:p>
    <w:p w14:paraId="00E53B53" w14:textId="77777777" w:rsidR="005C0BE2" w:rsidRDefault="00000000">
      <w:pPr>
        <w:pStyle w:val="ListParagraph"/>
        <w:numPr>
          <w:ilvl w:val="0"/>
          <w:numId w:val="1"/>
        </w:numPr>
        <w:spacing w:before="20" w:after="20"/>
      </w:pPr>
      <w:r>
        <w:rPr>
          <w:sz w:val="17"/>
          <w:szCs w:val="17"/>
        </w:rPr>
        <w:t>CoE governance cadence, skilling completions, Responsible AI standards ratified</w:t>
      </w:r>
    </w:p>
    <w:p w14:paraId="752195EC" w14:textId="77777777" w:rsidR="005C0BE2" w:rsidRDefault="00000000">
      <w:pPr>
        <w:pStyle w:val="ListParagraph"/>
        <w:numPr>
          <w:ilvl w:val="0"/>
          <w:numId w:val="1"/>
        </w:numPr>
        <w:spacing w:before="20" w:after="20"/>
      </w:pPr>
      <w:r>
        <w:rPr>
          <w:sz w:val="17"/>
          <w:szCs w:val="17"/>
        </w:rPr>
        <w:t>Customer NSAT and reference-ability</w:t>
      </w:r>
    </w:p>
    <w:p w14:paraId="24817679" w14:textId="77777777" w:rsidR="005C0BE2" w:rsidRDefault="00000000">
      <w:pPr>
        <w:spacing w:before="140" w:after="60"/>
      </w:pPr>
      <w:r>
        <w:rPr>
          <w:b/>
          <w:bCs/>
          <w:color w:val="FF5C39"/>
          <w:sz w:val="20"/>
          <w:szCs w:val="20"/>
        </w:rPr>
        <w:t>THE ASK</w:t>
      </w:r>
    </w:p>
    <w:p w14:paraId="15AAC904" w14:textId="77777777" w:rsidR="005C0BE2" w:rsidRDefault="00000000">
      <w:pPr>
        <w:spacing w:before="40" w:after="40"/>
      </w:pPr>
      <w:r>
        <w:rPr>
          <w:sz w:val="17"/>
          <w:szCs w:val="17"/>
        </w:rPr>
        <w:t>Endorse this offering as a repeatable MCAPS + Partner motion for the RSA market. Sponsor the Anchor Partner recruitment cycle (target 4–6 partners in H1), enable CSA skilling on CoE + ATO delivery, and align ATO ECIF/ACO envelope, ESI, and Azure Migrate and Modernize (AMM) funds to accelerate customer pilots.</w:t>
      </w:r>
    </w:p>
    <w:sectPr w:rsidR="005C0BE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65" w:right="720" w:bottom="765" w:left="720" w:header="708" w:footer="708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CC3DED" w14:textId="77777777" w:rsidR="004359F2" w:rsidRDefault="004359F2">
      <w:r>
        <w:separator/>
      </w:r>
    </w:p>
  </w:endnote>
  <w:endnote w:type="continuationSeparator" w:id="0">
    <w:p w14:paraId="4409136D" w14:textId="77777777" w:rsidR="004359F2" w:rsidRDefault="004359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23726A" w14:textId="77777777" w:rsidR="005C0BE2" w:rsidRDefault="005C0BE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D8934" w14:textId="77777777" w:rsidR="005C0BE2" w:rsidRDefault="00000000">
    <w:pPr>
      <w:jc w:val="center"/>
    </w:pPr>
    <w:r>
      <w:rPr>
        <w:color w:val="808080"/>
        <w:sz w:val="14"/>
        <w:szCs w:val="14"/>
      </w:rPr>
      <w:t xml:space="preserve">AI Centre of Excellence · MCAPS Offering · © 2026 Microsoft Corporation · </w:t>
    </w:r>
    <w:r>
      <w:rPr>
        <w:sz w:val="17"/>
        <w:szCs w:val="17"/>
      </w:rPr>
      <w:fldChar w:fldCharType="begin"/>
    </w:r>
    <w:r>
      <w:rPr>
        <w:sz w:val="17"/>
        <w:szCs w:val="17"/>
      </w:rPr>
      <w:instrText xml:space="preserve"> PAGE </w:instrText>
    </w:r>
    <w:r>
      <w:rPr>
        <w:sz w:val="17"/>
        <w:szCs w:val="17"/>
      </w:rPr>
      <w:fldChar w:fldCharType="separate"/>
    </w:r>
    <w:r>
      <w:rPr>
        <w:sz w:val="17"/>
        <w:szCs w:val="17"/>
      </w:rPr>
      <w:t>2</w:t>
    </w:r>
    <w:r>
      <w:rPr>
        <w:sz w:val="17"/>
        <w:szCs w:val="17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67B122" w14:textId="77777777" w:rsidR="005C0BE2" w:rsidRDefault="00000000">
    <w:pPr>
      <w:jc w:val="center"/>
    </w:pPr>
    <w:r>
      <w:rPr>
        <w:color w:val="808080"/>
        <w:sz w:val="14"/>
        <w:szCs w:val="14"/>
      </w:rPr>
      <w:t xml:space="preserve">AI Centre of Excellence · MCAPS Offering · © 2026 Microsoft Corporation · </w:t>
    </w:r>
    <w:r>
      <w:rPr>
        <w:sz w:val="17"/>
        <w:szCs w:val="17"/>
      </w:rPr>
      <w:fldChar w:fldCharType="begin"/>
    </w:r>
    <w:r>
      <w:rPr>
        <w:sz w:val="17"/>
        <w:szCs w:val="17"/>
      </w:rPr>
      <w:instrText xml:space="preserve"> PAGE </w:instrText>
    </w:r>
    <w:r>
      <w:rPr>
        <w:sz w:val="17"/>
        <w:szCs w:val="17"/>
      </w:rPr>
      <w:fldChar w:fldCharType="separate"/>
    </w:r>
    <w:r>
      <w:rPr>
        <w:sz w:val="17"/>
        <w:szCs w:val="17"/>
      </w:rPr>
      <w:t>2</w:t>
    </w:r>
    <w:r>
      <w:rPr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BC9D63" w14:textId="77777777" w:rsidR="004359F2" w:rsidRDefault="004359F2">
      <w:r>
        <w:separator/>
      </w:r>
    </w:p>
  </w:footnote>
  <w:footnote w:type="continuationSeparator" w:id="0">
    <w:p w14:paraId="5670BA48" w14:textId="77777777" w:rsidR="004359F2" w:rsidRDefault="004359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79411" w14:textId="77777777" w:rsidR="005C0BE2" w:rsidRDefault="005C0BE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0118A" w14:textId="77777777" w:rsidR="005C0BE2" w:rsidRDefault="00000000">
    <w:r>
      <w:rPr>
        <w:noProof/>
      </w:rPr>
      <w:drawing>
        <wp:inline distT="0" distB="0" distL="0" distR="0" wp14:anchorId="3EE4D862" wp14:editId="6C4DF932">
          <wp:extent cx="171450" cy="171450"/>
          <wp:effectExtent l="0" t="0" r="0" b="0"/>
          <wp:docPr id="1" name="Image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71450" cy="1714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b/>
        <w:bCs/>
        <w:color w:val="737373"/>
      </w:rPr>
      <w:t xml:space="preserve">  Microsoft</w:t>
    </w:r>
    <w:r>
      <w:rPr>
        <w:sz w:val="14"/>
        <w:szCs w:val="14"/>
      </w:rPr>
      <w:t xml:space="preserve">                                                                                               </w:t>
    </w:r>
    <w:r>
      <w:rPr>
        <w:color w:val="808080"/>
        <w:sz w:val="14"/>
        <w:szCs w:val="14"/>
      </w:rPr>
      <w:t>Microsoft Confidential · MCAPS RSA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8E876A" w14:textId="77777777" w:rsidR="005C0BE2" w:rsidRDefault="00000000">
    <w:r>
      <w:rPr>
        <w:noProof/>
      </w:rPr>
      <w:drawing>
        <wp:inline distT="0" distB="0" distL="0" distR="0" wp14:anchorId="065DEBF4" wp14:editId="5C319B9F">
          <wp:extent cx="171450" cy="171450"/>
          <wp:effectExtent l="0" t="0" r="0" b="0"/>
          <wp:docPr id="2" name="Image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71450" cy="1714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b/>
        <w:bCs/>
        <w:color w:val="737373"/>
      </w:rPr>
      <w:t xml:space="preserve">  Microsoft</w:t>
    </w:r>
    <w:r>
      <w:rPr>
        <w:sz w:val="14"/>
        <w:szCs w:val="14"/>
      </w:rPr>
      <w:t xml:space="preserve">                                                                                               </w:t>
    </w:r>
    <w:r>
      <w:rPr>
        <w:color w:val="808080"/>
        <w:sz w:val="14"/>
        <w:szCs w:val="14"/>
      </w:rPr>
      <w:t>Microsoft Confidential · MCAPS RSA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F69B4"/>
    <w:multiLevelType w:val="multilevel"/>
    <w:tmpl w:val="CB12F318"/>
    <w:lvl w:ilvl="0">
      <w:start w:val="1"/>
      <w:numFmt w:val="bullet"/>
      <w:lvlText w:val=""/>
      <w:lvlJc w:val="left"/>
      <w:pPr>
        <w:tabs>
          <w:tab w:val="num" w:pos="0"/>
        </w:tabs>
        <w:ind w:left="360" w:hanging="24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4A821181"/>
    <w:multiLevelType w:val="multilevel"/>
    <w:tmpl w:val="5FFEF1C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2091268478">
    <w:abstractNumId w:val="0"/>
  </w:num>
  <w:num w:numId="2" w16cid:durableId="1529836310">
    <w:abstractNumId w:val="1"/>
  </w:num>
  <w:num w:numId="3" w16cid:durableId="6321729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BE2"/>
    <w:rsid w:val="000A3D73"/>
    <w:rsid w:val="004359F2"/>
    <w:rsid w:val="005C0BE2"/>
    <w:rsid w:val="00954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41B685D"/>
  <w15:docId w15:val="{FAE7F379-2115-4244-9AA6-F7C4B1BB1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="Segoe UI" w:hAnsi="Segoe UI" w:cs="Segoe UI"/>
        <w:sz w:val="18"/>
        <w:szCs w:val="18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ing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Heading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Heading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Heading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Heading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Heading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customStyle="1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" w:hAnsi="Liberation Sans" w:cs="Noto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Title">
    <w:name w:val="Title"/>
    <w:basedOn w:val="Heading"/>
    <w:uiPriority w:val="10"/>
    <w:qFormat/>
    <w:rPr>
      <w:sz w:val="56"/>
      <w:szCs w:val="56"/>
    </w:rPr>
  </w:style>
  <w:style w:type="paragraph" w:customStyle="1" w:styleId="StrongEmphasis">
    <w:name w:val="Strong Emphasis"/>
    <w:qFormat/>
    <w:rPr>
      <w:b/>
      <w:bCs/>
    </w:rPr>
  </w:style>
  <w:style w:type="paragraph" w:styleId="ListParagraph">
    <w:name w:val="List Paragraph"/>
    <w:qFormat/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HeaderandFooter"/>
  </w:style>
  <w:style w:type="paragraph" w:styleId="Footer">
    <w:name w:val="footer"/>
    <w:basedOn w:val="HeaderandFooter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87867195-f2b8-4ac2-b0b6-6bb73cb33afc}" enabled="1" method="Privilege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778</Words>
  <Characters>4439</Characters>
  <Application>Microsoft Office Word</Application>
  <DocSecurity>0</DocSecurity>
  <Lines>36</Lines>
  <Paragraphs>10</Paragraphs>
  <ScaleCrop>false</ScaleCrop>
  <Company/>
  <LinksUpToDate>false</LinksUpToDate>
  <CharactersWithSpaces>5207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CoE Executive One-Pager</dc:title>
  <dc:subject/>
  <dc:creator>Yuri Baijnath</dc:creator>
  <dc:description/>
  <cp:lastModifiedBy>Yuri Baijnath</cp:lastModifiedBy>
  <cp:revision>2</cp:revision>
  <dcterms:created xsi:type="dcterms:W3CDTF">2026-05-12T07:10:00Z</dcterms:created>
  <dcterms:modified xsi:type="dcterms:W3CDTF">2026-05-12T07:10:00Z</dcterms:modified>
  <dc:language>en-US</dc:language>
</cp:coreProperties>
</file>