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Segoe UI" w:hAnsi="Segoe UI"/>
          <w:color w:val="0B1F3A"/>
          <w:sz w:val="56"/>
        </w:rPr>
        <w:t>AI CoE — Responsible AI &amp; Governance Playbook (RSA)</w:t>
      </w:r>
    </w:p>
    <w:p>
      <w:r>
        <w:rPr>
          <w:rFonts w:ascii="Segoe UI" w:hAnsi="Segoe UI"/>
          <w:b w:val="0"/>
          <w:i/>
          <w:sz w:val="22"/>
        </w:rPr>
        <w:t>Yuri Baijnath — CSU Cloud &amp; AI Lead (South Africa), Microsoft</w:t>
      </w:r>
    </w:p>
    <w:p>
      <w:r>
        <w:rPr>
          <w:rFonts w:ascii="Segoe UI" w:hAnsi="Segoe UI"/>
          <w:b w:val="0"/>
          <w:i/>
          <w:sz w:val="22"/>
        </w:rPr>
        <w:t>Version 1.0 · Last updated 2026-06-03</w:t>
      </w:r>
    </w:p>
    <w:p>
      <w:r>
        <w:rPr>
          <w:rFonts w:ascii="Segoe UI" w:hAnsi="Segoe UI"/>
          <w:b w:val="0"/>
          <w:i/>
          <w:sz w:val="22"/>
        </w:rPr>
        <w:t>Companion artefacts: ai-coe-responsible-ai-governance.md, AI-CoE-AI-Impact-Assessment.xlsx</w:t>
      </w:r>
    </w:p>
    <w:p>
      <w:pPr>
        <w:pStyle w:val="Heading1"/>
      </w:pPr>
      <w:r>
        <w:rPr>
          <w:rFonts w:ascii="Segoe UI" w:hAnsi="Segoe UI"/>
          <w:color w:val="0067B8"/>
          <w:sz w:val="36"/>
        </w:rPr>
        <w:t>1. Purpose</w:t>
      </w:r>
    </w:p>
    <w:p>
      <w:r>
        <w:rPr>
          <w:rFonts w:ascii="Segoe UI" w:hAnsi="Segoe UI"/>
          <w:b w:val="0"/>
          <w:i w:val="0"/>
          <w:sz w:val="22"/>
        </w:rPr>
        <w:t>This playbook is the operating manual for the AI CoE governance posture in RSA customer engagements. It names the gates, the roles, the cadences, and the evidence each customer must produce. It is the artefact AGSA, SARB, FSCA, or the Information Regulator should be able to sample at any point.</w:t>
      </w:r>
    </w:p>
    <w:p>
      <w:pPr>
        <w:pStyle w:val="Heading1"/>
      </w:pPr>
      <w:r>
        <w:rPr>
          <w:rFonts w:ascii="Segoe UI" w:hAnsi="Segoe UI"/>
          <w:color w:val="0067B8"/>
          <w:sz w:val="36"/>
        </w:rPr>
        <w:t>2. The four-gate model</w:t>
      </w:r>
    </w:p>
    <w:p>
      <w:r>
        <w:rPr>
          <w:rFonts w:ascii="Segoe UI" w:hAnsi="Segoe UI"/>
          <w:b w:val="0"/>
          <w:i w:val="0"/>
          <w:sz w:val="22"/>
        </w:rPr>
        <w:t>Every AI use-case in the CoE passes four governance gates before reaching production, and a recurring fifth attestation thereafter. No gate is skipped; gate evidence is captured in the Impact Assessment workbook.</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shd w:val="clear" w:color="auto" w:fill="0067B8"/>
          </w:tcPr>
          <w:p>
            <w:r>
              <w:rPr>
                <w:rFonts w:ascii="Segoe UI" w:hAnsi="Segoe UI"/>
                <w:b/>
                <w:color w:val="FFFFFF"/>
                <w:sz w:val="20"/>
              </w:rPr>
              <w:t>Gate</w:t>
            </w:r>
          </w:p>
        </w:tc>
        <w:tc>
          <w:tcPr>
            <w:tcW w:type="dxa" w:w="2493"/>
            <w:shd w:val="clear" w:color="auto" w:fill="0067B8"/>
          </w:tcPr>
          <w:p>
            <w:r>
              <w:rPr>
                <w:rFonts w:ascii="Segoe UI" w:hAnsi="Segoe UI"/>
                <w:b/>
                <w:color w:val="FFFFFF"/>
                <w:sz w:val="20"/>
              </w:rPr>
              <w:t>Stage</w:t>
            </w:r>
          </w:p>
        </w:tc>
        <w:tc>
          <w:tcPr>
            <w:tcW w:type="dxa" w:w="2493"/>
            <w:shd w:val="clear" w:color="auto" w:fill="0067B8"/>
          </w:tcPr>
          <w:p>
            <w:r>
              <w:rPr>
                <w:rFonts w:ascii="Segoe UI" w:hAnsi="Segoe UI"/>
                <w:b/>
                <w:color w:val="FFFFFF"/>
                <w:sz w:val="20"/>
              </w:rPr>
              <w:t>Required evidence</w:t>
            </w:r>
          </w:p>
        </w:tc>
        <w:tc>
          <w:tcPr>
            <w:tcW w:type="dxa" w:w="2493"/>
            <w:shd w:val="clear" w:color="auto" w:fill="0067B8"/>
          </w:tcPr>
          <w:p>
            <w:r>
              <w:rPr>
                <w:rFonts w:ascii="Segoe UI" w:hAnsi="Segoe UI"/>
                <w:b/>
                <w:color w:val="FFFFFF"/>
                <w:sz w:val="20"/>
              </w:rPr>
              <w:t>Sign-off</w:t>
            </w:r>
          </w:p>
        </w:tc>
      </w:tr>
      <w:tr>
        <w:tc>
          <w:tcPr>
            <w:tcW w:type="dxa" w:w="2493"/>
          </w:tcPr>
          <w:p>
            <w:r>
              <w:rPr>
                <w:rFonts w:ascii="Segoe UI" w:hAnsi="Segoe UI"/>
                <w:sz w:val="20"/>
              </w:rPr>
              <w:t>1. Envision</w:t>
            </w:r>
          </w:p>
        </w:tc>
        <w:tc>
          <w:tcPr>
            <w:tcW w:type="dxa" w:w="2493"/>
          </w:tcPr>
          <w:p>
            <w:r>
              <w:rPr>
                <w:rFonts w:ascii="Segoe UI" w:hAnsi="Segoe UI"/>
                <w:sz w:val="20"/>
              </w:rPr>
              <w:t>MCEM 1–2</w:t>
            </w:r>
          </w:p>
        </w:tc>
        <w:tc>
          <w:tcPr>
            <w:tcW w:type="dxa" w:w="2493"/>
          </w:tcPr>
          <w:p>
            <w:r>
              <w:rPr>
                <w:rFonts w:ascii="Segoe UI" w:hAnsi="Segoe UI"/>
                <w:sz w:val="20"/>
              </w:rPr>
              <w:t>Use-case registered; sponsor named; value hypothesis; sector mapped</w:t>
            </w:r>
          </w:p>
        </w:tc>
        <w:tc>
          <w:tcPr>
            <w:tcW w:type="dxa" w:w="2493"/>
          </w:tcPr>
          <w:p>
            <w:r>
              <w:rPr>
                <w:rFonts w:ascii="Segoe UI" w:hAnsi="Segoe UI"/>
                <w:sz w:val="20"/>
              </w:rPr>
              <w:t>Sponsor + Microsoft CSA</w:t>
            </w:r>
          </w:p>
        </w:tc>
      </w:tr>
      <w:tr>
        <w:tc>
          <w:tcPr>
            <w:tcW w:type="dxa" w:w="2493"/>
          </w:tcPr>
          <w:p>
            <w:r>
              <w:rPr>
                <w:rFonts w:ascii="Segoe UI" w:hAnsi="Segoe UI"/>
                <w:sz w:val="20"/>
              </w:rPr>
              <w:t>2. Pre-pilot</w:t>
            </w:r>
          </w:p>
        </w:tc>
        <w:tc>
          <w:tcPr>
            <w:tcW w:type="dxa" w:w="2493"/>
          </w:tcPr>
          <w:p>
            <w:r>
              <w:rPr>
                <w:rFonts w:ascii="Segoe UI" w:hAnsi="Segoe UI"/>
                <w:sz w:val="20"/>
              </w:rPr>
              <w:t>MCEM 2–3</w:t>
            </w:r>
          </w:p>
        </w:tc>
        <w:tc>
          <w:tcPr>
            <w:tcW w:type="dxa" w:w="2493"/>
          </w:tcPr>
          <w:p>
            <w:r>
              <w:rPr>
                <w:rFonts w:ascii="Segoe UI" w:hAnsi="Segoe UI"/>
                <w:sz w:val="20"/>
              </w:rPr>
              <w:t>Impact assessment signed; controls selected; risk register reviewed; partner DPA addendum</w:t>
            </w:r>
          </w:p>
        </w:tc>
        <w:tc>
          <w:tcPr>
            <w:tcW w:type="dxa" w:w="2493"/>
          </w:tcPr>
          <w:p>
            <w:r>
              <w:rPr>
                <w:rFonts w:ascii="Segoe UI" w:hAnsi="Segoe UI"/>
                <w:sz w:val="20"/>
              </w:rPr>
              <w:t>CISO + DPO + Legal</w:t>
            </w:r>
          </w:p>
        </w:tc>
      </w:tr>
      <w:tr>
        <w:tc>
          <w:tcPr>
            <w:tcW w:type="dxa" w:w="2493"/>
          </w:tcPr>
          <w:p>
            <w:r>
              <w:rPr>
                <w:rFonts w:ascii="Segoe UI" w:hAnsi="Segoe UI"/>
                <w:sz w:val="20"/>
              </w:rPr>
              <w:t>3. Pre-production</w:t>
            </w:r>
          </w:p>
        </w:tc>
        <w:tc>
          <w:tcPr>
            <w:tcW w:type="dxa" w:w="2493"/>
          </w:tcPr>
          <w:p>
            <w:r>
              <w:rPr>
                <w:rFonts w:ascii="Segoe UI" w:hAnsi="Segoe UI"/>
                <w:sz w:val="20"/>
              </w:rPr>
              <w:t>MCEM 3</w:t>
            </w:r>
          </w:p>
        </w:tc>
        <w:tc>
          <w:tcPr>
            <w:tcW w:type="dxa" w:w="2493"/>
          </w:tcPr>
          <w:p>
            <w:r>
              <w:rPr>
                <w:rFonts w:ascii="Segoe UI" w:hAnsi="Segoe UI"/>
                <w:sz w:val="20"/>
              </w:rPr>
              <w:t>Eval harness live; HITL queue live; kill-switch tested; Purview AI Hub onboarded; Defender for Cloud AI clean</w:t>
            </w:r>
          </w:p>
        </w:tc>
        <w:tc>
          <w:tcPr>
            <w:tcW w:type="dxa" w:w="2493"/>
          </w:tcPr>
          <w:p>
            <w:r>
              <w:rPr>
                <w:rFonts w:ascii="Segoe UI" w:hAnsi="Segoe UI"/>
                <w:sz w:val="20"/>
              </w:rPr>
              <w:t>CISO</w:t>
            </w:r>
          </w:p>
        </w:tc>
      </w:tr>
      <w:tr>
        <w:tc>
          <w:tcPr>
            <w:tcW w:type="dxa" w:w="2493"/>
          </w:tcPr>
          <w:p>
            <w:r>
              <w:rPr>
                <w:rFonts w:ascii="Segoe UI" w:hAnsi="Segoe UI"/>
                <w:sz w:val="20"/>
              </w:rPr>
              <w:t>4. Quarterly attestation</w:t>
            </w:r>
          </w:p>
        </w:tc>
        <w:tc>
          <w:tcPr>
            <w:tcW w:type="dxa" w:w="2493"/>
          </w:tcPr>
          <w:p>
            <w:r>
              <w:rPr>
                <w:rFonts w:ascii="Segoe UI" w:hAnsi="Segoe UI"/>
                <w:sz w:val="20"/>
              </w:rPr>
              <w:t>MCEM 4–5</w:t>
            </w:r>
          </w:p>
        </w:tc>
        <w:tc>
          <w:tcPr>
            <w:tcW w:type="dxa" w:w="2493"/>
          </w:tcPr>
          <w:p>
            <w:r>
              <w:rPr>
                <w:rFonts w:ascii="Segoe UI" w:hAnsi="Segoe UI"/>
                <w:sz w:val="20"/>
              </w:rPr>
              <w:t>Re-verify controls; refresh evidence; surface drift; record in attestation sheet</w:t>
            </w:r>
          </w:p>
        </w:tc>
        <w:tc>
          <w:tcPr>
            <w:tcW w:type="dxa" w:w="2493"/>
          </w:tcPr>
          <w:p>
            <w:r>
              <w:rPr>
                <w:rFonts w:ascii="Segoe UI" w:hAnsi="Segoe UI"/>
                <w:sz w:val="20"/>
              </w:rPr>
              <w:t>CISO + DPO + Internal Audit</w:t>
            </w:r>
          </w:p>
        </w:tc>
      </w:tr>
    </w:tbl>
    <w:p>
      <w:pPr>
        <w:pStyle w:val="Heading1"/>
      </w:pPr>
      <w:r>
        <w:rPr>
          <w:rFonts w:ascii="Segoe UI" w:hAnsi="Segoe UI"/>
          <w:color w:val="0067B8"/>
          <w:sz w:val="36"/>
        </w:rPr>
        <w:t>3. Operating model — RACI by gate</w:t>
      </w:r>
    </w:p>
    <w:p>
      <w:r>
        <w:rPr>
          <w:rFonts w:ascii="Segoe UI" w:hAnsi="Segoe UI"/>
          <w:b w:val="0"/>
          <w:i/>
          <w:sz w:val="22"/>
        </w:rPr>
        <w:t>R = Responsible · A = Accountable · C = Consulted · I = Informed</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shd w:val="clear" w:color="auto" w:fill="0067B8"/>
          </w:tcPr>
          <w:p>
            <w:r>
              <w:rPr>
                <w:rFonts w:ascii="Segoe UI" w:hAnsi="Segoe UI"/>
                <w:b/>
                <w:color w:val="FFFFFF"/>
                <w:sz w:val="20"/>
              </w:rPr>
              <w:t>Role</w:t>
            </w:r>
          </w:p>
        </w:tc>
        <w:tc>
          <w:tcPr>
            <w:tcW w:type="dxa" w:w="1994"/>
            <w:shd w:val="clear" w:color="auto" w:fill="0067B8"/>
          </w:tcPr>
          <w:p>
            <w:r>
              <w:rPr>
                <w:rFonts w:ascii="Segoe UI" w:hAnsi="Segoe UI"/>
                <w:b/>
                <w:color w:val="FFFFFF"/>
                <w:sz w:val="20"/>
              </w:rPr>
              <w:t>Gate 1</w:t>
            </w:r>
          </w:p>
        </w:tc>
        <w:tc>
          <w:tcPr>
            <w:tcW w:type="dxa" w:w="1994"/>
            <w:shd w:val="clear" w:color="auto" w:fill="0067B8"/>
          </w:tcPr>
          <w:p>
            <w:r>
              <w:rPr>
                <w:rFonts w:ascii="Segoe UI" w:hAnsi="Segoe UI"/>
                <w:b/>
                <w:color w:val="FFFFFF"/>
                <w:sz w:val="20"/>
              </w:rPr>
              <w:t>Gate 2</w:t>
            </w:r>
          </w:p>
        </w:tc>
        <w:tc>
          <w:tcPr>
            <w:tcW w:type="dxa" w:w="1994"/>
            <w:shd w:val="clear" w:color="auto" w:fill="0067B8"/>
          </w:tcPr>
          <w:p>
            <w:r>
              <w:rPr>
                <w:rFonts w:ascii="Segoe UI" w:hAnsi="Segoe UI"/>
                <w:b/>
                <w:color w:val="FFFFFF"/>
                <w:sz w:val="20"/>
              </w:rPr>
              <w:t>Gate 3</w:t>
            </w:r>
          </w:p>
        </w:tc>
        <w:tc>
          <w:tcPr>
            <w:tcW w:type="dxa" w:w="1994"/>
            <w:shd w:val="clear" w:color="auto" w:fill="0067B8"/>
          </w:tcPr>
          <w:p>
            <w:r>
              <w:rPr>
                <w:rFonts w:ascii="Segoe UI" w:hAnsi="Segoe UI"/>
                <w:b/>
                <w:color w:val="FFFFFF"/>
                <w:sz w:val="20"/>
              </w:rPr>
              <w:t>Gate 4</w:t>
            </w:r>
          </w:p>
        </w:tc>
      </w:tr>
      <w:tr>
        <w:tc>
          <w:tcPr>
            <w:tcW w:type="dxa" w:w="1994"/>
          </w:tcPr>
          <w:p>
            <w:r>
              <w:rPr>
                <w:rFonts w:ascii="Segoe UI" w:hAnsi="Segoe UI"/>
                <w:sz w:val="20"/>
              </w:rPr>
              <w:t>Business sponsor</w:t>
            </w:r>
          </w:p>
        </w:tc>
        <w:tc>
          <w:tcPr>
            <w:tcW w:type="dxa" w:w="1994"/>
          </w:tcPr>
          <w:p>
            <w:r>
              <w:rPr>
                <w:rFonts w:ascii="Segoe UI" w:hAnsi="Segoe UI"/>
                <w:sz w:val="20"/>
              </w:rPr>
              <w:t>A</w:t>
            </w:r>
          </w:p>
        </w:tc>
        <w:tc>
          <w:tcPr>
            <w:tcW w:type="dxa" w:w="1994"/>
          </w:tcPr>
          <w:p>
            <w:r>
              <w:rPr>
                <w:rFonts w:ascii="Segoe UI" w:hAnsi="Segoe UI"/>
                <w:sz w:val="20"/>
              </w:rPr>
              <w:t>C</w:t>
            </w:r>
          </w:p>
        </w:tc>
        <w:tc>
          <w:tcPr>
            <w:tcW w:type="dxa" w:w="1994"/>
          </w:tcPr>
          <w:p>
            <w:r>
              <w:rPr>
                <w:rFonts w:ascii="Segoe UI" w:hAnsi="Segoe UI"/>
                <w:sz w:val="20"/>
              </w:rPr>
              <w:t>C</w:t>
            </w:r>
          </w:p>
        </w:tc>
        <w:tc>
          <w:tcPr>
            <w:tcW w:type="dxa" w:w="1994"/>
          </w:tcPr>
          <w:p>
            <w:r>
              <w:rPr>
                <w:rFonts w:ascii="Segoe UI" w:hAnsi="Segoe UI"/>
                <w:sz w:val="20"/>
              </w:rPr>
              <w:t>I</w:t>
            </w:r>
          </w:p>
        </w:tc>
      </w:tr>
      <w:tr>
        <w:tc>
          <w:tcPr>
            <w:tcW w:type="dxa" w:w="1994"/>
          </w:tcPr>
          <w:p>
            <w:r>
              <w:rPr>
                <w:rFonts w:ascii="Segoe UI" w:hAnsi="Segoe UI"/>
                <w:sz w:val="20"/>
              </w:rPr>
              <w:t>Microsoft CSA</w:t>
            </w:r>
          </w:p>
        </w:tc>
        <w:tc>
          <w:tcPr>
            <w:tcW w:type="dxa" w:w="1994"/>
          </w:tcPr>
          <w:p>
            <w:r>
              <w:rPr>
                <w:rFonts w:ascii="Segoe UI" w:hAnsi="Segoe UI"/>
                <w:sz w:val="20"/>
              </w:rPr>
              <w:t>R</w:t>
            </w:r>
          </w:p>
        </w:tc>
        <w:tc>
          <w:tcPr>
            <w:tcW w:type="dxa" w:w="1994"/>
          </w:tcPr>
          <w:p>
            <w:r>
              <w:rPr>
                <w:rFonts w:ascii="Segoe UI" w:hAnsi="Segoe UI"/>
                <w:sz w:val="20"/>
              </w:rPr>
              <w:t>R</w:t>
            </w:r>
          </w:p>
        </w:tc>
        <w:tc>
          <w:tcPr>
            <w:tcW w:type="dxa" w:w="1994"/>
          </w:tcPr>
          <w:p>
            <w:r>
              <w:rPr>
                <w:rFonts w:ascii="Segoe UI" w:hAnsi="Segoe UI"/>
                <w:sz w:val="20"/>
              </w:rPr>
              <w:t>R</w:t>
            </w:r>
          </w:p>
        </w:tc>
        <w:tc>
          <w:tcPr>
            <w:tcW w:type="dxa" w:w="1994"/>
          </w:tcPr>
          <w:p>
            <w:r>
              <w:rPr>
                <w:rFonts w:ascii="Segoe UI" w:hAnsi="Segoe UI"/>
                <w:sz w:val="20"/>
              </w:rPr>
              <w:t>R</w:t>
            </w:r>
          </w:p>
        </w:tc>
      </w:tr>
      <w:tr>
        <w:tc>
          <w:tcPr>
            <w:tcW w:type="dxa" w:w="1994"/>
          </w:tcPr>
          <w:p>
            <w:r>
              <w:rPr>
                <w:rFonts w:ascii="Segoe UI" w:hAnsi="Segoe UI"/>
                <w:sz w:val="20"/>
              </w:rPr>
              <w:t>Partner CSA / build lead</w:t>
            </w:r>
          </w:p>
        </w:tc>
        <w:tc>
          <w:tcPr>
            <w:tcW w:type="dxa" w:w="1994"/>
          </w:tcPr>
          <w:p>
            <w:r>
              <w:rPr>
                <w:rFonts w:ascii="Segoe UI" w:hAnsi="Segoe UI"/>
                <w:sz w:val="20"/>
              </w:rPr>
              <w:t>I</w:t>
            </w:r>
          </w:p>
        </w:tc>
        <w:tc>
          <w:tcPr>
            <w:tcW w:type="dxa" w:w="1994"/>
          </w:tcPr>
          <w:p>
            <w:r>
              <w:rPr>
                <w:rFonts w:ascii="Segoe UI" w:hAnsi="Segoe UI"/>
                <w:sz w:val="20"/>
              </w:rPr>
              <w:t>R</w:t>
            </w:r>
          </w:p>
        </w:tc>
        <w:tc>
          <w:tcPr>
            <w:tcW w:type="dxa" w:w="1994"/>
          </w:tcPr>
          <w:p>
            <w:r>
              <w:rPr>
                <w:rFonts w:ascii="Segoe UI" w:hAnsi="Segoe UI"/>
                <w:sz w:val="20"/>
              </w:rPr>
              <w:t>R</w:t>
            </w:r>
          </w:p>
        </w:tc>
        <w:tc>
          <w:tcPr>
            <w:tcW w:type="dxa" w:w="1994"/>
          </w:tcPr>
          <w:p>
            <w:r>
              <w:rPr>
                <w:rFonts w:ascii="Segoe UI" w:hAnsi="Segoe UI"/>
                <w:sz w:val="20"/>
              </w:rPr>
              <w:t>R</w:t>
            </w:r>
          </w:p>
        </w:tc>
      </w:tr>
      <w:tr>
        <w:tc>
          <w:tcPr>
            <w:tcW w:type="dxa" w:w="1994"/>
          </w:tcPr>
          <w:p>
            <w:r>
              <w:rPr>
                <w:rFonts w:ascii="Segoe UI" w:hAnsi="Segoe UI"/>
                <w:sz w:val="20"/>
              </w:rPr>
              <w:t>Customer CISO</w:t>
            </w:r>
          </w:p>
        </w:tc>
        <w:tc>
          <w:tcPr>
            <w:tcW w:type="dxa" w:w="1994"/>
          </w:tcPr>
          <w:p>
            <w:r>
              <w:rPr>
                <w:rFonts w:ascii="Segoe UI" w:hAnsi="Segoe UI"/>
                <w:sz w:val="20"/>
              </w:rPr>
              <w:t>I</w:t>
            </w:r>
          </w:p>
        </w:tc>
        <w:tc>
          <w:tcPr>
            <w:tcW w:type="dxa" w:w="1994"/>
          </w:tcPr>
          <w:p>
            <w:r>
              <w:rPr>
                <w:rFonts w:ascii="Segoe UI" w:hAnsi="Segoe UI"/>
                <w:sz w:val="20"/>
              </w:rPr>
              <w:t>A</w:t>
            </w:r>
          </w:p>
        </w:tc>
        <w:tc>
          <w:tcPr>
            <w:tcW w:type="dxa" w:w="1994"/>
          </w:tcPr>
          <w:p>
            <w:r>
              <w:rPr>
                <w:rFonts w:ascii="Segoe UI" w:hAnsi="Segoe UI"/>
                <w:sz w:val="20"/>
              </w:rPr>
              <w:t>A</w:t>
            </w:r>
          </w:p>
        </w:tc>
        <w:tc>
          <w:tcPr>
            <w:tcW w:type="dxa" w:w="1994"/>
          </w:tcPr>
          <w:p>
            <w:r>
              <w:rPr>
                <w:rFonts w:ascii="Segoe UI" w:hAnsi="Segoe UI"/>
                <w:sz w:val="20"/>
              </w:rPr>
              <w:t>A</w:t>
            </w:r>
          </w:p>
        </w:tc>
      </w:tr>
      <w:tr>
        <w:tc>
          <w:tcPr>
            <w:tcW w:type="dxa" w:w="1994"/>
          </w:tcPr>
          <w:p>
            <w:r>
              <w:rPr>
                <w:rFonts w:ascii="Segoe UI" w:hAnsi="Segoe UI"/>
                <w:sz w:val="20"/>
              </w:rPr>
              <w:t>Customer DPO</w:t>
            </w:r>
          </w:p>
        </w:tc>
        <w:tc>
          <w:tcPr>
            <w:tcW w:type="dxa" w:w="1994"/>
          </w:tcPr>
          <w:p>
            <w:r>
              <w:rPr>
                <w:rFonts w:ascii="Segoe UI" w:hAnsi="Segoe UI"/>
                <w:sz w:val="20"/>
              </w:rPr>
              <w:t>I</w:t>
            </w:r>
          </w:p>
        </w:tc>
        <w:tc>
          <w:tcPr>
            <w:tcW w:type="dxa" w:w="1994"/>
          </w:tcPr>
          <w:p>
            <w:r>
              <w:rPr>
                <w:rFonts w:ascii="Segoe UI" w:hAnsi="Segoe UI"/>
                <w:sz w:val="20"/>
              </w:rPr>
              <w:t>A</w:t>
            </w:r>
          </w:p>
        </w:tc>
        <w:tc>
          <w:tcPr>
            <w:tcW w:type="dxa" w:w="1994"/>
          </w:tcPr>
          <w:p>
            <w:r>
              <w:rPr>
                <w:rFonts w:ascii="Segoe UI" w:hAnsi="Segoe UI"/>
                <w:sz w:val="20"/>
              </w:rPr>
              <w:t>I</w:t>
            </w:r>
          </w:p>
        </w:tc>
        <w:tc>
          <w:tcPr>
            <w:tcW w:type="dxa" w:w="1994"/>
          </w:tcPr>
          <w:p>
            <w:r>
              <w:rPr>
                <w:rFonts w:ascii="Segoe UI" w:hAnsi="Segoe UI"/>
                <w:sz w:val="20"/>
              </w:rPr>
              <w:t>A</w:t>
            </w:r>
          </w:p>
        </w:tc>
      </w:tr>
      <w:tr>
        <w:tc>
          <w:tcPr>
            <w:tcW w:type="dxa" w:w="1994"/>
          </w:tcPr>
          <w:p>
            <w:r>
              <w:rPr>
                <w:rFonts w:ascii="Segoe UI" w:hAnsi="Segoe UI"/>
                <w:sz w:val="20"/>
              </w:rPr>
              <w:t>Customer Internal Audit</w:t>
            </w:r>
          </w:p>
        </w:tc>
        <w:tc>
          <w:tcPr>
            <w:tcW w:type="dxa" w:w="1994"/>
          </w:tcPr>
          <w:p>
            <w:r>
              <w:rPr>
                <w:rFonts w:ascii="Segoe UI" w:hAnsi="Segoe UI"/>
                <w:sz w:val="20"/>
              </w:rPr>
              <w:t>I</w:t>
            </w:r>
          </w:p>
        </w:tc>
        <w:tc>
          <w:tcPr>
            <w:tcW w:type="dxa" w:w="1994"/>
          </w:tcPr>
          <w:p>
            <w:r>
              <w:rPr>
                <w:rFonts w:ascii="Segoe UI" w:hAnsi="Segoe UI"/>
                <w:sz w:val="20"/>
              </w:rPr>
              <w:t>C</w:t>
            </w:r>
          </w:p>
        </w:tc>
        <w:tc>
          <w:tcPr>
            <w:tcW w:type="dxa" w:w="1994"/>
          </w:tcPr>
          <w:p>
            <w:r>
              <w:rPr>
                <w:rFonts w:ascii="Segoe UI" w:hAnsi="Segoe UI"/>
                <w:sz w:val="20"/>
              </w:rPr>
              <w:t>C</w:t>
            </w:r>
          </w:p>
        </w:tc>
        <w:tc>
          <w:tcPr>
            <w:tcW w:type="dxa" w:w="1994"/>
          </w:tcPr>
          <w:p>
            <w:r>
              <w:rPr>
                <w:rFonts w:ascii="Segoe UI" w:hAnsi="Segoe UI"/>
                <w:sz w:val="20"/>
              </w:rPr>
              <w:t>A</w:t>
            </w:r>
          </w:p>
        </w:tc>
      </w:tr>
      <w:tr>
        <w:tc>
          <w:tcPr>
            <w:tcW w:type="dxa" w:w="1994"/>
          </w:tcPr>
          <w:p>
            <w:r>
              <w:rPr>
                <w:rFonts w:ascii="Segoe UI" w:hAnsi="Segoe UI"/>
                <w:sz w:val="20"/>
              </w:rPr>
              <w:t>Customer Legal</w:t>
            </w:r>
          </w:p>
        </w:tc>
        <w:tc>
          <w:tcPr>
            <w:tcW w:type="dxa" w:w="1994"/>
          </w:tcPr>
          <w:p>
            <w:r>
              <w:rPr>
                <w:rFonts w:ascii="Segoe UI" w:hAnsi="Segoe UI"/>
                <w:sz w:val="20"/>
              </w:rPr>
              <w:t>I</w:t>
            </w:r>
          </w:p>
        </w:tc>
        <w:tc>
          <w:tcPr>
            <w:tcW w:type="dxa" w:w="1994"/>
          </w:tcPr>
          <w:p>
            <w:r>
              <w:rPr>
                <w:rFonts w:ascii="Segoe UI" w:hAnsi="Segoe UI"/>
                <w:sz w:val="20"/>
              </w:rPr>
              <w:t>A</w:t>
            </w:r>
          </w:p>
        </w:tc>
        <w:tc>
          <w:tcPr>
            <w:tcW w:type="dxa" w:w="1994"/>
          </w:tcPr>
          <w:p>
            <w:r>
              <w:rPr>
                <w:rFonts w:ascii="Segoe UI" w:hAnsi="Segoe UI"/>
                <w:sz w:val="20"/>
              </w:rPr>
              <w:t>I</w:t>
            </w:r>
          </w:p>
        </w:tc>
        <w:tc>
          <w:tcPr>
            <w:tcW w:type="dxa" w:w="1994"/>
          </w:tcPr>
          <w:p>
            <w:r>
              <w:rPr>
                <w:rFonts w:ascii="Segoe UI" w:hAnsi="Segoe UI"/>
                <w:sz w:val="20"/>
              </w:rPr>
              <w:t>C</w:t>
            </w:r>
          </w:p>
        </w:tc>
      </w:tr>
    </w:tbl>
    <w:p>
      <w:pPr>
        <w:pStyle w:val="Heading1"/>
      </w:pPr>
      <w:r>
        <w:rPr>
          <w:rFonts w:ascii="Segoe UI" w:hAnsi="Segoe UI"/>
          <w:color w:val="0067B8"/>
          <w:sz w:val="36"/>
        </w:rPr>
        <w:t>4. Cadences</w:t>
      </w:r>
    </w:p>
    <w:p>
      <w:pPr>
        <w:pStyle w:val="ListBullet"/>
      </w:pPr>
      <w:r>
        <w:rPr>
          <w:rFonts w:ascii="Segoe UI" w:hAnsi="Segoe UI"/>
          <w:sz w:val="22"/>
        </w:rPr>
        <w:t>Weekly during pilot — Microsoft CSA + partner lead review eval results, override patterns, and incident log.</w:t>
      </w:r>
    </w:p>
    <w:p>
      <w:pPr>
        <w:pStyle w:val="ListBullet"/>
      </w:pPr>
      <w:r>
        <w:rPr>
          <w:rFonts w:ascii="Segoe UI" w:hAnsi="Segoe UI"/>
          <w:sz w:val="22"/>
        </w:rPr>
        <w:t>Monthly — risk register review with customer CISO; reviewer-feedback ingestion into eval set; cost/FinOps review.</w:t>
      </w:r>
    </w:p>
    <w:p>
      <w:pPr>
        <w:pStyle w:val="ListBullet"/>
      </w:pPr>
      <w:r>
        <w:rPr>
          <w:rFonts w:ascii="Segoe UI" w:hAnsi="Segoe UI"/>
          <w:sz w:val="22"/>
        </w:rPr>
        <w:t>Quarterly — full attestation refresh; AGSA-ready evidence pack export; region-availability re-verification on aka.ms/AzureRegions.</w:t>
      </w:r>
    </w:p>
    <w:p>
      <w:pPr>
        <w:pStyle w:val="ListBullet"/>
      </w:pPr>
      <w:r>
        <w:rPr>
          <w:rFonts w:ascii="Segoe UI" w:hAnsi="Segoe UI"/>
          <w:sz w:val="22"/>
        </w:rPr>
        <w:t>Annually — control crosswalk refresh; ISO 42001 / NIST AI RMF / EU AI Act version check.</w:t>
      </w:r>
    </w:p>
    <w:p>
      <w:pPr>
        <w:pStyle w:val="Heading1"/>
      </w:pPr>
      <w:r>
        <w:rPr>
          <w:rFonts w:ascii="Segoe UI" w:hAnsi="Segoe UI"/>
          <w:color w:val="0067B8"/>
          <w:sz w:val="36"/>
        </w:rPr>
        <w:t>5. Control library (operational reference)</w:t>
      </w:r>
    </w:p>
    <w:p>
      <w:r>
        <w:rPr>
          <w:rFonts w:ascii="Segoe UI" w:hAnsi="Segoe UI"/>
          <w:b w:val="0"/>
          <w:i w:val="0"/>
          <w:sz w:val="22"/>
        </w:rPr>
        <w:t>Full library lives in AI-CoE-AI-Impact-Assessment.xlsx, sheet 2 (Crosswalk) and sheet 5 (Control selection). Excerpt below names the 18 control families the playbook defaults ON; downgrade requires written justification captured in the workbook.</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shd w:val="clear" w:color="auto" w:fill="0067B8"/>
          </w:tcPr>
          <w:p>
            <w:r>
              <w:rPr>
                <w:rFonts w:ascii="Segoe UI" w:hAnsi="Segoe UI"/>
                <w:b/>
                <w:color w:val="FFFFFF"/>
                <w:sz w:val="20"/>
              </w:rPr>
              <w:t>ID</w:t>
            </w:r>
          </w:p>
        </w:tc>
        <w:tc>
          <w:tcPr>
            <w:tcW w:type="dxa" w:w="2493"/>
            <w:shd w:val="clear" w:color="auto" w:fill="0067B8"/>
          </w:tcPr>
          <w:p>
            <w:r>
              <w:rPr>
                <w:rFonts w:ascii="Segoe UI" w:hAnsi="Segoe UI"/>
                <w:b/>
                <w:color w:val="FFFFFF"/>
                <w:sz w:val="20"/>
              </w:rPr>
              <w:t>Control family</w:t>
            </w:r>
          </w:p>
        </w:tc>
        <w:tc>
          <w:tcPr>
            <w:tcW w:type="dxa" w:w="2493"/>
            <w:shd w:val="clear" w:color="auto" w:fill="0067B8"/>
          </w:tcPr>
          <w:p>
            <w:r>
              <w:rPr>
                <w:rFonts w:ascii="Segoe UI" w:hAnsi="Segoe UI"/>
                <w:b/>
                <w:color w:val="FFFFFF"/>
                <w:sz w:val="20"/>
              </w:rPr>
              <w:t>Default</w:t>
            </w:r>
          </w:p>
        </w:tc>
        <w:tc>
          <w:tcPr>
            <w:tcW w:type="dxa" w:w="2493"/>
            <w:shd w:val="clear" w:color="auto" w:fill="0067B8"/>
          </w:tcPr>
          <w:p>
            <w:r>
              <w:rPr>
                <w:rFonts w:ascii="Segoe UI" w:hAnsi="Segoe UI"/>
                <w:b/>
                <w:color w:val="FFFFFF"/>
                <w:sz w:val="20"/>
              </w:rPr>
              <w:t>Implementation surface</w:t>
            </w:r>
          </w:p>
        </w:tc>
      </w:tr>
      <w:tr>
        <w:tc>
          <w:tcPr>
            <w:tcW w:type="dxa" w:w="2493"/>
          </w:tcPr>
          <w:p>
            <w:r>
              <w:rPr>
                <w:rFonts w:ascii="Segoe UI" w:hAnsi="Segoe UI"/>
                <w:sz w:val="20"/>
              </w:rPr>
              <w:t>C-01</w:t>
            </w:r>
          </w:p>
        </w:tc>
        <w:tc>
          <w:tcPr>
            <w:tcW w:type="dxa" w:w="2493"/>
          </w:tcPr>
          <w:p>
            <w:r>
              <w:rPr>
                <w:rFonts w:ascii="Segoe UI" w:hAnsi="Segoe UI"/>
                <w:sz w:val="20"/>
              </w:rPr>
              <w:t>Accountability &amp; governance</w:t>
            </w:r>
          </w:p>
        </w:tc>
        <w:tc>
          <w:tcPr>
            <w:tcW w:type="dxa" w:w="2493"/>
          </w:tcPr>
          <w:p>
            <w:r>
              <w:rPr>
                <w:rFonts w:ascii="Segoe UI" w:hAnsi="Segoe UI"/>
                <w:sz w:val="20"/>
              </w:rPr>
              <w:t>ON</w:t>
            </w:r>
          </w:p>
        </w:tc>
        <w:tc>
          <w:tcPr>
            <w:tcW w:type="dxa" w:w="2493"/>
          </w:tcPr>
          <w:p>
            <w:r>
              <w:rPr>
                <w:rFonts w:ascii="Segoe UI" w:hAnsi="Segoe UI"/>
                <w:sz w:val="20"/>
              </w:rPr>
              <w:t>Azure Policy initiative + CoE charter</w:t>
            </w:r>
          </w:p>
        </w:tc>
      </w:tr>
      <w:tr>
        <w:tc>
          <w:tcPr>
            <w:tcW w:type="dxa" w:w="2493"/>
          </w:tcPr>
          <w:p>
            <w:r>
              <w:rPr>
                <w:rFonts w:ascii="Segoe UI" w:hAnsi="Segoe UI"/>
                <w:sz w:val="20"/>
              </w:rPr>
              <w:t>C-02</w:t>
            </w:r>
          </w:p>
        </w:tc>
        <w:tc>
          <w:tcPr>
            <w:tcW w:type="dxa" w:w="2493"/>
          </w:tcPr>
          <w:p>
            <w:r>
              <w:rPr>
                <w:rFonts w:ascii="Segoe UI" w:hAnsi="Segoe UI"/>
                <w:sz w:val="20"/>
              </w:rPr>
              <w:t>Data governance &amp; residency</w:t>
            </w:r>
          </w:p>
        </w:tc>
        <w:tc>
          <w:tcPr>
            <w:tcW w:type="dxa" w:w="2493"/>
          </w:tcPr>
          <w:p>
            <w:r>
              <w:rPr>
                <w:rFonts w:ascii="Segoe UI" w:hAnsi="Segoe UI"/>
                <w:sz w:val="20"/>
              </w:rPr>
              <w:t>ON</w:t>
            </w:r>
          </w:p>
        </w:tc>
        <w:tc>
          <w:tcPr>
            <w:tcW w:type="dxa" w:w="2493"/>
          </w:tcPr>
          <w:p>
            <w:r>
              <w:rPr>
                <w:rFonts w:ascii="Segoe UI" w:hAnsi="Segoe UI"/>
                <w:sz w:val="20"/>
              </w:rPr>
              <w:t>Azure Policy data-residency + Purview lineage</w:t>
            </w:r>
          </w:p>
        </w:tc>
      </w:tr>
      <w:tr>
        <w:tc>
          <w:tcPr>
            <w:tcW w:type="dxa" w:w="2493"/>
          </w:tcPr>
          <w:p>
            <w:r>
              <w:rPr>
                <w:rFonts w:ascii="Segoe UI" w:hAnsi="Segoe UI"/>
                <w:sz w:val="20"/>
              </w:rPr>
              <w:t>C-03</w:t>
            </w:r>
          </w:p>
        </w:tc>
        <w:tc>
          <w:tcPr>
            <w:tcW w:type="dxa" w:w="2493"/>
          </w:tcPr>
          <w:p>
            <w:r>
              <w:rPr>
                <w:rFonts w:ascii="Segoe UI" w:hAnsi="Segoe UI"/>
                <w:sz w:val="20"/>
              </w:rPr>
              <w:t>Impact assessment</w:t>
            </w:r>
          </w:p>
        </w:tc>
        <w:tc>
          <w:tcPr>
            <w:tcW w:type="dxa" w:w="2493"/>
          </w:tcPr>
          <w:p>
            <w:r>
              <w:rPr>
                <w:rFonts w:ascii="Segoe UI" w:hAnsi="Segoe UI"/>
                <w:sz w:val="20"/>
              </w:rPr>
              <w:t>ON</w:t>
            </w:r>
          </w:p>
        </w:tc>
        <w:tc>
          <w:tcPr>
            <w:tcW w:type="dxa" w:w="2493"/>
          </w:tcPr>
          <w:p>
            <w:r>
              <w:rPr>
                <w:rFonts w:ascii="Segoe UI" w:hAnsi="Segoe UI"/>
                <w:sz w:val="20"/>
              </w:rPr>
              <w:t>Impact Assessment workbook</w:t>
            </w:r>
          </w:p>
        </w:tc>
      </w:tr>
      <w:tr>
        <w:tc>
          <w:tcPr>
            <w:tcW w:type="dxa" w:w="2493"/>
          </w:tcPr>
          <w:p>
            <w:r>
              <w:rPr>
                <w:rFonts w:ascii="Segoe UI" w:hAnsi="Segoe UI"/>
                <w:sz w:val="20"/>
              </w:rPr>
              <w:t>C-04</w:t>
            </w:r>
          </w:p>
        </w:tc>
        <w:tc>
          <w:tcPr>
            <w:tcW w:type="dxa" w:w="2493"/>
          </w:tcPr>
          <w:p>
            <w:r>
              <w:rPr>
                <w:rFonts w:ascii="Segoe UI" w:hAnsi="Segoe UI"/>
                <w:sz w:val="20"/>
              </w:rPr>
              <w:t>Risk identification</w:t>
            </w:r>
          </w:p>
        </w:tc>
        <w:tc>
          <w:tcPr>
            <w:tcW w:type="dxa" w:w="2493"/>
          </w:tcPr>
          <w:p>
            <w:r>
              <w:rPr>
                <w:rFonts w:ascii="Segoe UI" w:hAnsi="Segoe UI"/>
                <w:sz w:val="20"/>
              </w:rPr>
              <w:t>ON</w:t>
            </w:r>
          </w:p>
        </w:tc>
        <w:tc>
          <w:tcPr>
            <w:tcW w:type="dxa" w:w="2493"/>
          </w:tcPr>
          <w:p>
            <w:r>
              <w:rPr>
                <w:rFonts w:ascii="Segoe UI" w:hAnsi="Segoe UI"/>
                <w:sz w:val="20"/>
              </w:rPr>
              <w:t>Risk register (workbook sheet 4)</w:t>
            </w:r>
          </w:p>
        </w:tc>
      </w:tr>
      <w:tr>
        <w:tc>
          <w:tcPr>
            <w:tcW w:type="dxa" w:w="2493"/>
          </w:tcPr>
          <w:p>
            <w:r>
              <w:rPr>
                <w:rFonts w:ascii="Segoe UI" w:hAnsi="Segoe UI"/>
                <w:sz w:val="20"/>
              </w:rPr>
              <w:t>C-05</w:t>
            </w:r>
          </w:p>
        </w:tc>
        <w:tc>
          <w:tcPr>
            <w:tcW w:type="dxa" w:w="2493"/>
          </w:tcPr>
          <w:p>
            <w:r>
              <w:rPr>
                <w:rFonts w:ascii="Segoe UI" w:hAnsi="Segoe UI"/>
                <w:sz w:val="20"/>
              </w:rPr>
              <w:t>System-prompt versioning</w:t>
            </w:r>
          </w:p>
        </w:tc>
        <w:tc>
          <w:tcPr>
            <w:tcW w:type="dxa" w:w="2493"/>
          </w:tcPr>
          <w:p>
            <w:r>
              <w:rPr>
                <w:rFonts w:ascii="Segoe UI" w:hAnsi="Segoe UI"/>
                <w:sz w:val="20"/>
              </w:rPr>
              <w:t>ON</w:t>
            </w:r>
          </w:p>
        </w:tc>
        <w:tc>
          <w:tcPr>
            <w:tcW w:type="dxa" w:w="2493"/>
          </w:tcPr>
          <w:p>
            <w:r>
              <w:rPr>
                <w:rFonts w:ascii="Segoe UI" w:hAnsi="Segoe UI"/>
                <w:sz w:val="20"/>
              </w:rPr>
              <w:t>Foundry prompt-flow + GitHub</w:t>
            </w:r>
          </w:p>
        </w:tc>
      </w:tr>
      <w:tr>
        <w:tc>
          <w:tcPr>
            <w:tcW w:type="dxa" w:w="2493"/>
          </w:tcPr>
          <w:p>
            <w:r>
              <w:rPr>
                <w:rFonts w:ascii="Segoe UI" w:hAnsi="Segoe UI"/>
                <w:sz w:val="20"/>
              </w:rPr>
              <w:t>C-06</w:t>
            </w:r>
          </w:p>
        </w:tc>
        <w:tc>
          <w:tcPr>
            <w:tcW w:type="dxa" w:w="2493"/>
          </w:tcPr>
          <w:p>
            <w:r>
              <w:rPr>
                <w:rFonts w:ascii="Segoe UI" w:hAnsi="Segoe UI"/>
                <w:sz w:val="20"/>
              </w:rPr>
              <w:t>Content Safety / Prompt Shields</w:t>
            </w:r>
          </w:p>
        </w:tc>
        <w:tc>
          <w:tcPr>
            <w:tcW w:type="dxa" w:w="2493"/>
          </w:tcPr>
          <w:p>
            <w:r>
              <w:rPr>
                <w:rFonts w:ascii="Segoe UI" w:hAnsi="Segoe UI"/>
                <w:sz w:val="20"/>
              </w:rPr>
              <w:t>ON</w:t>
            </w:r>
          </w:p>
        </w:tc>
        <w:tc>
          <w:tcPr>
            <w:tcW w:type="dxa" w:w="2493"/>
          </w:tcPr>
          <w:p>
            <w:r>
              <w:rPr>
                <w:rFonts w:ascii="Segoe UI" w:hAnsi="Segoe UI"/>
                <w:sz w:val="20"/>
              </w:rPr>
              <w:t>Azure AI Content Safety + Prompt Shields</w:t>
            </w:r>
          </w:p>
        </w:tc>
      </w:tr>
      <w:tr>
        <w:tc>
          <w:tcPr>
            <w:tcW w:type="dxa" w:w="2493"/>
          </w:tcPr>
          <w:p>
            <w:r>
              <w:rPr>
                <w:rFonts w:ascii="Segoe UI" w:hAnsi="Segoe UI"/>
                <w:sz w:val="20"/>
              </w:rPr>
              <w:t>C-07</w:t>
            </w:r>
          </w:p>
        </w:tc>
        <w:tc>
          <w:tcPr>
            <w:tcW w:type="dxa" w:w="2493"/>
          </w:tcPr>
          <w:p>
            <w:r>
              <w:rPr>
                <w:rFonts w:ascii="Segoe UI" w:hAnsi="Segoe UI"/>
                <w:sz w:val="20"/>
              </w:rPr>
              <w:t>HITL gate on regulated outputs</w:t>
            </w:r>
          </w:p>
        </w:tc>
        <w:tc>
          <w:tcPr>
            <w:tcW w:type="dxa" w:w="2493"/>
          </w:tcPr>
          <w:p>
            <w:r>
              <w:rPr>
                <w:rFonts w:ascii="Segoe UI" w:hAnsi="Segoe UI"/>
                <w:sz w:val="20"/>
              </w:rPr>
              <w:t>ON</w:t>
            </w:r>
          </w:p>
        </w:tc>
        <w:tc>
          <w:tcPr>
            <w:tcW w:type="dxa" w:w="2493"/>
          </w:tcPr>
          <w:p>
            <w:r>
              <w:rPr>
                <w:rFonts w:ascii="Segoe UI" w:hAnsi="Segoe UI"/>
                <w:sz w:val="20"/>
              </w:rPr>
              <w:t>Power Pages HITL queue + Dataverse routing</w:t>
            </w:r>
          </w:p>
        </w:tc>
      </w:tr>
      <w:tr>
        <w:tc>
          <w:tcPr>
            <w:tcW w:type="dxa" w:w="2493"/>
          </w:tcPr>
          <w:p>
            <w:r>
              <w:rPr>
                <w:rFonts w:ascii="Segoe UI" w:hAnsi="Segoe UI"/>
                <w:sz w:val="20"/>
              </w:rPr>
              <w:t>C-08</w:t>
            </w:r>
          </w:p>
        </w:tc>
        <w:tc>
          <w:tcPr>
            <w:tcW w:type="dxa" w:w="2493"/>
          </w:tcPr>
          <w:p>
            <w:r>
              <w:rPr>
                <w:rFonts w:ascii="Segoe UI" w:hAnsi="Segoe UI"/>
                <w:sz w:val="20"/>
              </w:rPr>
              <w:t>Kill-switch + tested run-book</w:t>
            </w:r>
          </w:p>
        </w:tc>
        <w:tc>
          <w:tcPr>
            <w:tcW w:type="dxa" w:w="2493"/>
          </w:tcPr>
          <w:p>
            <w:r>
              <w:rPr>
                <w:rFonts w:ascii="Segoe UI" w:hAnsi="Segoe UI"/>
                <w:sz w:val="20"/>
              </w:rPr>
              <w:t>ON</w:t>
            </w:r>
          </w:p>
        </w:tc>
        <w:tc>
          <w:tcPr>
            <w:tcW w:type="dxa" w:w="2493"/>
          </w:tcPr>
          <w:p>
            <w:r>
              <w:rPr>
                <w:rFonts w:ascii="Segoe UI" w:hAnsi="Segoe UI"/>
                <w:sz w:val="20"/>
              </w:rPr>
              <w:t>Azure Policy disable + Foundry deployment flag</w:t>
            </w:r>
          </w:p>
        </w:tc>
      </w:tr>
      <w:tr>
        <w:tc>
          <w:tcPr>
            <w:tcW w:type="dxa" w:w="2493"/>
          </w:tcPr>
          <w:p>
            <w:r>
              <w:rPr>
                <w:rFonts w:ascii="Segoe UI" w:hAnsi="Segoe UI"/>
                <w:sz w:val="20"/>
              </w:rPr>
              <w:t>C-09</w:t>
            </w:r>
          </w:p>
        </w:tc>
        <w:tc>
          <w:tcPr>
            <w:tcW w:type="dxa" w:w="2493"/>
          </w:tcPr>
          <w:p>
            <w:r>
              <w:rPr>
                <w:rFonts w:ascii="Segoe UI" w:hAnsi="Segoe UI"/>
                <w:sz w:val="20"/>
              </w:rPr>
              <w:t>Audit trail (Purview AI Hub)</w:t>
            </w:r>
          </w:p>
        </w:tc>
        <w:tc>
          <w:tcPr>
            <w:tcW w:type="dxa" w:w="2493"/>
          </w:tcPr>
          <w:p>
            <w:r>
              <w:rPr>
                <w:rFonts w:ascii="Segoe UI" w:hAnsi="Segoe UI"/>
                <w:sz w:val="20"/>
              </w:rPr>
              <w:t>ON</w:t>
            </w:r>
          </w:p>
        </w:tc>
        <w:tc>
          <w:tcPr>
            <w:tcW w:type="dxa" w:w="2493"/>
          </w:tcPr>
          <w:p>
            <w:r>
              <w:rPr>
                <w:rFonts w:ascii="Segoe UI" w:hAnsi="Segoe UI"/>
                <w:sz w:val="20"/>
              </w:rPr>
              <w:t>Microsoft Purview AI Hub</w:t>
            </w:r>
          </w:p>
        </w:tc>
      </w:tr>
      <w:tr>
        <w:tc>
          <w:tcPr>
            <w:tcW w:type="dxa" w:w="2493"/>
          </w:tcPr>
          <w:p>
            <w:r>
              <w:rPr>
                <w:rFonts w:ascii="Segoe UI" w:hAnsi="Segoe UI"/>
                <w:sz w:val="20"/>
              </w:rPr>
              <w:t>C-10</w:t>
            </w:r>
          </w:p>
        </w:tc>
        <w:tc>
          <w:tcPr>
            <w:tcW w:type="dxa" w:w="2493"/>
          </w:tcPr>
          <w:p>
            <w:r>
              <w:rPr>
                <w:rFonts w:ascii="Segoe UI" w:hAnsi="Segoe UI"/>
                <w:sz w:val="20"/>
              </w:rPr>
              <w:t>Defender for Cloud AI posture</w:t>
            </w:r>
          </w:p>
        </w:tc>
        <w:tc>
          <w:tcPr>
            <w:tcW w:type="dxa" w:w="2493"/>
          </w:tcPr>
          <w:p>
            <w:r>
              <w:rPr>
                <w:rFonts w:ascii="Segoe UI" w:hAnsi="Segoe UI"/>
                <w:sz w:val="20"/>
              </w:rPr>
              <w:t>ON</w:t>
            </w:r>
          </w:p>
        </w:tc>
        <w:tc>
          <w:tcPr>
            <w:tcW w:type="dxa" w:w="2493"/>
          </w:tcPr>
          <w:p>
            <w:r>
              <w:rPr>
                <w:rFonts w:ascii="Segoe UI" w:hAnsi="Segoe UI"/>
                <w:sz w:val="20"/>
              </w:rPr>
              <w:t>Defender for Cloud AI</w:t>
            </w:r>
          </w:p>
        </w:tc>
      </w:tr>
      <w:tr>
        <w:tc>
          <w:tcPr>
            <w:tcW w:type="dxa" w:w="2493"/>
          </w:tcPr>
          <w:p>
            <w:r>
              <w:rPr>
                <w:rFonts w:ascii="Segoe UI" w:hAnsi="Segoe UI"/>
                <w:sz w:val="20"/>
              </w:rPr>
              <w:t>C-11</w:t>
            </w:r>
          </w:p>
        </w:tc>
        <w:tc>
          <w:tcPr>
            <w:tcW w:type="dxa" w:w="2493"/>
          </w:tcPr>
          <w:p>
            <w:r>
              <w:rPr>
                <w:rFonts w:ascii="Segoe UI" w:hAnsi="Segoe UI"/>
                <w:sz w:val="20"/>
              </w:rPr>
              <w:t>Reviewer override feedback loop</w:t>
            </w:r>
          </w:p>
        </w:tc>
        <w:tc>
          <w:tcPr>
            <w:tcW w:type="dxa" w:w="2493"/>
          </w:tcPr>
          <w:p>
            <w:r>
              <w:rPr>
                <w:rFonts w:ascii="Segoe UI" w:hAnsi="Segoe UI"/>
                <w:sz w:val="20"/>
              </w:rPr>
              <w:t>ON</w:t>
            </w:r>
          </w:p>
        </w:tc>
        <w:tc>
          <w:tcPr>
            <w:tcW w:type="dxa" w:w="2493"/>
          </w:tcPr>
          <w:p>
            <w:r>
              <w:rPr>
                <w:rFonts w:ascii="Segoe UI" w:hAnsi="Segoe UI"/>
                <w:sz w:val="20"/>
              </w:rPr>
              <w:t>PromptFlow eval pipeline</w:t>
            </w:r>
          </w:p>
        </w:tc>
      </w:tr>
      <w:tr>
        <w:tc>
          <w:tcPr>
            <w:tcW w:type="dxa" w:w="2493"/>
          </w:tcPr>
          <w:p>
            <w:r>
              <w:rPr>
                <w:rFonts w:ascii="Segoe UI" w:hAnsi="Segoe UI"/>
                <w:sz w:val="20"/>
              </w:rPr>
              <w:t>C-12</w:t>
            </w:r>
          </w:p>
        </w:tc>
        <w:tc>
          <w:tcPr>
            <w:tcW w:type="dxa" w:w="2493"/>
          </w:tcPr>
          <w:p>
            <w:r>
              <w:rPr>
                <w:rFonts w:ascii="Segoe UI" w:hAnsi="Segoe UI"/>
                <w:sz w:val="20"/>
              </w:rPr>
              <w:t>Encryption at rest (CMK)</w:t>
            </w:r>
          </w:p>
        </w:tc>
        <w:tc>
          <w:tcPr>
            <w:tcW w:type="dxa" w:w="2493"/>
          </w:tcPr>
          <w:p>
            <w:r>
              <w:rPr>
                <w:rFonts w:ascii="Segoe UI" w:hAnsi="Segoe UI"/>
                <w:sz w:val="20"/>
              </w:rPr>
              <w:t>ON</w:t>
            </w:r>
          </w:p>
        </w:tc>
        <w:tc>
          <w:tcPr>
            <w:tcW w:type="dxa" w:w="2493"/>
          </w:tcPr>
          <w:p>
            <w:r>
              <w:rPr>
                <w:rFonts w:ascii="Segoe UI" w:hAnsi="Segoe UI"/>
                <w:sz w:val="20"/>
              </w:rPr>
              <w:t>Azure Key Vault HSM</w:t>
            </w:r>
          </w:p>
        </w:tc>
      </w:tr>
      <w:tr>
        <w:tc>
          <w:tcPr>
            <w:tcW w:type="dxa" w:w="2493"/>
          </w:tcPr>
          <w:p>
            <w:r>
              <w:rPr>
                <w:rFonts w:ascii="Segoe UI" w:hAnsi="Segoe UI"/>
                <w:sz w:val="20"/>
              </w:rPr>
              <w:t>C-13</w:t>
            </w:r>
          </w:p>
        </w:tc>
        <w:tc>
          <w:tcPr>
            <w:tcW w:type="dxa" w:w="2493"/>
          </w:tcPr>
          <w:p>
            <w:r>
              <w:rPr>
                <w:rFonts w:ascii="Segoe UI" w:hAnsi="Segoe UI"/>
                <w:sz w:val="20"/>
              </w:rPr>
              <w:t>Network isolation</w:t>
            </w:r>
          </w:p>
        </w:tc>
        <w:tc>
          <w:tcPr>
            <w:tcW w:type="dxa" w:w="2493"/>
          </w:tcPr>
          <w:p>
            <w:r>
              <w:rPr>
                <w:rFonts w:ascii="Segoe UI" w:hAnsi="Segoe UI"/>
                <w:sz w:val="20"/>
              </w:rPr>
              <w:t>ON</w:t>
            </w:r>
          </w:p>
        </w:tc>
        <w:tc>
          <w:tcPr>
            <w:tcW w:type="dxa" w:w="2493"/>
          </w:tcPr>
          <w:p>
            <w:r>
              <w:rPr>
                <w:rFonts w:ascii="Segoe UI" w:hAnsi="Segoe UI"/>
                <w:sz w:val="20"/>
              </w:rPr>
              <w:t>Private endpoints + VNet integration</w:t>
            </w:r>
          </w:p>
        </w:tc>
      </w:tr>
      <w:tr>
        <w:tc>
          <w:tcPr>
            <w:tcW w:type="dxa" w:w="2493"/>
          </w:tcPr>
          <w:p>
            <w:r>
              <w:rPr>
                <w:rFonts w:ascii="Segoe UI" w:hAnsi="Segoe UI"/>
                <w:sz w:val="20"/>
              </w:rPr>
              <w:t>C-14</w:t>
            </w:r>
          </w:p>
        </w:tc>
        <w:tc>
          <w:tcPr>
            <w:tcW w:type="dxa" w:w="2493"/>
          </w:tcPr>
          <w:p>
            <w:r>
              <w:rPr>
                <w:rFonts w:ascii="Segoe UI" w:hAnsi="Segoe UI"/>
                <w:sz w:val="20"/>
              </w:rPr>
              <w:t>Quarterly attestation</w:t>
            </w:r>
          </w:p>
        </w:tc>
        <w:tc>
          <w:tcPr>
            <w:tcW w:type="dxa" w:w="2493"/>
          </w:tcPr>
          <w:p>
            <w:r>
              <w:rPr>
                <w:rFonts w:ascii="Segoe UI" w:hAnsi="Segoe UI"/>
                <w:sz w:val="20"/>
              </w:rPr>
              <w:t>ON</w:t>
            </w:r>
          </w:p>
        </w:tc>
        <w:tc>
          <w:tcPr>
            <w:tcW w:type="dxa" w:w="2493"/>
          </w:tcPr>
          <w:p>
            <w:r>
              <w:rPr>
                <w:rFonts w:ascii="Segoe UI" w:hAnsi="Segoe UI"/>
                <w:sz w:val="20"/>
              </w:rPr>
              <w:t>Attestation sheet (workbook sheet 8)</w:t>
            </w:r>
          </w:p>
        </w:tc>
      </w:tr>
      <w:tr>
        <w:tc>
          <w:tcPr>
            <w:tcW w:type="dxa" w:w="2493"/>
          </w:tcPr>
          <w:p>
            <w:r>
              <w:rPr>
                <w:rFonts w:ascii="Segoe UI" w:hAnsi="Segoe UI"/>
                <w:sz w:val="20"/>
              </w:rPr>
              <w:t>C-15</w:t>
            </w:r>
          </w:p>
        </w:tc>
        <w:tc>
          <w:tcPr>
            <w:tcW w:type="dxa" w:w="2493"/>
          </w:tcPr>
          <w:p>
            <w:r>
              <w:rPr>
                <w:rFonts w:ascii="Segoe UI" w:hAnsi="Segoe UI"/>
                <w:sz w:val="20"/>
              </w:rPr>
              <w:t>Third-party / partner controls</w:t>
            </w:r>
          </w:p>
        </w:tc>
        <w:tc>
          <w:tcPr>
            <w:tcW w:type="dxa" w:w="2493"/>
          </w:tcPr>
          <w:p>
            <w:r>
              <w:rPr>
                <w:rFonts w:ascii="Segoe UI" w:hAnsi="Segoe UI"/>
                <w:sz w:val="20"/>
              </w:rPr>
              <w:t>ON</w:t>
            </w:r>
          </w:p>
        </w:tc>
        <w:tc>
          <w:tcPr>
            <w:tcW w:type="dxa" w:w="2493"/>
          </w:tcPr>
          <w:p>
            <w:r>
              <w:rPr>
                <w:rFonts w:ascii="Segoe UI" w:hAnsi="Segoe UI"/>
                <w:sz w:val="20"/>
              </w:rPr>
              <w:t>Partner DPA addendum + MAICPP terms</w:t>
            </w:r>
          </w:p>
        </w:tc>
      </w:tr>
      <w:tr>
        <w:tc>
          <w:tcPr>
            <w:tcW w:type="dxa" w:w="2493"/>
          </w:tcPr>
          <w:p>
            <w:r>
              <w:rPr>
                <w:rFonts w:ascii="Segoe UI" w:hAnsi="Segoe UI"/>
                <w:sz w:val="20"/>
              </w:rPr>
              <w:t>C-16</w:t>
            </w:r>
          </w:p>
        </w:tc>
        <w:tc>
          <w:tcPr>
            <w:tcW w:type="dxa" w:w="2493"/>
          </w:tcPr>
          <w:p>
            <w:r>
              <w:rPr>
                <w:rFonts w:ascii="Segoe UI" w:hAnsi="Segoe UI"/>
                <w:sz w:val="20"/>
              </w:rPr>
              <w:t>Incident response &amp; notification</w:t>
            </w:r>
          </w:p>
        </w:tc>
        <w:tc>
          <w:tcPr>
            <w:tcW w:type="dxa" w:w="2493"/>
          </w:tcPr>
          <w:p>
            <w:r>
              <w:rPr>
                <w:rFonts w:ascii="Segoe UI" w:hAnsi="Segoe UI"/>
                <w:sz w:val="20"/>
              </w:rPr>
              <w:t>ON</w:t>
            </w:r>
          </w:p>
        </w:tc>
        <w:tc>
          <w:tcPr>
            <w:tcW w:type="dxa" w:w="2493"/>
          </w:tcPr>
          <w:p>
            <w:r>
              <w:rPr>
                <w:rFonts w:ascii="Segoe UI" w:hAnsi="Segoe UI"/>
                <w:sz w:val="20"/>
              </w:rPr>
              <w:t>Sentinel + Defender + customer IR run-book</w:t>
            </w:r>
          </w:p>
        </w:tc>
      </w:tr>
      <w:tr>
        <w:tc>
          <w:tcPr>
            <w:tcW w:type="dxa" w:w="2493"/>
          </w:tcPr>
          <w:p>
            <w:r>
              <w:rPr>
                <w:rFonts w:ascii="Segoe UI" w:hAnsi="Segoe UI"/>
                <w:sz w:val="20"/>
              </w:rPr>
              <w:t>C-17</w:t>
            </w:r>
          </w:p>
        </w:tc>
        <w:tc>
          <w:tcPr>
            <w:tcW w:type="dxa" w:w="2493"/>
          </w:tcPr>
          <w:p>
            <w:r>
              <w:rPr>
                <w:rFonts w:ascii="Segoe UI" w:hAnsi="Segoe UI"/>
                <w:sz w:val="20"/>
              </w:rPr>
              <w:t>Demographic fairness assessment</w:t>
            </w:r>
          </w:p>
        </w:tc>
        <w:tc>
          <w:tcPr>
            <w:tcW w:type="dxa" w:w="2493"/>
          </w:tcPr>
          <w:p>
            <w:r>
              <w:rPr>
                <w:rFonts w:ascii="Segoe UI" w:hAnsi="Segoe UI"/>
                <w:sz w:val="20"/>
              </w:rPr>
              <w:t>ON</w:t>
            </w:r>
          </w:p>
        </w:tc>
        <w:tc>
          <w:tcPr>
            <w:tcW w:type="dxa" w:w="2493"/>
          </w:tcPr>
          <w:p>
            <w:r>
              <w:rPr>
                <w:rFonts w:ascii="Segoe UI" w:hAnsi="Segoe UI"/>
                <w:sz w:val="20"/>
              </w:rPr>
              <w:t>Fairness toolkit + PromptFlow eval slices</w:t>
            </w:r>
          </w:p>
        </w:tc>
      </w:tr>
      <w:tr>
        <w:tc>
          <w:tcPr>
            <w:tcW w:type="dxa" w:w="2493"/>
          </w:tcPr>
          <w:p>
            <w:r>
              <w:rPr>
                <w:rFonts w:ascii="Segoe UI" w:hAnsi="Segoe UI"/>
                <w:sz w:val="20"/>
              </w:rPr>
              <w:t>C-18</w:t>
            </w:r>
          </w:p>
        </w:tc>
        <w:tc>
          <w:tcPr>
            <w:tcW w:type="dxa" w:w="2493"/>
          </w:tcPr>
          <w:p>
            <w:r>
              <w:rPr>
                <w:rFonts w:ascii="Segoe UI" w:hAnsi="Segoe UI"/>
                <w:sz w:val="20"/>
              </w:rPr>
              <w:t>Explainability / reasoning trace</w:t>
            </w:r>
          </w:p>
        </w:tc>
        <w:tc>
          <w:tcPr>
            <w:tcW w:type="dxa" w:w="2493"/>
          </w:tcPr>
          <w:p>
            <w:r>
              <w:rPr>
                <w:rFonts w:ascii="Segoe UI" w:hAnsi="Segoe UI"/>
                <w:sz w:val="20"/>
              </w:rPr>
              <w:t>ON</w:t>
            </w:r>
          </w:p>
        </w:tc>
        <w:tc>
          <w:tcPr>
            <w:tcW w:type="dxa" w:w="2493"/>
          </w:tcPr>
          <w:p>
            <w:r>
              <w:rPr>
                <w:rFonts w:ascii="Segoe UI" w:hAnsi="Segoe UI"/>
                <w:sz w:val="20"/>
              </w:rPr>
              <w:t>Foundry reasoning trace + Purview log</w:t>
            </w:r>
          </w:p>
        </w:tc>
      </w:tr>
    </w:tbl>
    <w:p>
      <w:pPr>
        <w:pStyle w:val="Heading1"/>
      </w:pPr>
      <w:r>
        <w:rPr>
          <w:rFonts w:ascii="Segoe UI" w:hAnsi="Segoe UI"/>
          <w:color w:val="0067B8"/>
          <w:sz w:val="36"/>
        </w:rPr>
        <w:t>6. Incident response</w:t>
      </w:r>
    </w:p>
    <w:p>
      <w:r>
        <w:rPr>
          <w:rFonts w:ascii="Segoe UI" w:hAnsi="Segoe UI"/>
          <w:b/>
          <w:i w:val="0"/>
          <w:sz w:val="22"/>
        </w:rPr>
        <w:t>Three named incident classes:</w:t>
      </w:r>
    </w:p>
    <w:p>
      <w:pPr>
        <w:pStyle w:val="ListBullet"/>
      </w:pPr>
      <w:r>
        <w:rPr>
          <w:rFonts w:ascii="Segoe UI" w:hAnsi="Segoe UI"/>
          <w:sz w:val="22"/>
        </w:rPr>
        <w:t>Class 1 — model behaviour incident (hallucination produces material harm; demographic bias surfaced; output regulator-actionable). Owner: CISO. Microsoft L3 on call.</w:t>
      </w:r>
    </w:p>
    <w:p>
      <w:pPr>
        <w:pStyle w:val="ListBullet"/>
      </w:pPr>
      <w:r>
        <w:rPr>
          <w:rFonts w:ascii="Segoe UI" w:hAnsi="Segoe UI"/>
          <w:sz w:val="22"/>
        </w:rPr>
        <w:t>Class 2 — data incident (personal data leakage; cross-border breach; oversharing surfaced). Owner: DPO. POPIA 72-hour notification clock starts.</w:t>
      </w:r>
    </w:p>
    <w:p>
      <w:pPr>
        <w:pStyle w:val="ListBullet"/>
      </w:pPr>
      <w:r>
        <w:rPr>
          <w:rFonts w:ascii="Segoe UI" w:hAnsi="Segoe UI"/>
          <w:sz w:val="22"/>
        </w:rPr>
        <w:t>Class 3 — service incident (region outage; service degradation). Owner: partner ops / Microsoft. Standard Azure incident channel.</w:t>
      </w:r>
    </w:p>
    <w:p>
      <w:r>
        <w:rPr>
          <w:rFonts w:ascii="Segoe UI" w:hAnsi="Segoe UI"/>
          <w:b w:val="0"/>
          <w:i w:val="0"/>
          <w:sz w:val="22"/>
        </w:rPr>
        <w:t>Run-book template: AI-CoE-Incident-Response-RunBook.md (to be added).</w:t>
      </w:r>
    </w:p>
    <w:p>
      <w:pPr>
        <w:pStyle w:val="Heading1"/>
      </w:pPr>
      <w:r>
        <w:rPr>
          <w:rFonts w:ascii="Segoe UI" w:hAnsi="Segoe UI"/>
          <w:color w:val="0067B8"/>
          <w:sz w:val="36"/>
        </w:rPr>
        <w:t>7. Kill-switch</w:t>
      </w:r>
    </w:p>
    <w:p>
      <w:r>
        <w:rPr>
          <w:rFonts w:ascii="Segoe UI" w:hAnsi="Segoe UI"/>
          <w:b w:val="0"/>
          <w:i w:val="0"/>
          <w:sz w:val="22"/>
        </w:rPr>
        <w:t>Every production AI use-case has a tested kill-switch. The kill-switch is owned by the customer CISO, not by Microsoft. Tested quarterly; post-test report filed in the attestation sheet. Surfaces: Azure Policy disable on the deployment; Foundry endpoint disable; circuit-breaker in calling application.</w:t>
      </w:r>
    </w:p>
    <w:p>
      <w:pPr>
        <w:pStyle w:val="Heading1"/>
      </w:pPr>
      <w:r>
        <w:rPr>
          <w:rFonts w:ascii="Segoe UI" w:hAnsi="Segoe UI"/>
          <w:color w:val="0067B8"/>
          <w:sz w:val="36"/>
        </w:rPr>
        <w:t>8. When a gate fails</w:t>
      </w:r>
    </w:p>
    <w:p>
      <w:pPr>
        <w:pStyle w:val="ListBullet"/>
      </w:pPr>
      <w:r>
        <w:rPr>
          <w:rFonts w:ascii="Segoe UI" w:hAnsi="Segoe UI"/>
          <w:sz w:val="22"/>
        </w:rPr>
        <w:t>Gate 1 fail — re-scope the use-case; usually the value hypothesis is too thin. Don't escalate; iterate.</w:t>
      </w:r>
    </w:p>
    <w:p>
      <w:pPr>
        <w:pStyle w:val="ListBullet"/>
      </w:pPr>
      <w:r>
        <w:rPr>
          <w:rFonts w:ascii="Segoe UI" w:hAnsi="Segoe UI"/>
          <w:sz w:val="22"/>
        </w:rPr>
        <w:t>Gate 2 fail — almost always a missing control or unaddressed risk. Block pilot; assign owner; revisit in two weeks.</w:t>
      </w:r>
    </w:p>
    <w:p>
      <w:pPr>
        <w:pStyle w:val="ListBullet"/>
      </w:pPr>
      <w:r>
        <w:rPr>
          <w:rFonts w:ascii="Segoe UI" w:hAnsi="Segoe UI"/>
          <w:sz w:val="22"/>
        </w:rPr>
        <w:t>Gate 3 fail — production launch blocked. Defects logged; eval threshold or HITL coverage usually the issue.</w:t>
      </w:r>
    </w:p>
    <w:p>
      <w:pPr>
        <w:pStyle w:val="ListBullet"/>
      </w:pPr>
      <w:r>
        <w:rPr>
          <w:rFonts w:ascii="Segoe UI" w:hAnsi="Segoe UI"/>
          <w:sz w:val="22"/>
        </w:rPr>
        <w:t>Gate 4 attestation gap — drift surfaced. Either re-establish the control or formally accept the residual risk with sign-off.</w:t>
      </w:r>
    </w:p>
    <w:p>
      <w:pPr>
        <w:pStyle w:val="Heading1"/>
      </w:pPr>
      <w:r>
        <w:rPr>
          <w:rFonts w:ascii="Segoe UI" w:hAnsi="Segoe UI"/>
          <w:color w:val="0067B8"/>
          <w:sz w:val="36"/>
        </w:rPr>
        <w:t>9. Linked artefacts</w:t>
      </w:r>
    </w:p>
    <w:p>
      <w:pPr>
        <w:pStyle w:val="ListBullet"/>
      </w:pPr>
      <w:r>
        <w:rPr>
          <w:rFonts w:ascii="Segoe UI" w:hAnsi="Segoe UI"/>
          <w:sz w:val="22"/>
        </w:rPr>
        <w:t>ai-coe-responsible-ai-governance.md — strategic narrative behind this playbook.</w:t>
      </w:r>
    </w:p>
    <w:p>
      <w:pPr>
        <w:pStyle w:val="ListBullet"/>
      </w:pPr>
      <w:r>
        <w:rPr>
          <w:rFonts w:ascii="Segoe UI" w:hAnsi="Segoe UI"/>
          <w:sz w:val="22"/>
        </w:rPr>
        <w:t>AI-CoE-AI-Impact-Assessment.xlsx — the per-use-case working tool.</w:t>
      </w:r>
    </w:p>
    <w:p>
      <w:pPr>
        <w:pStyle w:val="ListBullet"/>
      </w:pPr>
      <w:r>
        <w:rPr>
          <w:rFonts w:ascii="Segoe UI" w:hAnsi="Segoe UI"/>
          <w:sz w:val="22"/>
        </w:rPr>
        <w:t>AI-CoE-Sovereign-AI-RSA.pptx — sovereignty offer that consumes this playbook.</w:t>
      </w:r>
    </w:p>
    <w:p>
      <w:pPr>
        <w:pStyle w:val="ListBullet"/>
      </w:pPr>
      <w:r>
        <w:rPr>
          <w:rFonts w:ascii="Segoe UI" w:hAnsi="Segoe UI"/>
          <w:sz w:val="22"/>
        </w:rPr>
        <w:t>ACC-2 (POPIA Landing Zone) — platform foundation under all of this.</w:t>
      </w:r>
    </w:p>
    <w:p>
      <w:pPr>
        <w:pStyle w:val="ListBullet"/>
      </w:pPr>
      <w:r>
        <w:rPr>
          <w:rFonts w:ascii="Segoe UI" w:hAnsi="Segoe UI"/>
          <w:sz w:val="22"/>
        </w:rPr>
        <w:t>ACC-4 (Regulated-Industry Pilot Kit) — pre-pilot workshop that completes Gate 2.</w:t>
      </w:r>
    </w:p>
    <w:p>
      <w:pPr>
        <w:pStyle w:val="ListBullet"/>
      </w:pPr>
      <w:r>
        <w:rPr>
          <w:rFonts w:ascii="Segoe UI" w:hAnsi="Segoe UI"/>
          <w:sz w:val="22"/>
        </w:rPr>
        <w:t>AI-CoE-Objection-Handling.pptx — pillar 5 responses for sellers.</w:t>
      </w:r>
    </w:p>
    <w:p>
      <w:pPr>
        <w:pStyle w:val="Heading1"/>
      </w:pPr>
      <w:r>
        <w:rPr>
          <w:rFonts w:ascii="Segoe UI" w:hAnsi="Segoe UI"/>
          <w:color w:val="0067B8"/>
          <w:sz w:val="36"/>
        </w:rPr>
        <w:t>10. Sources</w:t>
      </w:r>
    </w:p>
    <w:p>
      <w:pPr>
        <w:pStyle w:val="ListBullet"/>
      </w:pPr>
      <w:r>
        <w:rPr>
          <w:rFonts w:ascii="Segoe UI" w:hAnsi="Segoe UI"/>
          <w:sz w:val="22"/>
        </w:rPr>
        <w:t>Microsoft Responsible AI Standard v2 (public).</w:t>
      </w:r>
    </w:p>
    <w:p>
      <w:pPr>
        <w:pStyle w:val="ListBullet"/>
      </w:pPr>
      <w:r>
        <w:rPr>
          <w:rFonts w:ascii="Segoe UI" w:hAnsi="Segoe UI"/>
          <w:sz w:val="22"/>
        </w:rPr>
        <w:t>ISO/IEC 42001:2023 — AI Management System.</w:t>
      </w:r>
    </w:p>
    <w:p>
      <w:pPr>
        <w:pStyle w:val="ListBullet"/>
      </w:pPr>
      <w:r>
        <w:rPr>
          <w:rFonts w:ascii="Segoe UI" w:hAnsi="Segoe UI"/>
          <w:sz w:val="22"/>
        </w:rPr>
        <w:t>NIST AI Risk Management Framework 1.0.</w:t>
      </w:r>
    </w:p>
    <w:p>
      <w:pPr>
        <w:pStyle w:val="ListBullet"/>
      </w:pPr>
      <w:r>
        <w:rPr>
          <w:rFonts w:ascii="Segoe UI" w:hAnsi="Segoe UI"/>
          <w:sz w:val="22"/>
        </w:rPr>
        <w:t>EU AI Act (Regulation (EU) 2024/1689).</w:t>
      </w:r>
    </w:p>
    <w:p>
      <w:pPr>
        <w:pStyle w:val="ListBullet"/>
      </w:pPr>
      <w:r>
        <w:rPr>
          <w:rFonts w:ascii="Segoe UI" w:hAnsi="Segoe UI"/>
          <w:sz w:val="22"/>
        </w:rPr>
        <w:t>POPI Act; PFMA; NERSA Act; SARB Directive 7; FSCA Conduct Standards.</w:t>
      </w:r>
    </w:p>
    <w:p>
      <w:pPr>
        <w:pStyle w:val="ListBullet"/>
      </w:pPr>
      <w:r>
        <w:rPr>
          <w:rFonts w:ascii="Segoe UI" w:hAnsi="Segoe UI"/>
          <w:sz w:val="22"/>
        </w:rPr>
        <w:t>Microsoft Trust Center; Purview AI Hub documentation; Defender for Cloud AI documentation.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