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Segoe UI" w:hAnsi="Segoe UI"/>
          <w:color w:val="0B1F3A"/>
          <w:sz w:val="48"/>
        </w:rPr>
        <w:t>AI CoE — Model Choice One-Pager</w:t>
      </w:r>
    </w:p>
    <w:p>
      <w:r>
        <w:rPr>
          <w:rFonts w:ascii="Segoe UI" w:hAnsi="Segoe UI"/>
          <w:b w:val="0"/>
          <w:i/>
          <w:sz w:val="22"/>
        </w:rPr>
        <w:t>Yuri Baijnath — CSU Cloud &amp; AI Lead (South Africa), Microsoft</w:t>
      </w:r>
    </w:p>
    <w:p>
      <w:r>
        <w:rPr>
          <w:rFonts w:ascii="Segoe UI" w:hAnsi="Segoe UI"/>
          <w:b w:val="0"/>
          <w:i/>
          <w:sz w:val="22"/>
        </w:rPr>
        <w:t>Version 1.0 · 2026-06-03 · Anchors objection 3.5 (multi-model) and Pitch-Deck-Respined slide 11</w:t>
      </w:r>
    </w:p>
    <w:p>
      <w:pPr>
        <w:pStyle w:val="Heading1"/>
      </w:pPr>
      <w:r>
        <w:rPr>
          <w:rFonts w:ascii="Segoe UI" w:hAnsi="Segoe UI"/>
          <w:color w:val="0067B8"/>
          <w:sz w:val="30"/>
        </w:rPr>
        <w:t>1. The lead message</w:t>
      </w:r>
    </w:p>
    <w:p>
      <w:r>
        <w:rPr>
          <w:rFonts w:ascii="Segoe UI" w:hAnsi="Segoe UI"/>
          <w:b w:val="0"/>
          <w:i w:val="0"/>
          <w:sz w:val="22"/>
        </w:rPr>
        <w:t>Microsoft's AI surface in Azure AI Foundry runs the broadest curated model catalog of any hyperscaler — OpenAI, Anthropic, Meta Llama, Mistral, Cohere, NVIDIA NIM, Hugging Face, and Microsoft's own Phi small-language-model family — under one identity, one billing, one governance plane, one set of RAI guardrails. Competitors with multi-model partnerships do not ship them under a single posture-managed control plane. We do.</w:t>
      </w:r>
    </w:p>
    <w:p>
      <w:r>
        <w:rPr>
          <w:rFonts w:ascii="Segoe UI" w:hAnsi="Segoe UI"/>
          <w:b w:val="0"/>
          <w:i w:val="0"/>
          <w:sz w:val="22"/>
        </w:rPr>
        <w:t>This is no longer a defensive answer to "are you OpenAI-only?" — it is a lead positioning point and the primary anchor for objection 3.5.</w:t>
      </w:r>
    </w:p>
    <w:p>
      <w:pPr>
        <w:pStyle w:val="Heading1"/>
      </w:pPr>
      <w:r>
        <w:rPr>
          <w:rFonts w:ascii="Segoe UI" w:hAnsi="Segoe UI"/>
          <w:color w:val="0067B8"/>
          <w:sz w:val="30"/>
        </w:rPr>
        <w:t>2. The model catalog (RSA-available)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067B8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Family</w:t>
            </w:r>
          </w:p>
        </w:tc>
        <w:tc>
          <w:tcPr>
            <w:tcW w:type="dxa" w:w="2493"/>
            <w:shd w:val="clear" w:color="auto" w:fill="0067B8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Sample models</w:t>
            </w:r>
          </w:p>
        </w:tc>
        <w:tc>
          <w:tcPr>
            <w:tcW w:type="dxa" w:w="2493"/>
            <w:shd w:val="clear" w:color="auto" w:fill="0067B8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Where it shines</w:t>
            </w:r>
          </w:p>
        </w:tc>
        <w:tc>
          <w:tcPr>
            <w:tcW w:type="dxa" w:w="2493"/>
            <w:shd w:val="clear" w:color="auto" w:fill="0067B8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Where it does not</w:t>
            </w:r>
          </w:p>
        </w:tc>
      </w:tr>
      <w:tr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OpenAI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gpt-4o, gpt-4o-mini, gpt-4-turbo, o1, embeddings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General reasoning, agent workflows, broadest tool-use ecosystem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Lowest unit cost (use Phi or mini-class instead)</w:t>
            </w:r>
          </w:p>
        </w:tc>
      </w:tr>
      <w:tr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Anthropic Claude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Claude 3.5 Sonnet, Haiku, Opus (region-dependent)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Long-context reasoning, structured extraction, careful tone in regulated copy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Tool-use ecosystem narrower than OpenAI</w:t>
            </w:r>
          </w:p>
        </w:tc>
      </w:tr>
      <w:tr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Meta Llama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Llama 3.x 8B / 70B / 405B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Open weights; on-VM or on-AKS for full data-plane sovereignty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Higher operational overhead than managed endpoints</w:t>
            </w:r>
          </w:p>
        </w:tc>
      </w:tr>
      <w:tr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Mistral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Mistral Large, Mixtral, Codestral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Multilingual European-language workloads, code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Smaller English benchmark presence</w:t>
            </w:r>
          </w:p>
        </w:tc>
      </w:tr>
      <w:tr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Cohere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Command R+, Embed, Rerank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RAG-optimised retrieval + rerank pipelines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Not a general-purpose chat default</w:t>
            </w:r>
          </w:p>
        </w:tc>
      </w:tr>
      <w:tr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NVIDIA NIM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NeMo-tuned variants, healthcare/finance verticals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Pre-tuned vertical models with NIM serving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Procurement adds vendor surface</w:t>
            </w:r>
          </w:p>
        </w:tc>
      </w:tr>
      <w:tr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Hugging Face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Curated catalog (1000s)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Specialised research models, niche domain pre-training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Long-tail support varies; treat as bring-your-own</w:t>
            </w:r>
          </w:p>
        </w:tc>
      </w:tr>
      <w:tr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Microsoft Phi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Phi-3 mini/small/medium, Phi-3.5 vision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On-device or low-cost in-cloud SLM; sovereign-friendly</w:t>
            </w:r>
          </w:p>
        </w:tc>
        <w:tc>
          <w:tcPr>
            <w:tcW w:type="dxa" w:w="2493"/>
          </w:tcPr>
          <w:p>
            <w:r>
              <w:rPr>
                <w:rFonts w:ascii="Segoe UI" w:hAnsi="Segoe UI"/>
                <w:sz w:val="20"/>
              </w:rPr>
              <w:t>Below frontier on hard reasoning</w:t>
            </w:r>
          </w:p>
        </w:tc>
      </w:tr>
    </w:tbl>
    <w:p>
      <w:pPr>
        <w:pStyle w:val="Heading1"/>
      </w:pPr>
      <w:r>
        <w:rPr>
          <w:rFonts w:ascii="Segoe UI" w:hAnsi="Segoe UI"/>
          <w:color w:val="0067B8"/>
          <w:sz w:val="30"/>
        </w:rPr>
        <w:t>3. Selection criteria — how the CoE picks</w:t>
      </w:r>
    </w:p>
    <w:p>
      <w:r>
        <w:rPr>
          <w:rFonts w:ascii="Segoe UI" w:hAnsi="Segoe UI"/>
          <w:b w:val="0"/>
          <w:i w:val="0"/>
          <w:sz w:val="22"/>
        </w:rPr>
        <w:t>Five criteria, in order:</w:t>
      </w:r>
    </w:p>
    <w:p>
      <w:r>
        <w:rPr>
          <w:rFonts w:ascii="Segoe UI" w:hAnsi="Segoe UI"/>
          <w:b/>
          <w:i w:val="0"/>
          <w:sz w:val="22"/>
        </w:rPr>
        <w:t>1. Quality bar required</w:t>
      </w:r>
    </w:p>
    <w:p>
      <w:pPr>
        <w:pStyle w:val="ListBullet"/>
      </w:pPr>
      <w:r>
        <w:rPr>
          <w:rFonts w:ascii="Segoe UI" w:hAnsi="Segoe UI"/>
          <w:sz w:val="22"/>
        </w:rPr>
        <w:t>Frontier reasoning, multi-step, agent tool-use → gpt-4o or Claude 3.5 Sonnet.</w:t>
      </w:r>
    </w:p>
    <w:p>
      <w:pPr>
        <w:pStyle w:val="ListBullet"/>
      </w:pPr>
      <w:r>
        <w:rPr>
          <w:rFonts w:ascii="Segoe UI" w:hAnsi="Segoe UI"/>
          <w:sz w:val="22"/>
        </w:rPr>
        <w:t>Simple extraction, classification, intent routing → gpt-4o-mini or Phi-3-medium.</w:t>
      </w:r>
    </w:p>
    <w:p>
      <w:pPr>
        <w:pStyle w:val="ListBullet"/>
      </w:pPr>
      <w:r>
        <w:rPr>
          <w:rFonts w:ascii="Segoe UI" w:hAnsi="Segoe UI"/>
          <w:sz w:val="22"/>
        </w:rPr>
        <w:t>On-device, edge, or extreme cost sensitivity → Phi-3 mini.</w:t>
      </w:r>
    </w:p>
    <w:p>
      <w:r>
        <w:rPr>
          <w:rFonts w:ascii="Segoe UI" w:hAnsi="Segoe UI"/>
          <w:b/>
          <w:i w:val="0"/>
          <w:sz w:val="22"/>
        </w:rPr>
        <w:t>2. Latency budget</w:t>
      </w:r>
    </w:p>
    <w:p>
      <w:pPr>
        <w:pStyle w:val="ListBullet"/>
      </w:pPr>
      <w:r>
        <w:rPr>
          <w:rFonts w:ascii="Segoe UI" w:hAnsi="Segoe UI"/>
          <w:sz w:val="22"/>
        </w:rPr>
        <w:t>&lt;1s p95 → mini / Phi class; consider streaming.</w:t>
      </w:r>
    </w:p>
    <w:p>
      <w:pPr>
        <w:pStyle w:val="ListBullet"/>
      </w:pPr>
      <w:r>
        <w:rPr>
          <w:rFonts w:ascii="Segoe UI" w:hAnsi="Segoe UI"/>
          <w:sz w:val="22"/>
        </w:rPr>
        <w:t>1-3s p95 → mid-tier (mini-plus, Claude Haiku, Mistral Mixtral).</w:t>
      </w:r>
    </w:p>
    <w:p>
      <w:pPr>
        <w:pStyle w:val="ListBullet"/>
      </w:pPr>
      <w:r>
        <w:rPr>
          <w:rFonts w:ascii="Segoe UI" w:hAnsi="Segoe UI"/>
          <w:sz w:val="22"/>
        </w:rPr>
        <w:t>&gt;3s acceptable → frontier (gpt-4o, Claude Sonnet, Llama 70B+).</w:t>
      </w:r>
    </w:p>
    <w:p>
      <w:r>
        <w:rPr>
          <w:rFonts w:ascii="Segoe UI" w:hAnsi="Segoe UI"/>
          <w:b/>
          <w:i w:val="0"/>
          <w:sz w:val="22"/>
        </w:rPr>
        <w:t>3. Cost target</w:t>
      </w:r>
    </w:p>
    <w:p>
      <w:r>
        <w:rPr>
          <w:rFonts w:ascii="Segoe UI" w:hAnsi="Segoe UI"/>
          <w:b w:val="0"/>
          <w:i w:val="0"/>
          <w:sz w:val="22"/>
        </w:rPr>
        <w:t>Sourced from AI-CoE-AI-TCO-Calculator.xlsx. Router mixes models to hit unit-cost targets.</w:t>
      </w:r>
    </w:p>
    <w:p>
      <w:r>
        <w:rPr>
          <w:rFonts w:ascii="Segoe UI" w:hAnsi="Segoe UI"/>
          <w:b/>
          <w:i w:val="0"/>
          <w:sz w:val="22"/>
        </w:rPr>
        <w:t>4. Sovereignty requirement</w:t>
      </w:r>
    </w:p>
    <w:p>
      <w:pPr>
        <w:pStyle w:val="ListBullet"/>
      </w:pPr>
      <w:r>
        <w:rPr>
          <w:rFonts w:ascii="Segoe UI" w:hAnsi="Segoe UI"/>
          <w:sz w:val="22"/>
        </w:rPr>
        <w:t>Data-plane in SA region + Microsoft-controlled posture → Foundry-hosted OpenAI / Mistral / Phi in SA North/West.</w:t>
      </w:r>
    </w:p>
    <w:p>
      <w:pPr>
        <w:pStyle w:val="ListBullet"/>
      </w:pPr>
      <w:r>
        <w:rPr>
          <w:rFonts w:ascii="Segoe UI" w:hAnsi="Segoe UI"/>
          <w:sz w:val="22"/>
        </w:rPr>
        <w:t>Customer-controlled weights → Llama or Mistral self-hosted on AKS in customer VNet.</w:t>
      </w:r>
    </w:p>
    <w:p>
      <w:pPr>
        <w:pStyle w:val="ListBullet"/>
      </w:pPr>
      <w:r>
        <w:rPr>
          <w:rFonts w:ascii="Segoe UI" w:hAnsi="Segoe UI"/>
          <w:sz w:val="22"/>
        </w:rPr>
        <w:t>Hardest sovereign cases → Phi-3 on-device or in customer datacentre via Azure Local.</w:t>
      </w:r>
    </w:p>
    <w:p>
      <w:r>
        <w:rPr>
          <w:rFonts w:ascii="Segoe UI" w:hAnsi="Segoe UI"/>
          <w:b/>
          <w:i w:val="0"/>
          <w:sz w:val="22"/>
        </w:rPr>
        <w:t>5. Vertical tuning available</w:t>
      </w:r>
    </w:p>
    <w:p>
      <w:r>
        <w:rPr>
          <w:rFonts w:ascii="Segoe UI" w:hAnsi="Segoe UI"/>
          <w:b w:val="0"/>
          <w:i w:val="0"/>
          <w:sz w:val="22"/>
        </w:rPr>
        <w:t>NVIDIA NIM healthcare/finance, Cohere RAG, Hugging Face niche models. Check before defaulting to frontier.</w:t>
      </w:r>
    </w:p>
    <w:p>
      <w:pPr>
        <w:pStyle w:val="Heading1"/>
      </w:pPr>
      <w:r>
        <w:rPr>
          <w:rFonts w:ascii="Segoe UI" w:hAnsi="Segoe UI"/>
          <w:color w:val="0067B8"/>
          <w:sz w:val="30"/>
        </w:rPr>
        <w:t>4. Routing pattern — the practical implementation</w:t>
      </w:r>
    </w:p>
    <w:p>
      <w:r>
        <w:rPr>
          <w:rFonts w:ascii="Segoe UI" w:hAnsi="Segoe UI"/>
          <w:b w:val="0"/>
          <w:i w:val="0"/>
          <w:sz w:val="22"/>
        </w:rPr>
        <w:t>Foundry deployments rarely use one model. The CoE pattern is a 3-tier router: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067B8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3324"/>
            <w:shd w:val="clear" w:color="auto" w:fill="0067B8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Default model</w:t>
            </w:r>
          </w:p>
        </w:tc>
        <w:tc>
          <w:tcPr>
            <w:tcW w:type="dxa" w:w="3324"/>
            <w:shd w:val="clear" w:color="auto" w:fill="0067B8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Triggered when</w:t>
            </w:r>
          </w:p>
        </w:tc>
      </w:tr>
      <w:tr>
        <w:tc>
          <w:tcPr>
            <w:tcW w:type="dxa" w:w="3324"/>
          </w:tcPr>
          <w:p>
            <w:r>
              <w:rPr>
                <w:rFonts w:ascii="Segoe UI" w:hAnsi="Segoe UI"/>
                <w:sz w:val="20"/>
              </w:rPr>
              <w:t>Tier 1 (fast/cheap)</w:t>
            </w:r>
          </w:p>
        </w:tc>
        <w:tc>
          <w:tcPr>
            <w:tcW w:type="dxa" w:w="3324"/>
          </w:tcPr>
          <w:p>
            <w:r>
              <w:rPr>
                <w:rFonts w:ascii="Segoe UI" w:hAnsi="Segoe UI"/>
                <w:sz w:val="20"/>
              </w:rPr>
              <w:t>Phi-3-medium or gpt-4o-mini</w:t>
            </w:r>
          </w:p>
        </w:tc>
        <w:tc>
          <w:tcPr>
            <w:tcW w:type="dxa" w:w="3324"/>
          </w:tcPr>
          <w:p>
            <w:r>
              <w:rPr>
                <w:rFonts w:ascii="Segoe UI" w:hAnsi="Segoe UI"/>
                <w:sz w:val="20"/>
              </w:rPr>
              <w:t>Default for new prompts; ~70-80% of traffic</w:t>
            </w:r>
          </w:p>
        </w:tc>
      </w:tr>
      <w:tr>
        <w:tc>
          <w:tcPr>
            <w:tcW w:type="dxa" w:w="3324"/>
          </w:tcPr>
          <w:p>
            <w:r>
              <w:rPr>
                <w:rFonts w:ascii="Segoe UI" w:hAnsi="Segoe UI"/>
                <w:sz w:val="20"/>
              </w:rPr>
              <w:t>Tier 2 (mid)</w:t>
            </w:r>
          </w:p>
        </w:tc>
        <w:tc>
          <w:tcPr>
            <w:tcW w:type="dxa" w:w="3324"/>
          </w:tcPr>
          <w:p>
            <w:r>
              <w:rPr>
                <w:rFonts w:ascii="Segoe UI" w:hAnsi="Segoe UI"/>
                <w:sz w:val="20"/>
              </w:rPr>
              <w:t>Claude Haiku or Mistral Large</w:t>
            </w:r>
          </w:p>
        </w:tc>
        <w:tc>
          <w:tcPr>
            <w:tcW w:type="dxa" w:w="3324"/>
          </w:tcPr>
          <w:p>
            <w:r>
              <w:rPr>
                <w:rFonts w:ascii="Segoe UI" w:hAnsi="Segoe UI"/>
                <w:sz w:val="20"/>
              </w:rPr>
              <w:t>Tier 1 confidence below threshold OR task class requires deeper reasoning</w:t>
            </w:r>
          </w:p>
        </w:tc>
      </w:tr>
      <w:tr>
        <w:tc>
          <w:tcPr>
            <w:tcW w:type="dxa" w:w="3324"/>
          </w:tcPr>
          <w:p>
            <w:r>
              <w:rPr>
                <w:rFonts w:ascii="Segoe UI" w:hAnsi="Segoe UI"/>
                <w:sz w:val="20"/>
              </w:rPr>
              <w:t>Tier 3 (frontier)</w:t>
            </w:r>
          </w:p>
        </w:tc>
        <w:tc>
          <w:tcPr>
            <w:tcW w:type="dxa" w:w="3324"/>
          </w:tcPr>
          <w:p>
            <w:r>
              <w:rPr>
                <w:rFonts w:ascii="Segoe UI" w:hAnsi="Segoe UI"/>
                <w:sz w:val="20"/>
              </w:rPr>
              <w:t>gpt-4o or Claude Sonnet</w:t>
            </w:r>
          </w:p>
        </w:tc>
        <w:tc>
          <w:tcPr>
            <w:tcW w:type="dxa" w:w="3324"/>
          </w:tcPr>
          <w:p>
            <w:r>
              <w:rPr>
                <w:rFonts w:ascii="Segoe UI" w:hAnsi="Segoe UI"/>
                <w:sz w:val="20"/>
              </w:rPr>
              <w:t>Tier 2 escalation OR high-impact / HITL-flagged path</w:t>
            </w:r>
          </w:p>
        </w:tc>
      </w:tr>
    </w:tbl>
    <w:p>
      <w:r>
        <w:rPr>
          <w:rFonts w:ascii="Segoe UI" w:hAnsi="Segoe UI"/>
          <w:b w:val="0"/>
          <w:i w:val="0"/>
          <w:sz w:val="22"/>
        </w:rPr>
        <w:t>Cache layer (Azure AI Search semantic cache or Cosmos DB cache) sits in front of all tiers; cache-hit short-circuits routing.</w:t>
      </w:r>
    </w:p>
    <w:p>
      <w:r>
        <w:rPr>
          <w:rFonts w:ascii="Segoe UI" w:hAnsi="Segoe UI"/>
          <w:b w:val="0"/>
          <w:i w:val="0"/>
          <w:sz w:val="22"/>
        </w:rPr>
        <w:t>Expected outcome: 30-50% unit-cost reduction vs frontier-only baseline, with quality maintained because the router escalates only on the prompts that actually need it.</w:t>
      </w:r>
    </w:p>
    <w:p>
      <w:pPr>
        <w:pStyle w:val="Heading1"/>
      </w:pPr>
      <w:r>
        <w:rPr>
          <w:rFonts w:ascii="Segoe UI" w:hAnsi="Segoe UI"/>
          <w:color w:val="0067B8"/>
          <w:sz w:val="30"/>
        </w:rPr>
        <w:t>5. When NOT to multi-model</w:t>
      </w:r>
    </w:p>
    <w:p>
      <w:pPr>
        <w:pStyle w:val="ListBullet"/>
      </w:pPr>
      <w:r>
        <w:rPr>
          <w:rFonts w:ascii="Segoe UI" w:hAnsi="Segoe UI"/>
          <w:sz w:val="22"/>
        </w:rPr>
        <w:t>First production agent for a customer just starting their AI journey — pick one frontier model (gpt-4o) and ship. Add routing in iteration 2.</w:t>
      </w:r>
    </w:p>
    <w:p>
      <w:pPr>
        <w:pStyle w:val="ListBullet"/>
      </w:pPr>
      <w:r>
        <w:rPr>
          <w:rFonts w:ascii="Segoe UI" w:hAnsi="Segoe UI"/>
          <w:sz w:val="22"/>
        </w:rPr>
        <w:t>Highly regulated workflows where every model change requires re-eval + re-attestation — operational cost of multi-model exceeds unit-cost savings until volume is high.</w:t>
      </w:r>
    </w:p>
    <w:p>
      <w:pPr>
        <w:pStyle w:val="ListBullet"/>
      </w:pPr>
      <w:r>
        <w:rPr>
          <w:rFonts w:ascii="Segoe UI" w:hAnsi="Segoe UI"/>
          <w:sz w:val="22"/>
        </w:rPr>
        <w:t>Customers without a working eval harness — multi-model without measurement is gambling. Land AI-CoE-GenAIOps-Reference.docx first.</w:t>
      </w:r>
    </w:p>
    <w:p>
      <w:pPr>
        <w:pStyle w:val="Heading1"/>
      </w:pPr>
      <w:r>
        <w:rPr>
          <w:rFonts w:ascii="Segoe UI" w:hAnsi="Segoe UI"/>
          <w:color w:val="0067B8"/>
          <w:sz w:val="30"/>
        </w:rPr>
        <w:t>6. Linked artefacts</w:t>
      </w:r>
    </w:p>
    <w:p>
      <w:pPr>
        <w:pStyle w:val="ListBullet"/>
      </w:pPr>
      <w:r>
        <w:rPr>
          <w:rFonts w:ascii="Segoe UI" w:hAnsi="Segoe UI"/>
          <w:sz w:val="22"/>
        </w:rPr>
        <w:t>AI-CoE-Pitch-Deck-Respined.pptx slide 11 (Foundry deep-dive) names the catalog; future slide 8b will lead with model choice.</w:t>
      </w:r>
    </w:p>
    <w:p>
      <w:pPr>
        <w:pStyle w:val="ListBullet"/>
      </w:pPr>
      <w:r>
        <w:rPr>
          <w:rFonts w:ascii="Segoe UI" w:hAnsi="Segoe UI"/>
          <w:sz w:val="22"/>
        </w:rPr>
        <w:t>AI-CoE-Objection-Handling.pptx objection 3.5 — multi-model — shortened to a pointer to this one-pager.</w:t>
      </w:r>
    </w:p>
    <w:p>
      <w:pPr>
        <w:pStyle w:val="ListBullet"/>
      </w:pPr>
      <w:r>
        <w:rPr>
          <w:rFonts w:ascii="Segoe UI" w:hAnsi="Segoe UI"/>
          <w:sz w:val="22"/>
        </w:rPr>
        <w:t>AI-CoE-AI-TCO-Calculator.xlsx — model mix is an input; router economics flow directly from the model-mix sliders.</w:t>
      </w:r>
    </w:p>
    <w:p>
      <w:pPr>
        <w:pStyle w:val="ListBullet"/>
      </w:pPr>
      <w:r>
        <w:rPr>
          <w:rFonts w:ascii="Segoe UI" w:hAnsi="Segoe UI"/>
          <w:sz w:val="22"/>
        </w:rPr>
        <w:t>AI-CoE-GenAIOps-Reference.docx — L3 Reasoning layer enumerates this catalog.</w:t>
      </w:r>
    </w:p>
    <w:p>
      <w:pPr>
        <w:pStyle w:val="ListBullet"/>
      </w:pPr>
      <w:r>
        <w:rPr>
          <w:rFonts w:ascii="Segoe UI" w:hAnsi="Segoe UI"/>
          <w:sz w:val="22"/>
        </w:rPr>
        <w:t>ai-coe-pitch-stats-report.md — Foundry model-count stat to be re-verified at next refresh.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