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saliency comparison harness</w:t>
      </w:r>
    </w:p>
    <w:p>
      <w:r>
        <w:t>This fixture exists to compare rendering surfaces for externally generated attention annotations.</w:t>
      </w:r>
    </w:p>
    <w:p>
      <w:r>
        <w:t>The harness performs no document analysis. It only loads a DOCX file and an annotation set.</w:t>
      </w:r>
    </w:p>
    <w:p>
      <w:r>
        <w:t>Each renderer should expose enough text and layout fidelity to make salience overlays practical.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