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858000" cy="1542808"/>
            <wp:docPr id="1" name="Picture 1" title="Splunk .conf26 banner" descr="Splunk and .conf26 workshop bann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4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rFonts w:ascii="Arial" w:hAnsi="Arial"/>
          <w:b/>
          <w:color w:val="0B0B0F"/>
          <w:sz w:val="52"/>
        </w:rPr>
        <w:t>OBS1184</w:t>
      </w:r>
    </w:p>
    <w:p>
      <w:pPr>
        <w:spacing w:after="40"/>
      </w:pPr>
      <w:r>
        <w:rPr>
          <w:rFonts w:ascii="Arial" w:hAnsi="Arial"/>
          <w:b w:val="0"/>
          <w:color w:val="0B0B0F"/>
          <w:sz w:val="40"/>
        </w:rPr>
        <w:t>Advanced Collector Delta</w:t>
      </w:r>
    </w:p>
    <w:p>
      <w:pPr>
        <w:spacing w:after="200"/>
      </w:pPr>
      <w:r>
        <w:rPr>
          <w:rFonts w:ascii="Arial" w:hAnsi="Arial"/>
          <w:b/>
          <w:color w:val="555555"/>
          <w:sz w:val="22"/>
        </w:rPr>
        <w:t>Workshop skeleton  |  Single-agent Collector flow</w:t>
      </w:r>
    </w:p>
    <w:p>
      <w:pPr>
        <w:spacing w:before="0" w:after="140" w:line="259" w:lineRule="auto"/>
      </w:pPr>
      <w:r>
        <w:rPr>
          <w:rFonts w:ascii="Arial" w:hAnsi="Arial"/>
          <w:b/>
          <w:color w:val="0B0B0F"/>
          <w:sz w:val="22"/>
        </w:rPr>
        <w:t>Purpose:</w:t>
      </w:r>
      <w:r>
        <w:rPr>
          <w:rFonts w:ascii="Arial" w:hAnsi="Arial"/>
          <w:b w:val="0"/>
          <w:color w:val="0B0B0F"/>
          <w:sz w:val="22"/>
        </w:rPr>
        <w:t xml:space="preserve"> align the workshop team on the participant journey and section structure. The complete attendee procedure is maintained in the Markdown lab guide, not in this skeleton.</w:t>
      </w:r>
    </w:p>
    <w:p>
      <w:pPr>
        <w:pStyle w:val="Heading1"/>
        <w:keepNext/>
        <w:spacing w:before="240" w:after="80"/>
        <w:pBdr>
          <w:bottom w:val="single" w:sz="6" w:space="3" w:color="555555"/>
        </w:pBdr>
      </w:pPr>
      <w:r>
        <w:rPr>
          <w:rFonts w:ascii="Times New Roman" w:hAnsi="Times New Roman"/>
          <w:b/>
          <w:color w:val="0B0B0F"/>
          <w:sz w:val="38"/>
        </w:rPr>
        <w:t>Session flow</w:t>
      </w:r>
    </w:p>
    <w:tbl>
      <w:tblPr>
        <w:tblW w:type="dxa" w:w="1072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92"/>
        <w:gridCol w:w="8568"/>
        <w:gridCol w:w="1368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0B0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0B0F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Participant stage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0B0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0B0F"/>
                <w:sz w:val="18"/>
              </w:rPr>
              <w:t>1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B0B0F"/>
                <w:sz w:val="18"/>
              </w:rPr>
              <w:t>Pair, register for Observability Cloud Free, and open the online guide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0B0B0F"/>
                <w:sz w:val="18"/>
              </w:rPr>
              <w:t>5 min</w:t>
            </w:r>
          </w:p>
        </w:tc>
      </w:tr>
      <w:tr>
        <w:tc>
          <w:tcPr>
            <w:tcW w:type="dxa" w:w="792"/>
            <w:shd w:fill="F2F3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0B0F"/>
                <w:sz w:val="18"/>
              </w:rPr>
              <w:t>2</w:t>
            </w:r>
          </w:p>
        </w:tc>
        <w:tc>
          <w:tcPr>
            <w:tcW w:type="dxa" w:w="8568"/>
            <w:shd w:fill="F2F3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B0B0F"/>
                <w:sz w:val="18"/>
              </w:rPr>
              <w:t>Download binaries and stage the local or remote environment</w:t>
            </w:r>
          </w:p>
        </w:tc>
        <w:tc>
          <w:tcPr>
            <w:tcW w:type="dxa" w:w="1368"/>
            <w:shd w:fill="F2F3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0B0B0F"/>
                <w:sz w:val="18"/>
              </w:rPr>
              <w:t>5 min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0B0F"/>
                <w:sz w:val="18"/>
              </w:rPr>
              <w:t>3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B0B0F"/>
                <w:sz w:val="18"/>
              </w:rPr>
              <w:t>Start one Collector and loadgen; optionally enable cloud export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0B0B0F"/>
                <w:sz w:val="18"/>
              </w:rPr>
              <w:t>10 min</w:t>
            </w:r>
          </w:p>
        </w:tc>
      </w:tr>
      <w:tr>
        <w:tc>
          <w:tcPr>
            <w:tcW w:type="dxa" w:w="792"/>
            <w:shd w:fill="F2F3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0B0F"/>
                <w:sz w:val="18"/>
              </w:rPr>
              <w:t>4</w:t>
            </w:r>
          </w:p>
        </w:tc>
        <w:tc>
          <w:tcPr>
            <w:tcW w:type="dxa" w:w="8568"/>
            <w:shd w:fill="F2F3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B0B0F"/>
                <w:sz w:val="18"/>
              </w:rPr>
              <w:t>Upload and review agent.yaml in OTel Collector Config Builder</w:t>
            </w:r>
          </w:p>
        </w:tc>
        <w:tc>
          <w:tcPr>
            <w:tcW w:type="dxa" w:w="1368"/>
            <w:shd w:fill="F2F3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0B0B0F"/>
                <w:sz w:val="18"/>
              </w:rPr>
              <w:t>5 min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0B0F"/>
                <w:sz w:val="18"/>
              </w:rPr>
              <w:t>5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B0B0F"/>
                <w:sz w:val="18"/>
              </w:rPr>
              <w:t>Reduce volume, add trace policy, and optionally add syslog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0B0B0F"/>
                <w:sz w:val="18"/>
              </w:rPr>
              <w:t>15 min</w:t>
            </w:r>
          </w:p>
        </w:tc>
      </w:tr>
      <w:tr>
        <w:tc>
          <w:tcPr>
            <w:tcW w:type="dxa" w:w="792"/>
            <w:shd w:fill="F2F3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0B0F"/>
                <w:sz w:val="18"/>
              </w:rPr>
              <w:t>6</w:t>
            </w:r>
          </w:p>
        </w:tc>
        <w:tc>
          <w:tcPr>
            <w:tcW w:type="dxa" w:w="8568"/>
            <w:shd w:fill="F2F3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B0B0F"/>
                <w:sz w:val="18"/>
              </w:rPr>
              <w:t>Export YAML, restart the Collector, and validate new telemetry</w:t>
            </w:r>
          </w:p>
        </w:tc>
        <w:tc>
          <w:tcPr>
            <w:tcW w:type="dxa" w:w="1368"/>
            <w:shd w:fill="F2F3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0B0B0F"/>
                <w:sz w:val="18"/>
              </w:rPr>
              <w:t>15 min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0B0F"/>
                <w:sz w:val="18"/>
              </w:rPr>
              <w:t>7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B0B0F"/>
                <w:sz w:val="18"/>
              </w:rPr>
              <w:t>Take-home: Platform logs and profiling; wrap up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0B0B0F"/>
                <w:sz w:val="18"/>
              </w:rPr>
              <w:t>up to 5 min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80"/>
        <w:pBdr>
          <w:bottom w:val="single" w:sz="6" w:space="3" w:color="555555"/>
        </w:pBdr>
      </w:pPr>
      <w:r>
        <w:rPr>
          <w:rFonts w:ascii="Times New Roman" w:hAnsi="Times New Roman"/>
          <w:b/>
          <w:color w:val="0B0B0F"/>
          <w:sz w:val="38"/>
        </w:rPr>
        <w:t>Single-agent workshop design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0B0B0F"/>
          <w:sz w:val="22"/>
        </w:rPr>
        <w:t>The delta removes the old agent-to-gateway hop. One Collector owns the host metrics, traces, and logs pipelines, so participants make one configuration change and perform one restart.</w:t>
      </w:r>
    </w:p>
    <w:p>
      <w:pPr>
        <w:pStyle w:val="Heading2"/>
        <w:keepNext/>
        <w:spacing w:before="160" w:after="80"/>
      </w:pPr>
      <w:r>
        <w:rPr>
          <w:rFonts w:ascii="Times New Roman" w:hAnsi="Times New Roman"/>
          <w:b/>
          <w:color w:val="0B0B0F"/>
          <w:sz w:val="28"/>
        </w:rPr>
        <w:t>Participant process model</w:t>
      </w:r>
    </w:p>
    <w:tbl>
      <w:tblPr>
        <w:tblW w:type="dxa" w:w="1072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728"/>
      </w:tblGrid>
      <w:tr>
        <w:trPr>
          <w:tblHeader w:val="true"/>
        </w:trPr>
        <w:tc>
          <w:tcPr>
            <w:tcW w:type="dxa" w:w="10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3F5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0B0F"/>
                <w:sz w:val="20"/>
              </w:rPr>
              <w:t>otelcol --config agent.yaml</w:t>
              <w:br/>
              <w:t>loadgen -correlated -health -security</w:t>
            </w:r>
          </w:p>
        </w:tc>
      </w:tr>
    </w:tbl>
    <w:p>
      <w:pPr>
        <w:spacing w:before="0" w:after="140" w:line="259" w:lineRule="auto"/>
      </w:pPr>
      <w:r>
        <w:rPr>
          <w:rFonts w:ascii="Arial" w:hAnsi="Arial"/>
          <w:b w:val="0"/>
          <w:color w:val="0B0B0F"/>
          <w:sz w:val="22"/>
        </w:rPr>
        <w:t>There is no gateway.yaml, gateway listener, agent-to-gateway exporter, or second Collector process.</w:t>
      </w:r>
    </w:p>
    <w:p>
      <w:pPr>
        <w:pStyle w:val="Heading2"/>
        <w:keepNext/>
        <w:spacing w:before="160" w:after="80"/>
      </w:pPr>
      <w:r>
        <w:rPr>
          <w:rFonts w:ascii="Times New Roman" w:hAnsi="Times New Roman"/>
          <w:b/>
          <w:color w:val="0B0B0F"/>
          <w:sz w:val="28"/>
        </w:rPr>
        <w:t>Environment paths</w:t>
      </w:r>
    </w:p>
    <w:p>
      <w:pPr>
        <w:pStyle w:val="ListParagraph"/>
        <w:numPr>
          <w:ilvl w:val="0"/>
          <w:numId w:val="6"/>
        </w:numPr>
        <w:spacing w:before="0" w:after="60" w:line="259" w:lineRule="auto"/>
      </w:pPr>
      <w:r>
        <w:rPr>
          <w:rFonts w:ascii="Arial" w:hAnsi="Arial"/>
          <w:b w:val="0"/>
          <w:color w:val="0B0B0F"/>
          <w:sz w:val="21"/>
        </w:rPr>
        <w:t>Local macOS or Linux: the setup script stages a portable v0.157.0 Collector in advanced-collector-delta.</w:t>
      </w:r>
    </w:p>
    <w:p>
      <w:pPr>
        <w:pStyle w:val="ListParagraph"/>
        <w:numPr>
          <w:ilvl w:val="0"/>
          <w:numId w:val="6"/>
        </w:numPr>
        <w:spacing w:before="0" w:after="60" w:line="259" w:lineRule="auto"/>
      </w:pPr>
      <w:r>
        <w:rPr>
          <w:rFonts w:ascii="Arial" w:hAnsi="Arial"/>
          <w:b w:val="0"/>
          <w:color w:val="0B0B0F"/>
          <w:sz w:val="21"/>
        </w:rPr>
        <w:t>Windows or restricted laptop: the participant uses a facilitator-provided Linux host over Session Manager or SSH.</w:t>
      </w:r>
    </w:p>
    <w:p>
      <w:pPr>
        <w:pStyle w:val="ListParagraph"/>
        <w:numPr>
          <w:ilvl w:val="0"/>
          <w:numId w:val="6"/>
        </w:numPr>
        <w:spacing w:before="0" w:after="60" w:line="259" w:lineRule="auto"/>
      </w:pPr>
      <w:r>
        <w:rPr>
          <w:rFonts w:ascii="Arial" w:hAnsi="Arial"/>
          <w:b w:val="0"/>
          <w:color w:val="0B0B0F"/>
          <w:sz w:val="21"/>
        </w:rPr>
        <w:t>Cloud path: realm and organization token stay in local environment variables.</w:t>
      </w:r>
    </w:p>
    <w:p>
      <w:pPr>
        <w:pStyle w:val="ListParagraph"/>
        <w:numPr>
          <w:ilvl w:val="0"/>
          <w:numId w:val="6"/>
        </w:numPr>
        <w:spacing w:before="0" w:after="60" w:line="259" w:lineRule="auto"/>
      </w:pPr>
      <w:r>
        <w:rPr>
          <w:rFonts w:ascii="Arial" w:hAnsi="Arial"/>
          <w:b w:val="0"/>
          <w:color w:val="0B0B0F"/>
          <w:sz w:val="21"/>
        </w:rPr>
        <w:t>Fallback path: --local-only disables cloud exporters and leaves telemetry in Collector debug output.</w:t>
      </w:r>
    </w:p>
    <w:p>
      <w:pPr>
        <w:pStyle w:val="Heading2"/>
        <w:keepNext/>
        <w:spacing w:before="160" w:after="80"/>
      </w:pPr>
      <w:r>
        <w:rPr>
          <w:rFonts w:ascii="Times New Roman" w:hAnsi="Times New Roman"/>
          <w:b/>
          <w:color w:val="0B0B0F"/>
          <w:sz w:val="28"/>
        </w:rPr>
        <w:t>Required success evidence</w:t>
      </w:r>
    </w:p>
    <w:p>
      <w:pPr>
        <w:pStyle w:val="ListParagraph"/>
        <w:numPr>
          <w:ilvl w:val="0"/>
          <w:numId w:val="6"/>
        </w:numPr>
        <w:spacing w:before="0" w:after="60" w:line="259" w:lineRule="auto"/>
      </w:pPr>
      <w:r>
        <w:rPr>
          <w:rFonts w:ascii="Arial" w:hAnsi="Arial"/>
          <w:b w:val="0"/>
          <w:color w:val="0B0B0F"/>
          <w:sz w:val="21"/>
        </w:rPr>
        <w:t>Host CPU, memory, and load metrics remain visible after optimization.</w:t>
      </w:r>
    </w:p>
    <w:p>
      <w:pPr>
        <w:pStyle w:val="ListParagraph"/>
        <w:numPr>
          <w:ilvl w:val="0"/>
          <w:numId w:val="6"/>
        </w:numPr>
        <w:spacing w:before="0" w:after="60" w:line="259" w:lineRule="auto"/>
      </w:pPr>
      <w:r>
        <w:rPr>
          <w:rFonts w:ascii="Arial" w:hAnsi="Arial"/>
          <w:b w:val="0"/>
          <w:color w:val="0B0B0F"/>
          <w:sz w:val="21"/>
        </w:rPr>
        <w:t>New cinema-service traces arrive in APM when cloud export is enabled.</w:t>
      </w:r>
    </w:p>
    <w:p>
      <w:pPr>
        <w:pStyle w:val="ListParagraph"/>
        <w:numPr>
          <w:ilvl w:val="0"/>
          <w:numId w:val="6"/>
        </w:numPr>
        <w:spacing w:before="0" w:after="60" w:line="259" w:lineRule="auto"/>
      </w:pPr>
      <w:r>
        <w:rPr>
          <w:rFonts w:ascii="Arial" w:hAnsi="Arial"/>
          <w:b w:val="0"/>
          <w:color w:val="0B0B0F"/>
          <w:sz w:val="21"/>
        </w:rPr>
        <w:t>New /_healthz spans are filtered and synthetic sensitive attributes are deleted or hashed.</w:t>
      </w:r>
    </w:p>
    <w:p>
      <w:pPr>
        <w:pStyle w:val="ListParagraph"/>
        <w:numPr>
          <w:ilvl w:val="0"/>
          <w:numId w:val="6"/>
        </w:numPr>
        <w:spacing w:before="0" w:after="60" w:line="259" w:lineRule="auto"/>
      </w:pPr>
      <w:r>
        <w:rPr>
          <w:rFonts w:ascii="Arial" w:hAnsi="Arial"/>
          <w:b w:val="0"/>
          <w:color w:val="0B0B0F"/>
          <w:sz w:val="21"/>
        </w:rPr>
        <w:t>A correlated log preserves the application trace ID and span ID in local debug output.</w:t>
      </w:r>
    </w:p>
    <w:tbl>
      <w:tblPr>
        <w:tblW w:type="dxa" w:w="1072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728"/>
      </w:tblGrid>
      <w:tr>
        <w:trPr>
          <w:tblHeader w:val="true"/>
        </w:trPr>
        <w:tc>
          <w:tcPr>
            <w:tcW w:type="dxa" w:w="10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8FB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B0B0F"/>
                <w:sz w:val="21"/>
              </w:rPr>
              <w:t xml:space="preserve">Validation rule: </w:t>
            </w:r>
            <w:r>
              <w:rPr>
                <w:rFonts w:ascii="Arial" w:hAnsi="Arial"/>
                <w:b w:val="0"/>
                <w:color w:val="0B0B0F"/>
                <w:sz w:val="21"/>
              </w:rPr>
              <w:t>Backend validation is required; local health alone does not prove ingestion.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80"/>
        <w:pBdr>
          <w:bottom w:val="single" w:sz="6" w:space="3" w:color="555555"/>
        </w:pBdr>
      </w:pPr>
      <w:r>
        <w:rPr>
          <w:rFonts w:ascii="Times New Roman" w:hAnsi="Times New Roman"/>
          <w:b/>
          <w:color w:val="0B0B0F"/>
          <w:sz w:val="38"/>
        </w:rPr>
        <w:t>Detailed flow skeleton</w:t>
      </w:r>
    </w:p>
    <w:p>
      <w:pPr>
        <w:pStyle w:val="Heading2"/>
        <w:keepNext/>
        <w:spacing w:before="160" w:after="80"/>
      </w:pPr>
      <w:r>
        <w:rPr>
          <w:rFonts w:ascii="Times New Roman" w:hAnsi="Times New Roman"/>
          <w:b/>
          <w:color w:val="0B0B0F"/>
          <w:sz w:val="28"/>
        </w:rPr>
        <w:t>1. Pair, register, and open the guide - 5 minutes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0B0B0F"/>
          <w:sz w:val="22"/>
        </w:rPr>
        <w:t>Pairing is optional. Participants verify browser access and organization readiness. Anyone waiting for activation pairs with a working organization or uses the local-only path.</w:t>
      </w:r>
    </w:p>
    <w:p>
      <w:pPr>
        <w:pStyle w:val="Heading2"/>
        <w:keepNext/>
        <w:spacing w:before="160" w:after="80"/>
      </w:pPr>
      <w:r>
        <w:rPr>
          <w:rFonts w:ascii="Times New Roman" w:hAnsi="Times New Roman"/>
          <w:b/>
          <w:color w:val="0B0B0F"/>
          <w:sz w:val="28"/>
        </w:rPr>
        <w:t>2. Download and stage - 5 minutes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0B0B0F"/>
          <w:sz w:val="22"/>
        </w:rPr>
        <w:t>The local path runs setup-workshop.sh on macOS or Linux. The remote path enters a prebuilt Linux directory. Both paths end with the same seven files and no gateway configuration.</w:t>
      </w:r>
    </w:p>
    <w:p>
      <w:pPr>
        <w:pStyle w:val="Heading2"/>
        <w:keepNext/>
        <w:spacing w:before="160" w:after="80"/>
      </w:pPr>
      <w:r>
        <w:rPr>
          <w:rFonts w:ascii="Times New Roman" w:hAnsi="Times New Roman"/>
          <w:b/>
          <w:color w:val="0B0B0F"/>
          <w:sz w:val="28"/>
        </w:rPr>
        <w:t>3. Run and observe - 10 minutes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0B0B0F"/>
          <w:sz w:val="22"/>
        </w:rPr>
        <w:t>Participants start one Collector and one load generator. With realm and token set, they find host data in Infrastructure Monitoring and cinema-service traces in APM; otherwise they inspect local debug output.</w:t>
      </w:r>
    </w:p>
    <w:p>
      <w:pPr>
        <w:pStyle w:val="Heading2"/>
        <w:keepNext/>
        <w:spacing w:before="160" w:after="80"/>
      </w:pPr>
      <w:r>
        <w:rPr>
          <w:rFonts w:ascii="Times New Roman" w:hAnsi="Times New Roman"/>
          <w:b/>
          <w:color w:val="0B0B0F"/>
          <w:sz w:val="28"/>
        </w:rPr>
        <w:t>4. Understand agent.yaml - 5 minutes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0B0B0F"/>
          <w:sz w:val="22"/>
        </w:rPr>
        <w:t>Participants upload the current agent.yaml to OTel Collector Config Builder and connect the component inventory to the metrics, traces, and logs pipelines.</w:t>
      </w:r>
    </w:p>
    <w:p>
      <w:pPr>
        <w:pStyle w:val="Heading2"/>
        <w:keepNext/>
        <w:spacing w:before="160" w:after="80"/>
      </w:pPr>
      <w:r>
        <w:rPr>
          <w:rFonts w:ascii="Times New Roman" w:hAnsi="Times New Roman"/>
          <w:b/>
          <w:color w:val="0B0B0F"/>
          <w:sz w:val="28"/>
        </w:rPr>
        <w:t>5. Optimize in Config Builder - 15 minutes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0B0B0F"/>
          <w:sz w:val="22"/>
        </w:rPr>
        <w:t>Participants reduce host-metric volume and add trace filter/privacy processors. Syslog is optional and remains a logs take-home extension.</w:t>
      </w:r>
    </w:p>
    <w:p>
      <w:pPr>
        <w:pStyle w:val="Heading2"/>
        <w:keepNext/>
        <w:spacing w:before="160" w:after="80"/>
      </w:pPr>
      <w:r>
        <w:rPr>
          <w:rFonts w:ascii="Times New Roman" w:hAnsi="Times New Roman"/>
          <w:b/>
          <w:color w:val="0B0B0F"/>
          <w:sz w:val="28"/>
        </w:rPr>
        <w:t>6. Apply and validate - 15 minutes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0B0B0F"/>
          <w:sz w:val="22"/>
        </w:rPr>
        <w:t>Participants export the complete YAML, replace agent.yaml, restart the same Collector, generate fresh telemetry, and prove each intended result.</w:t>
      </w:r>
    </w:p>
    <w:p>
      <w:pPr>
        <w:pStyle w:val="Heading2"/>
        <w:keepNext/>
        <w:spacing w:before="160" w:after="80"/>
      </w:pPr>
      <w:r>
        <w:rPr>
          <w:rFonts w:ascii="Times New Roman" w:hAnsi="Times New Roman"/>
          <w:b/>
          <w:color w:val="0B0B0F"/>
          <w:sz w:val="28"/>
        </w:rPr>
        <w:t>7. Take-home and wrap-up - up to 5 minutes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0B0B0F"/>
          <w:sz w:val="22"/>
        </w:rPr>
        <w:t>The team points attendees to Splunk Platform log export with Log Observer Connect and to AlwaysOn Profiling with a supported application runtime.</w:t>
      </w:r>
    </w:p>
    <w:p>
      <w:r>
        <w:br w:type="page"/>
      </w:r>
    </w:p>
    <w:p>
      <w:pPr>
        <w:pStyle w:val="Heading1"/>
        <w:keepNext/>
        <w:spacing w:before="240" w:after="80"/>
        <w:pBdr>
          <w:bottom w:val="single" w:sz="6" w:space="3" w:color="555555"/>
        </w:pBdr>
      </w:pPr>
      <w:r>
        <w:rPr>
          <w:rFonts w:ascii="Times New Roman" w:hAnsi="Times New Roman"/>
          <w:b/>
          <w:color w:val="0B0B0F"/>
          <w:sz w:val="38"/>
        </w:rPr>
        <w:t>Attendee guide source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0B0B0F"/>
          <w:sz w:val="22"/>
        </w:rPr>
        <w:t>The attendee-ready commands, Config Builder edits, fallback paths, validation checklist, and take-home details are maintained in this Markdown file:</w:t>
      </w:r>
    </w:p>
    <w:tbl>
      <w:tblPr>
        <w:tblW w:type="dxa" w:w="1072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728"/>
      </w:tblGrid>
      <w:tr>
        <w:trPr>
          <w:tblHeader w:val="true"/>
        </w:trPr>
        <w:tc>
          <w:tcPr>
            <w:tcW w:type="dxa" w:w="10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3F5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0B0F"/>
                <w:sz w:val="20"/>
              </w:rPr>
              <w:t>content/en/ninja-workshops/foundations/2-opentelemetry-collector-workshops/</w:t>
              <w:br/>
              <w:t>2-advanced-collector/lab-guide.md</w:t>
            </w:r>
          </w:p>
        </w:tc>
      </w:tr>
    </w:tbl>
    <w:tbl>
      <w:tblPr>
        <w:tblW w:type="dxa" w:w="1072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728"/>
      </w:tblGrid>
      <w:tr>
        <w:trPr>
          <w:tblHeader w:val="true"/>
        </w:trPr>
        <w:tc>
          <w:tcPr>
            <w:tcW w:type="dxa" w:w="10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8FB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B0B0F"/>
                <w:sz w:val="21"/>
              </w:rPr>
              <w:t xml:space="preserve">Authoring boundary: </w:t>
            </w:r>
            <w:r>
              <w:rPr>
                <w:rFonts w:ascii="Arial" w:hAnsi="Arial"/>
                <w:b w:val="0"/>
                <w:color w:val="0B0B0F"/>
                <w:sz w:val="21"/>
              </w:rPr>
              <w:t>Copy the reviewed Markdown procedure into the final lab-guide DOCX later. Do not expand this skeleton independently or the deliverables will drift.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Times New Roman" w:hAnsi="Times New Roman"/>
          <w:b/>
          <w:color w:val="0B0B0F"/>
          <w:sz w:val="28"/>
        </w:rPr>
        <w:t>Items to add during final authoring</w:t>
      </w:r>
    </w:p>
    <w:p>
      <w:pPr>
        <w:pStyle w:val="ListParagraph"/>
        <w:numPr>
          <w:ilvl w:val="0"/>
          <w:numId w:val="6"/>
        </w:numPr>
        <w:spacing w:before="0" w:after="60" w:line="259" w:lineRule="auto"/>
      </w:pPr>
      <w:r>
        <w:rPr>
          <w:rFonts w:ascii="Arial" w:hAnsi="Arial"/>
          <w:b w:val="0"/>
          <w:color w:val="0B0B0F"/>
          <w:sz w:val="21"/>
        </w:rPr>
        <w:t>Final session ID, speaker names, and event-specific access instructions.</w:t>
      </w:r>
    </w:p>
    <w:p>
      <w:pPr>
        <w:pStyle w:val="ListParagraph"/>
        <w:numPr>
          <w:ilvl w:val="0"/>
          <w:numId w:val="6"/>
        </w:numPr>
        <w:spacing w:before="0" w:after="60" w:line="259" w:lineRule="auto"/>
      </w:pPr>
      <w:r>
        <w:rPr>
          <w:rFonts w:ascii="Arial" w:hAnsi="Arial"/>
          <w:b w:val="0"/>
          <w:color w:val="0B0B0F"/>
          <w:sz w:val="21"/>
        </w:rPr>
        <w:t>Approved screenshots of OTel Collector Config Builder, Infrastructure Monitoring, and APM.</w:t>
      </w:r>
    </w:p>
    <w:p>
      <w:pPr>
        <w:pStyle w:val="ListParagraph"/>
        <w:numPr>
          <w:ilvl w:val="0"/>
          <w:numId w:val="6"/>
        </w:numPr>
        <w:spacing w:before="0" w:after="60" w:line="259" w:lineRule="auto"/>
      </w:pPr>
      <w:r>
        <w:rPr>
          <w:rFonts w:ascii="Arial" w:hAnsi="Arial"/>
          <w:b w:val="0"/>
          <w:color w:val="0B0B0F"/>
          <w:sz w:val="21"/>
        </w:rPr>
        <w:t>Facilitator support contacts and the tested remote-host connection details.</w:t>
      </w:r>
    </w:p>
    <w:p>
      <w:pPr>
        <w:pStyle w:val="ListParagraph"/>
        <w:numPr>
          <w:ilvl w:val="0"/>
          <w:numId w:val="6"/>
        </w:numPr>
        <w:spacing w:before="0" w:after="60" w:line="259" w:lineRule="auto"/>
      </w:pPr>
      <w:r>
        <w:rPr>
          <w:rFonts w:ascii="Arial" w:hAnsi="Arial"/>
          <w:b w:val="0"/>
          <w:color w:val="0B0B0F"/>
          <w:sz w:val="21"/>
        </w:rPr>
        <w:t>Final product-navigation labels after rehearsal in the attendee organization type.</w:t>
      </w:r>
    </w:p>
    <w:sectPr w:rsidR="00FE3C76" w:rsidRPr="00376208" w:rsidSect="00FE3C76">
      <w:headerReference w:type="first" r:id="rId25"/>
      <w:headerReference w:type="default" r:id="rId28"/>
      <w:footerReference w:type="default" r:id="rId29"/>
      <w:pgSz w:w="12240" w:h="15840"/>
      <w:pgMar w:top="648" w:right="720" w:bottom="720" w:left="720" w:header="288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ACD22" w14:textId="77777777" w:rsidR="00914571" w:rsidRDefault="00914571" w:rsidP="00961131">
      <w:r>
        <w:separator/>
      </w:r>
    </w:p>
  </w:endnote>
  <w:endnote w:type="continuationSeparator" w:id="0">
    <w:p w14:paraId="48F3FB19" w14:textId="77777777" w:rsidR="00914571" w:rsidRDefault="00914571" w:rsidP="00961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BB9DE60-4577-A644-869C-340BC08DEB7C}"/>
    <w:embedBold r:id="rId2" w:fontKey="{129D54CD-7A67-2A45-80D0-60CC72BFE3A3}"/>
    <w:embedItalic r:id="rId3" w:fontKey="{83D68678-2D7D-6944-A7DE-C0C1FEC338D9}"/>
    <w:embedBoldItalic r:id="rId4" w:fontKey="{21D4A048-BDEA-C14F-A8A1-C56862BA8938}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74DB181D-E7F7-814E-BDD5-ABC96987772E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3662859A-BFCA-E049-B365-26E54952271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635C5A84-75B5-8241-85B2-5AFE412902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8F4C9089-8710-3342-9B61-DA26E251B115}"/>
    <w:embedBold r:id="rId10" w:fontKey="{3EEEABAE-EE0A-504F-9202-377D3BECB760}"/>
    <w:embedItalic r:id="rId11" w:fontKey="{BF6458CF-43B8-694A-B4B1-BCDEF79D43FB}"/>
    <w:embedBoldItalic r:id="rId12" w:fontKey="{A34A7F3D-54EC-014B-9AE4-482A18877988}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  <w:embedRegular r:id="rId13" w:fontKey="{CE11A2C1-597E-A84D-B225-A971F0A060D8}"/>
    <w:embedBold r:id="rId14" w:fontKey="{594B8F2D-AD9F-3C4B-AFDA-C2A0FD9C6A85}"/>
    <w:embedItalic r:id="rId15" w:fontKey="{37680B0A-B8F8-0E4A-87CE-776DDE581A62}"/>
    <w:embedBoldItalic r:id="rId16" w:fontKey="{907EF701-0F34-BB4B-9F15-6ECDD7F99478}"/>
  </w:font>
  <w:font w:name="Inter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  <w:embedRegular r:id="rId17" w:fontKey="{7FB4F291-0D65-B546-8915-91745AB64045}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  <w:embedBold r:id="rId21" w:fontKey="{69945A47-0EBB-6F4A-9C09-91CE7DF37AAC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22" w:subsetted="1" w:fontKey="{0DAB91FE-0365-2644-900F-25C157476A61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3" w:fontKey="{54709282-AE2D-8041-8CCB-AE59516F2BD6}"/>
    <w:embedBold r:id="rId24" w:fontKey="{35CC073A-274D-2544-AE2D-A14EDAB43DBF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25" w:fontKey="{9AD2DC53-3AC0-414C-8069-5317E6284CC3}"/>
    <w:embedBold r:id="rId26" w:fontKey="{9D9A24B1-70B5-E84F-A9EF-A25C8BD5FC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70530179"/>
      <w:docPartObj>
        <w:docPartGallery w:val="Page Numbers (Bottom of Page)"/>
        <w:docPartUnique/>
      </w:docPartObj>
    </w:sdtPr>
    <w:sdtContent>
      <w:p w14:paraId="451724DB" w14:textId="73335975" w:rsidR="002375C8" w:rsidRDefault="002375C8" w:rsidP="00FE3C7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FAAD91B" w14:textId="77777777" w:rsidR="006C45A6" w:rsidRDefault="006C45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E62469" wp14:editId="780FB12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397635" cy="390525"/>
              <wp:effectExtent l="0" t="0" r="0" b="0"/>
              <wp:wrapNone/>
              <wp:docPr id="1422237689" name="Text Box 2" descr="Cisco Confidential" title="Splunk workshop visual 1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7635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59F2C7" w14:textId="77777777" w:rsidR="006C45A6" w:rsidRPr="006C45A6" w:rsidRDefault="006C45A6" w:rsidP="006C45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C45A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E6246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alt="Cisco Confidential" style="position:absolute;left:0;text-align:left;margin-left:58.85pt;margin-top:0;width:110.05pt;height:30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" filled="f" stroked="f">
              <v:textbox style="mso-fit-shape-to-text:t" inset="0,0,20pt,15pt">
                <w:txbxContent>
                  <w:p w14:paraId="4C59F2C7" w14:textId="77777777" w:rsidR="006C45A6" w:rsidRPr="006C45A6" w:rsidRDefault="006C45A6" w:rsidP="006C45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C45A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4577390"/>
      <w:docPartObj>
        <w:docPartGallery w:val="Page Numbers (Bottom of Page)"/>
        <w:docPartUnique/>
      </w:docPartObj>
    </w:sdtPr>
    <w:sdtContent>
      <w:p w14:paraId="6F385E4D" w14:textId="2EDDBAD8" w:rsidR="002375C8" w:rsidRDefault="002375C8" w:rsidP="00FE3C7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B87AE5A" w14:textId="77777777" w:rsidR="002375C8" w:rsidRDefault="002375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97387560"/>
      <w:docPartObj>
        <w:docPartGallery w:val="Page Numbers (Bottom of Page)"/>
        <w:docPartUnique/>
      </w:docPartObj>
    </w:sdtPr>
    <w:sdtContent>
      <w:p w14:paraId="0F9A37A9" w14:textId="12D1B2E8" w:rsidR="002375C8" w:rsidRDefault="002375C8" w:rsidP="00552E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F81AF6A" w14:textId="77777777" w:rsidR="002375C8" w:rsidRDefault="002375C8" w:rsidP="002375C8">
    <w:pPr>
      <w:pStyle w:val="Footer"/>
      <w:ind w:right="360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728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9648"/>
      <w:gridCol w:w="1080"/>
    </w:tblGrid>
    <w:tr>
      <w:trPr>
        <w:tblHeader w:val="true"/>
      </w:trPr>
      <w:tc>
        <w:tcPr>
          <w:tcW w:type="dxa" w:w="9648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Arial" w:hAnsi="Arial"/>
              <w:b w:val="0"/>
              <w:color w:val="444444"/>
              <w:sz w:val="16"/>
            </w:rPr>
            <w:t>OBS1184  |  Advanced Collector Delta</w:t>
          </w:r>
        </w:p>
      </w:tc>
      <w:tc>
        <w:tcPr>
          <w:tcW w:type="dxa" w:w="1080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pPr>
            <w:jc w:val="right"/>
          </w:pPr>
          <w: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EB193" w14:textId="77777777" w:rsidR="00914571" w:rsidRDefault="00914571" w:rsidP="00961131">
      <w:r>
        <w:separator/>
      </w:r>
    </w:p>
  </w:footnote>
  <w:footnote w:type="continuationSeparator" w:id="0">
    <w:p w14:paraId="35BD55D1" w14:textId="77777777" w:rsidR="00914571" w:rsidRDefault="00914571" w:rsidP="00961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6FF11" w14:textId="2650B718" w:rsidR="007A6058" w:rsidRPr="007A6058" w:rsidRDefault="007A6058" w:rsidP="007A6058">
    <w:pPr>
      <w:pStyle w:val="Header"/>
      <w:ind w:left="0"/>
      <w:rPr>
        <w:sz w:val="13"/>
        <w:szCs w:val="13"/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87369" w14:textId="2F2BF50D" w:rsidR="002375C8" w:rsidRPr="002375C8" w:rsidRDefault="002375C8" w:rsidP="007A6058">
    <w:pPr>
      <w:pStyle w:val="Heading1"/>
      <w:spacing w:before="0"/>
      <w:ind w:left="0"/>
    </w:pPr>
    <w:r w:rsidRPr="002375C8">
      <w:rPr>
        <w:noProof/>
        <w:color w:val="000000" w:themeColor="background1"/>
      </w:rPr>
      <w:drawing>
        <wp:anchor distT="0" distB="0" distL="114300" distR="114300" simplePos="0" relativeHeight="251661312" behindDoc="1" locked="0" layoutInCell="1" allowOverlap="1" wp14:anchorId="79FB16A7" wp14:editId="4F32EA22">
          <wp:simplePos x="0" y="0"/>
          <wp:positionH relativeFrom="column">
            <wp:posOffset>-48260</wp:posOffset>
          </wp:positionH>
          <wp:positionV relativeFrom="paragraph">
            <wp:posOffset>-456565</wp:posOffset>
          </wp:positionV>
          <wp:extent cx="7040880" cy="825500"/>
          <wp:effectExtent l="0" t="0" r="0" b="0"/>
          <wp:wrapNone/>
          <wp:docPr id="14101535" name="Picture 14101535" title="Splunk workshop visual 1" descr="Splunk .conf26 workshop template visu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707440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0880" cy="825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1BE7B" w14:textId="77777777" w:rsidR="00AC6004" w:rsidRDefault="00AC6004" w:rsidP="00961131"/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0E84"/>
    <w:multiLevelType w:val="multilevel"/>
    <w:tmpl w:val="1FE63B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709591E"/>
    <w:multiLevelType w:val="multilevel"/>
    <w:tmpl w:val="24ECF2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73F35A8"/>
    <w:multiLevelType w:val="multilevel"/>
    <w:tmpl w:val="921250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A9F3446"/>
    <w:multiLevelType w:val="multilevel"/>
    <w:tmpl w:val="86ECACB6"/>
    <w:lvl w:ilvl="0">
      <w:start w:val="1"/>
      <w:numFmt w:val="bullet"/>
      <w:pStyle w:val="3-BodyBullet1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  <w:color w:val="363C4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5202E8E"/>
    <w:multiLevelType w:val="multilevel"/>
    <w:tmpl w:val="012C3D9E"/>
    <w:lvl w:ilvl="0">
      <w:start w:val="1"/>
      <w:numFmt w:val="decimal"/>
      <w:pStyle w:val="ListParagraph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72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72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72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72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72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720"/>
      </w:pPr>
    </w:lvl>
  </w:abstractNum>
  <w:abstractNum w:abstractNumId="5" w15:restartNumberingAfterBreak="0">
    <w:nsid w:val="464F0BBA"/>
    <w:multiLevelType w:val="multilevel"/>
    <w:tmpl w:val="272894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6DE7881"/>
    <w:multiLevelType w:val="multilevel"/>
    <w:tmpl w:val="921250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0F47677"/>
    <w:multiLevelType w:val="multilevel"/>
    <w:tmpl w:val="921250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B617C7A"/>
    <w:multiLevelType w:val="hybridMultilevel"/>
    <w:tmpl w:val="45043A2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2571573">
    <w:abstractNumId w:val="3"/>
  </w:num>
  <w:num w:numId="2" w16cid:durableId="1759521518">
    <w:abstractNumId w:val="4"/>
  </w:num>
  <w:num w:numId="3" w16cid:durableId="5080594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885549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4647347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77035416">
    <w:abstractNumId w:val="8"/>
  </w:num>
  <w:num w:numId="7" w16cid:durableId="1178884513">
    <w:abstractNumId w:val="5"/>
  </w:num>
  <w:num w:numId="8" w16cid:durableId="1525745188">
    <w:abstractNumId w:val="1"/>
  </w:num>
  <w:num w:numId="9" w16cid:durableId="688528181">
    <w:abstractNumId w:val="0"/>
  </w:num>
  <w:num w:numId="10" w16cid:durableId="1081608844">
    <w:abstractNumId w:val="6"/>
  </w:num>
  <w:num w:numId="11" w16cid:durableId="2130272349">
    <w:abstractNumId w:val="7"/>
  </w:num>
  <w:num w:numId="12" w16cid:durableId="610430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5C8"/>
    <w:rsid w:val="000B77D4"/>
    <w:rsid w:val="00104D69"/>
    <w:rsid w:val="00105C75"/>
    <w:rsid w:val="00112727"/>
    <w:rsid w:val="001150E9"/>
    <w:rsid w:val="00147982"/>
    <w:rsid w:val="002375C8"/>
    <w:rsid w:val="002B3E0C"/>
    <w:rsid w:val="00324259"/>
    <w:rsid w:val="00350AC5"/>
    <w:rsid w:val="00376208"/>
    <w:rsid w:val="0048354A"/>
    <w:rsid w:val="004F237D"/>
    <w:rsid w:val="00534F39"/>
    <w:rsid w:val="00536C0A"/>
    <w:rsid w:val="00544EB2"/>
    <w:rsid w:val="005657B2"/>
    <w:rsid w:val="00577CAE"/>
    <w:rsid w:val="005B7A82"/>
    <w:rsid w:val="00602B05"/>
    <w:rsid w:val="00615A41"/>
    <w:rsid w:val="006C45A6"/>
    <w:rsid w:val="00707E12"/>
    <w:rsid w:val="007165D6"/>
    <w:rsid w:val="007355CD"/>
    <w:rsid w:val="00787390"/>
    <w:rsid w:val="007A6058"/>
    <w:rsid w:val="007E0B22"/>
    <w:rsid w:val="007E6B2A"/>
    <w:rsid w:val="0082774E"/>
    <w:rsid w:val="00847663"/>
    <w:rsid w:val="008A3565"/>
    <w:rsid w:val="008B46BB"/>
    <w:rsid w:val="00914571"/>
    <w:rsid w:val="00924C84"/>
    <w:rsid w:val="00961131"/>
    <w:rsid w:val="00A20F82"/>
    <w:rsid w:val="00A3013A"/>
    <w:rsid w:val="00AC6004"/>
    <w:rsid w:val="00B04E99"/>
    <w:rsid w:val="00B56A2F"/>
    <w:rsid w:val="00C351B6"/>
    <w:rsid w:val="00C50551"/>
    <w:rsid w:val="00C5653E"/>
    <w:rsid w:val="00C73DE1"/>
    <w:rsid w:val="00C90697"/>
    <w:rsid w:val="00C91814"/>
    <w:rsid w:val="00D14563"/>
    <w:rsid w:val="00D44002"/>
    <w:rsid w:val="00D55096"/>
    <w:rsid w:val="00D71983"/>
    <w:rsid w:val="00DD5188"/>
    <w:rsid w:val="00E40EB5"/>
    <w:rsid w:val="00EB7B3B"/>
    <w:rsid w:val="00F83861"/>
    <w:rsid w:val="00F94AA7"/>
    <w:rsid w:val="00FA5DD9"/>
    <w:rsid w:val="00FE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AF825B"/>
  <w15:docId w15:val="{C76BBE21-2656-F14D-9BCE-81517664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before="120" w:after="120"/>
        <w:ind w:right="1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FE3C76"/>
    <w:pPr>
      <w:ind w:left="360"/>
    </w:pPr>
    <w:rPr>
      <w:rFonts w:asciiTheme="minorHAnsi" w:hAnsiTheme="minorHAnsi" w:cstheme="minorHAnsi"/>
      <w:bCs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EB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 w:val="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4AA7"/>
    <w:pPr>
      <w:keepNext/>
      <w:keepLines/>
      <w:spacing w:before="40" w:after="0"/>
      <w:outlineLvl w:val="2"/>
    </w:pPr>
    <w:rPr>
      <w:rFonts w:ascii="Inter Light" w:eastAsiaTheme="majorEastAsia" w:hAnsi="Inter Light" w:cstheme="majorBidi"/>
      <w:color w:val="808080" w:themeColor="text1" w:themeShade="80"/>
      <w:sz w:val="24"/>
      <w:szCs w:val="24"/>
    </w:rPr>
  </w:style>
  <w:style w:type="paragraph" w:styleId="Heading4">
    <w:name w:val="heading 4"/>
    <w:aliases w:val="Subhead"/>
    <w:basedOn w:val="Normal"/>
    <w:next w:val="Normal"/>
    <w:uiPriority w:val="9"/>
    <w:unhideWhenUsed/>
    <w:qFormat/>
    <w:rsid w:val="00961131"/>
    <w:pPr>
      <w:keepNext/>
      <w:keepLines/>
      <w:spacing w:before="240" w:after="40"/>
      <w:outlineLvl w:val="3"/>
    </w:pPr>
    <w:rPr>
      <w:bCs w:val="0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4AA7"/>
    <w:pPr>
      <w:pBdr>
        <w:bottom w:val="single" w:sz="8" w:space="4" w:color="02C8FF" w:themeColor="accent1"/>
      </w:pBdr>
      <w:spacing w:after="300"/>
      <w:contextualSpacing/>
    </w:pPr>
    <w:rPr>
      <w:rFonts w:asciiTheme="majorHAnsi" w:eastAsiaTheme="majorEastAsia" w:hAnsiTheme="majorHAnsi" w:cstheme="majorBidi"/>
      <w:color w:val="000000" w:themeColor="background1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761E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link w:val="FooterChar"/>
    <w:uiPriority w:val="99"/>
    <w:unhideWhenUsed/>
    <w:rsid w:val="00982073"/>
    <w:pPr>
      <w:tabs>
        <w:tab w:val="left" w:pos="1080"/>
        <w:tab w:val="center" w:pos="5400"/>
        <w:tab w:val="right" w:pos="9180"/>
      </w:tabs>
      <w:spacing w:after="40"/>
      <w:jc w:val="both"/>
    </w:pPr>
    <w:rPr>
      <w:sz w:val="14"/>
      <w:szCs w:val="14"/>
    </w:rPr>
  </w:style>
  <w:style w:type="character" w:customStyle="1" w:styleId="FooterChar">
    <w:name w:val="Footer Char"/>
    <w:basedOn w:val="DefaultParagraphFont"/>
    <w:link w:val="Footer"/>
    <w:uiPriority w:val="99"/>
    <w:rsid w:val="00982073"/>
    <w:rPr>
      <w:rFonts w:ascii="Arial" w:hAnsi="Arial"/>
      <w:sz w:val="14"/>
      <w:szCs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344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443"/>
    <w:rPr>
      <w:rFonts w:ascii="Lucida Grande" w:hAnsi="Lucida Grande" w:cs="Lucida Grande"/>
      <w:sz w:val="18"/>
      <w:szCs w:val="18"/>
    </w:rPr>
  </w:style>
  <w:style w:type="paragraph" w:customStyle="1" w:styleId="DocumentType">
    <w:name w:val="Document Type"/>
    <w:basedOn w:val="Normal"/>
    <w:qFormat/>
    <w:rsid w:val="00F94AA7"/>
    <w:pPr>
      <w:jc w:val="right"/>
    </w:pPr>
    <w:rPr>
      <w:b/>
      <w:caps/>
      <w:color w:val="000000" w:themeColor="background1"/>
      <w:spacing w:val="10"/>
      <w:sz w:val="16"/>
      <w:szCs w:val="16"/>
    </w:rPr>
  </w:style>
  <w:style w:type="paragraph" w:customStyle="1" w:styleId="HeaderTitle">
    <w:name w:val="Header Title"/>
    <w:qFormat/>
    <w:rsid w:val="00376208"/>
    <w:pPr>
      <w:ind w:left="360"/>
    </w:pPr>
    <w:rPr>
      <w:rFonts w:asciiTheme="majorHAnsi" w:hAnsiTheme="majorHAnsi" w:cstheme="majorHAnsi"/>
      <w:b/>
      <w:color w:val="FFFFFF" w:themeColor="text1"/>
      <w:sz w:val="40"/>
      <w:szCs w:val="16"/>
    </w:rPr>
  </w:style>
  <w:style w:type="paragraph" w:styleId="ListParagraph">
    <w:name w:val="List Paragraph"/>
    <w:basedOn w:val="Normal"/>
    <w:next w:val="Normal"/>
    <w:uiPriority w:val="34"/>
    <w:qFormat/>
    <w:rsid w:val="00350AC5"/>
    <w:pPr>
      <w:numPr>
        <w:numId w:val="2"/>
      </w:numPr>
      <w:ind w:right="-40"/>
      <w:contextualSpacing/>
    </w:pPr>
  </w:style>
  <w:style w:type="paragraph" w:customStyle="1" w:styleId="3-BodyBullet1">
    <w:name w:val="3- Body Bullet 1"/>
    <w:qFormat/>
    <w:rsid w:val="00105C75"/>
    <w:pPr>
      <w:numPr>
        <w:numId w:val="1"/>
      </w:numPr>
      <w:spacing w:after="80"/>
    </w:pPr>
    <w:rPr>
      <w:rFonts w:asciiTheme="minorHAnsi" w:hAnsiTheme="minorHAnsi" w:cstheme="minorHAns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414F25"/>
    <w:rPr>
      <w:rFonts w:ascii="Arial" w:hAnsi="Arial"/>
      <w:b w:val="0"/>
      <w:i w:val="0"/>
      <w:sz w:val="16"/>
    </w:rPr>
  </w:style>
  <w:style w:type="character" w:styleId="Hyperlink">
    <w:name w:val="Hyperlink"/>
    <w:uiPriority w:val="99"/>
    <w:unhideWhenUsed/>
    <w:rsid w:val="00F94AA7"/>
    <w:rPr>
      <w:color w:val="0A60FF" w:themeColor="accent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57D85"/>
    <w:rPr>
      <w:color w:val="BBC1C9" w:themeColor="followedHyperlink"/>
      <w:u w:val="single"/>
    </w:rPr>
  </w:style>
  <w:style w:type="paragraph" w:customStyle="1" w:styleId="4-TableHeader">
    <w:name w:val="4- Table Header"/>
    <w:basedOn w:val="Normal"/>
    <w:qFormat/>
    <w:rsid w:val="007E0B22"/>
    <w:pPr>
      <w:tabs>
        <w:tab w:val="left" w:pos="4800"/>
      </w:tabs>
      <w:spacing w:before="0" w:after="0"/>
      <w:ind w:right="288"/>
      <w:jc w:val="center"/>
    </w:pPr>
    <w:rPr>
      <w:rFonts w:asciiTheme="majorHAnsi" w:hAnsiTheme="majorHAnsi" w:cstheme="majorHAnsi"/>
      <w:b/>
      <w:color w:val="000000" w:themeColor="background1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rsid w:val="00896526"/>
    <w:rPr>
      <w:i/>
      <w:iCs/>
      <w:color w:val="FFFFFF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E40EB5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0EB5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F94AA7"/>
    <w:rPr>
      <w:rFonts w:asciiTheme="majorHAnsi" w:eastAsiaTheme="majorEastAsia" w:hAnsiTheme="majorHAnsi" w:cstheme="majorBidi"/>
      <w:bCs/>
      <w:color w:val="000000" w:themeColor="background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AA7"/>
    <w:pPr>
      <w:spacing w:before="0" w:after="0"/>
      <w:ind w:left="0" w:right="0"/>
      <w:jc w:val="center"/>
    </w:pPr>
    <w:rPr>
      <w:b/>
      <w:bCs w:val="0"/>
      <w:sz w:val="60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94AA7"/>
    <w:rPr>
      <w:rFonts w:asciiTheme="minorHAnsi" w:hAnsiTheme="minorHAnsi" w:cstheme="minorHAnsi"/>
      <w:b/>
      <w:sz w:val="60"/>
      <w:szCs w:val="60"/>
    </w:rPr>
  </w:style>
  <w:style w:type="character" w:styleId="SubtleEmphasis">
    <w:name w:val="Subtle Emphasis"/>
    <w:basedOn w:val="DefaultParagraphFont"/>
    <w:uiPriority w:val="19"/>
    <w:rsid w:val="00896526"/>
    <w:rPr>
      <w:i/>
      <w:iCs/>
      <w:color w:val="FFFFFF" w:themeColor="text1" w:themeTint="7F"/>
    </w:rPr>
  </w:style>
  <w:style w:type="character" w:customStyle="1" w:styleId="QuoteChar">
    <w:name w:val="Quote Char"/>
    <w:basedOn w:val="DefaultParagraphFont"/>
    <w:link w:val="Quote"/>
    <w:uiPriority w:val="29"/>
    <w:rsid w:val="00896526"/>
    <w:rPr>
      <w:i/>
      <w:iCs/>
      <w:color w:val="FFFFFF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F94AA7"/>
    <w:pPr>
      <w:pBdr>
        <w:bottom w:val="single" w:sz="4" w:space="4" w:color="02C8FF" w:themeColor="accent1"/>
      </w:pBdr>
      <w:spacing w:before="200" w:after="280"/>
      <w:ind w:left="936" w:right="936"/>
    </w:pPr>
    <w:rPr>
      <w:b/>
      <w:bCs w:val="0"/>
      <w:i/>
      <w:iCs/>
      <w:color w:val="808080" w:themeColor="tex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AA7"/>
    <w:rPr>
      <w:rFonts w:asciiTheme="minorHAnsi" w:hAnsiTheme="minorHAnsi" w:cstheme="minorHAnsi"/>
      <w:b/>
      <w:i/>
      <w:iCs/>
      <w:color w:val="808080" w:themeColor="text1" w:themeShade="80"/>
    </w:rPr>
  </w:style>
  <w:style w:type="character" w:styleId="SubtleReference">
    <w:name w:val="Subtle Reference"/>
    <w:basedOn w:val="DefaultParagraphFont"/>
    <w:uiPriority w:val="31"/>
    <w:rsid w:val="00687172"/>
    <w:rPr>
      <w:smallCaps/>
      <w:color w:val="F1F4FA" w:themeColor="text2"/>
      <w:u w:val="single"/>
    </w:rPr>
  </w:style>
  <w:style w:type="paragraph" w:customStyle="1" w:styleId="4-TableBody">
    <w:name w:val="4- Table Body"/>
    <w:basedOn w:val="Normal"/>
    <w:qFormat/>
    <w:rsid w:val="00F94AA7"/>
    <w:pPr>
      <w:tabs>
        <w:tab w:val="left" w:pos="4800"/>
      </w:tabs>
      <w:spacing w:before="0" w:after="60"/>
      <w:ind w:left="144" w:right="144"/>
      <w:jc w:val="center"/>
    </w:pPr>
    <w:rPr>
      <w:color w:val="000000" w:themeColor="background1"/>
      <w:sz w:val="16"/>
      <w:szCs w:val="18"/>
    </w:rPr>
  </w:style>
  <w:style w:type="table" w:customStyle="1" w:styleId="5-Table">
    <w:name w:val="5- Table"/>
    <w:basedOn w:val="TableGrid"/>
    <w:uiPriority w:val="99"/>
    <w:rsid w:val="002C062C"/>
    <w:pPr>
      <w:jc w:val="center"/>
    </w:pPr>
    <w:rPr>
      <w:sz w:val="18"/>
    </w:rPr>
    <w:tblPr>
      <w:tblStyleRowBandSize w:val="1"/>
    </w:tblPr>
    <w:tcPr>
      <w:shd w:val="clear" w:color="auto" w:fill="auto"/>
    </w:tcPr>
    <w:tblStylePr w:type="firstRow">
      <w:rPr>
        <w:rFonts w:ascii="Arial" w:hAnsi="Arial"/>
        <w:b/>
        <w:i w:val="0"/>
        <w:sz w:val="20"/>
      </w:rPr>
    </w:tblStylePr>
    <w:tblStylePr w:type="band1Horz">
      <w:rPr>
        <w:rFonts w:ascii="Arial" w:hAnsi="Arial"/>
        <w:sz w:val="18"/>
      </w:rPr>
    </w:tblStylePr>
    <w:tblStylePr w:type="band2Horz">
      <w:rPr>
        <w:rFonts w:ascii="Arial" w:hAnsi="Arial"/>
        <w:b w:val="0"/>
        <w:i w:val="0"/>
        <w:color w:val="FFFFFF" w:themeColor="text1"/>
        <w:sz w:val="18"/>
      </w:rPr>
    </w:tblStylePr>
  </w:style>
  <w:style w:type="table" w:customStyle="1" w:styleId="4-TableBody2">
    <w:name w:val="4-Table Body 2"/>
    <w:basedOn w:val="TableNormal"/>
    <w:uiPriority w:val="99"/>
    <w:rsid w:val="002C062C"/>
    <w:tblPr>
      <w:tblStyleRowBandSize w:val="1"/>
      <w:tblStyleColBandSize w:val="1"/>
    </w:tblPr>
    <w:tblStylePr w:type="firstRow">
      <w:rPr>
        <w:rFonts w:ascii="Arial" w:hAnsi="Arial"/>
        <w:b/>
        <w:i w:val="0"/>
        <w:color w:val="000000" w:themeColor="background1"/>
        <w:sz w:val="20"/>
      </w:rPr>
      <w:tblPr/>
      <w:tcPr>
        <w:shd w:val="clear" w:color="auto" w:fill="000000" w:themeFill="background1" w:themeFillShade="80"/>
      </w:tcPr>
    </w:tblStylePr>
    <w:tblStylePr w:type="band1Horz">
      <w:rPr>
        <w:rFonts w:ascii="Arial" w:hAnsi="Arial"/>
        <w:b w:val="0"/>
        <w:i w:val="0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 w:themeFillShade="BF"/>
      </w:tcPr>
    </w:tblStylePr>
    <w:tblStylePr w:type="band2Horz">
      <w:rPr>
        <w:rFonts w:ascii="Arial" w:hAnsi="Arial"/>
        <w:b w:val="0"/>
        <w:i w:val="0"/>
        <w:color w:val="FFFFFF" w:themeColor="text1"/>
        <w:sz w:val="18"/>
      </w:rPr>
      <w:tblPr/>
      <w:tcPr>
        <w:shd w:val="clear" w:color="auto" w:fill="000000" w:themeFill="background1"/>
      </w:tcPr>
    </w:tblStylePr>
  </w:style>
  <w:style w:type="table" w:customStyle="1" w:styleId="4-Table">
    <w:name w:val="4- Table"/>
    <w:basedOn w:val="TableNormal"/>
    <w:uiPriority w:val="99"/>
    <w:rsid w:val="002C062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="60" w:beforeAutospacing="0" w:afterLines="0" w:after="60" w:afterAutospacing="0"/>
      </w:pPr>
      <w:rPr>
        <w:rFonts w:ascii="Arial" w:hAnsi="Arial"/>
        <w:b/>
        <w:i w:val="0"/>
        <w:color w:val="000000" w:themeColor="background1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000000" w:themeFill="background1" w:themeFillShade="80"/>
      </w:tcPr>
    </w:tblStylePr>
    <w:tblStylePr w:type="band1Horz">
      <w:pPr>
        <w:wordWrap/>
        <w:spacing w:beforeLines="0" w:before="60" w:beforeAutospacing="0" w:afterLines="60" w:after="60" w:afterAutospacing="0"/>
      </w:pPr>
      <w:rPr>
        <w:rFonts w:ascii="Arial" w:hAnsi="Arial"/>
        <w:b w:val="0"/>
        <w:i w:val="0"/>
        <w:color w:val="FFFFFF" w:themeColor="text1"/>
        <w:sz w:val="18"/>
      </w:rPr>
      <w:tblPr/>
      <w:tcPr>
        <w:shd w:val="clear" w:color="auto" w:fill="000000" w:themeFill="background1"/>
      </w:tcPr>
    </w:tblStylePr>
    <w:tblStylePr w:type="band2Horz">
      <w:pPr>
        <w:wordWrap/>
        <w:spacing w:beforeLines="0" w:before="60" w:beforeAutospacing="0" w:afterLines="0" w:after="60" w:afterAutospacing="0"/>
      </w:pPr>
      <w:rPr>
        <w:rFonts w:ascii="Arial" w:hAnsi="Arial"/>
        <w:b w:val="0"/>
        <w:i w:val="0"/>
        <w:sz w:val="18"/>
      </w:rPr>
      <w:tblPr/>
      <w:tcPr>
        <w:shd w:val="clear" w:color="auto" w:fill="000000" w:themeFill="background1" w:themeFillShade="BF"/>
      </w:tcPr>
    </w:tblStylePr>
  </w:style>
  <w:style w:type="table" w:styleId="GridTable1Light-Accent1">
    <w:name w:val="Grid Table 1 Light Accent 1"/>
    <w:basedOn w:val="TableNormal"/>
    <w:uiPriority w:val="46"/>
    <w:rsid w:val="00C351B6"/>
    <w:pPr>
      <w:spacing w:after="0"/>
    </w:pPr>
    <w:tblPr>
      <w:tblStyleRowBandSize w:val="1"/>
      <w:tblStyleColBandSize w:val="1"/>
      <w:tblBorders>
        <w:top w:val="single" w:sz="4" w:space="0" w:color="99E8FF" w:themeColor="accent1" w:themeTint="66"/>
        <w:left w:val="single" w:sz="4" w:space="0" w:color="99E8FF" w:themeColor="accent1" w:themeTint="66"/>
        <w:bottom w:val="single" w:sz="4" w:space="0" w:color="99E8FF" w:themeColor="accent1" w:themeTint="66"/>
        <w:right w:val="single" w:sz="4" w:space="0" w:color="99E8FF" w:themeColor="accent1" w:themeTint="66"/>
        <w:insideH w:val="single" w:sz="4" w:space="0" w:color="99E8FF" w:themeColor="accent1" w:themeTint="66"/>
        <w:insideV w:val="single" w:sz="4" w:space="0" w:color="99E8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DD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DD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-OverviewTable">
    <w:name w:val="4- Overview Table"/>
    <w:basedOn w:val="4-Table"/>
    <w:uiPriority w:val="99"/>
    <w:rsid w:val="0035200C"/>
    <w:pPr>
      <w:ind w:left="288" w:right="288"/>
    </w:pPr>
    <w:tblPr/>
    <w:tblStylePr w:type="firstRow">
      <w:pPr>
        <w:wordWrap/>
        <w:spacing w:beforeLines="0" w:before="60" w:beforeAutospacing="0" w:afterLines="0" w:after="60" w:afterAutospacing="0"/>
      </w:pPr>
      <w:rPr>
        <w:rFonts w:ascii="Arial" w:hAnsi="Arial"/>
        <w:b/>
        <w:i w:val="0"/>
        <w:color w:val="000000" w:themeColor="background1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FFFF" w:themeFill="text1"/>
      </w:tcPr>
    </w:tblStylePr>
    <w:tblStylePr w:type="band1Horz">
      <w:pPr>
        <w:wordWrap/>
        <w:spacing w:beforeLines="0" w:before="60" w:beforeAutospacing="0" w:afterLines="60" w:after="60" w:afterAutospacing="0"/>
      </w:pPr>
      <w:rPr>
        <w:rFonts w:ascii="Arial" w:hAnsi="Arial"/>
        <w:b w:val="0"/>
        <w:i w:val="0"/>
        <w:color w:val="FFFFFF" w:themeColor="text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 w:themeFill="background1" w:themeFillShade="BF"/>
      </w:tcPr>
    </w:tblStylePr>
    <w:tblStylePr w:type="band2Horz">
      <w:pPr>
        <w:wordWrap/>
        <w:spacing w:beforeLines="0" w:before="60" w:beforeAutospacing="0" w:afterLines="0" w:after="60" w:afterAutospacing="0"/>
      </w:pPr>
      <w:rPr>
        <w:rFonts w:ascii="Arial" w:hAnsi="Arial"/>
        <w:b w:val="0"/>
        <w:i w:val="0"/>
        <w:sz w:val="18"/>
      </w:rPr>
      <w:tblPr/>
      <w:tcPr>
        <w:shd w:val="clear" w:color="auto" w:fill="000000" w:themeFill="background1" w:themeFillShade="BF"/>
      </w:tcPr>
    </w:tblStylePr>
  </w:style>
  <w:style w:type="table" w:customStyle="1" w:styleId="4-TablePromoBox">
    <w:name w:val="4- Table Promo Box"/>
    <w:basedOn w:val="4-OverviewTable"/>
    <w:uiPriority w:val="99"/>
    <w:rsid w:val="0011369B"/>
    <w:rPr>
      <w:color w:val="FFFFFF" w:themeColor="text1"/>
    </w:rPr>
    <w:tblPr/>
    <w:tcPr>
      <w:shd w:val="clear" w:color="auto" w:fill="000000" w:themeFill="background1" w:themeFillShade="BF"/>
    </w:tcPr>
    <w:tblStylePr w:type="firstRow">
      <w:pPr>
        <w:wordWrap/>
        <w:spacing w:beforeLines="0" w:before="60" w:beforeAutospacing="0" w:afterLines="0" w:after="60" w:afterAutospacing="0"/>
      </w:pPr>
      <w:rPr>
        <w:rFonts w:ascii="Arial" w:hAnsi="Arial"/>
        <w:b/>
        <w:i w:val="0"/>
        <w:color w:val="000000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 w:themeFill="background1" w:themeFillShade="BF"/>
      </w:tcPr>
    </w:tblStylePr>
    <w:tblStylePr w:type="band1Horz">
      <w:pPr>
        <w:wordWrap/>
        <w:spacing w:beforeLines="0" w:before="60" w:beforeAutospacing="0" w:afterLines="60" w:after="60" w:afterAutospacing="0"/>
      </w:pPr>
      <w:rPr>
        <w:rFonts w:ascii="Arial" w:hAnsi="Arial"/>
        <w:b w:val="0"/>
        <w:i w:val="0"/>
        <w:color w:val="FFFFFF" w:themeColor="text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 w:themeFill="background1" w:themeFillShade="BF"/>
      </w:tcPr>
    </w:tblStylePr>
    <w:tblStylePr w:type="band2Horz">
      <w:pPr>
        <w:wordWrap/>
        <w:spacing w:beforeLines="0" w:before="60" w:beforeAutospacing="0" w:afterLines="0" w:after="60" w:afterAutospacing="0"/>
      </w:pPr>
      <w:rPr>
        <w:rFonts w:ascii="Arial" w:hAnsi="Arial"/>
        <w:b w:val="0"/>
        <w:i w:val="0"/>
        <w:sz w:val="18"/>
      </w:rPr>
      <w:tblPr/>
      <w:tcPr>
        <w:shd w:val="clear" w:color="auto" w:fill="000000" w:themeFill="background1" w:themeFillShade="B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63E2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3E2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3E2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3E2B"/>
    <w:rPr>
      <w:b/>
      <w:bCs w:val="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3E2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63E2B"/>
  </w:style>
  <w:style w:type="paragraph" w:styleId="NormalWeb">
    <w:name w:val="Normal (Web)"/>
    <w:basedOn w:val="Normal"/>
    <w:uiPriority w:val="99"/>
    <w:semiHidden/>
    <w:unhideWhenUsed/>
    <w:rsid w:val="00102024"/>
    <w:rPr>
      <w:rFonts w:ascii="Times New Roman" w:hAnsi="Times New Roman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C5AB5"/>
    <w:rPr>
      <w:sz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C5AB5"/>
    <w:rPr>
      <w:rFonts w:ascii="Arial" w:hAnsi="Arial" w:cs="Arial"/>
    </w:rPr>
  </w:style>
  <w:style w:type="character" w:styleId="EndnoteReference">
    <w:name w:val="endnote reference"/>
    <w:basedOn w:val="DefaultParagraphFont"/>
    <w:uiPriority w:val="99"/>
    <w:unhideWhenUsed/>
    <w:rsid w:val="00AC5AB5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rsid w:val="00F94AA7"/>
    <w:rPr>
      <w:rFonts w:ascii="Inter Light" w:eastAsiaTheme="majorEastAsia" w:hAnsi="Inter Light" w:cstheme="majorBidi"/>
      <w:bCs/>
      <w:color w:val="808080" w:themeColor="text1" w:themeShade="80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687172"/>
    <w:rPr>
      <w:color w:val="605E5C"/>
      <w:shd w:val="clear" w:color="auto" w:fill="E1DFDD"/>
    </w:rPr>
  </w:style>
  <w:style w:type="table" w:styleId="GridTable5Dark-Accent3">
    <w:name w:val="Grid Table 5 Dark Accent 3"/>
    <w:basedOn w:val="TableNormal"/>
    <w:uiPriority w:val="50"/>
    <w:rsid w:val="00360369"/>
    <w:tblPr>
      <w:tblStyleRowBandSize w:val="1"/>
      <w:tblStyleColBandSize w:val="1"/>
      <w:tblBorders>
        <w:top w:val="single" w:sz="4" w:space="0" w:color="000000" w:themeColor="background1"/>
        <w:left w:val="single" w:sz="4" w:space="0" w:color="000000" w:themeColor="background1"/>
        <w:bottom w:val="single" w:sz="4" w:space="0" w:color="000000" w:themeColor="background1"/>
        <w:right w:val="single" w:sz="4" w:space="0" w:color="000000" w:themeColor="background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FCCE5" w:themeFill="accent3" w:themeFillTint="33"/>
    </w:tcPr>
    <w:tblStylePr w:type="firstRow">
      <w:rPr>
        <w:b/>
        <w:bCs/>
        <w:color w:val="000000" w:themeColor="background1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right w:val="single" w:sz="4" w:space="0" w:color="000000" w:themeColor="background1"/>
          <w:insideH w:val="nil"/>
          <w:insideV w:val="nil"/>
        </w:tcBorders>
        <w:shd w:val="clear" w:color="auto" w:fill="FF007F" w:themeFill="accent3"/>
      </w:tcPr>
    </w:tblStylePr>
    <w:tblStylePr w:type="lastRow">
      <w:rPr>
        <w:b/>
        <w:bCs/>
        <w:color w:val="000000" w:themeColor="background1"/>
      </w:rPr>
      <w:tblPr/>
      <w:tcPr>
        <w:tcBorders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/>
          <w:insideV w:val="nil"/>
        </w:tcBorders>
        <w:shd w:val="clear" w:color="auto" w:fill="FF007F" w:themeFill="accent3"/>
      </w:tcPr>
    </w:tblStylePr>
    <w:tblStylePr w:type="firstCol">
      <w:rPr>
        <w:b/>
        <w:bCs/>
        <w:color w:val="000000" w:themeColor="background1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insideV w:val="nil"/>
        </w:tcBorders>
        <w:shd w:val="clear" w:color="auto" w:fill="FF007F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top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V w:val="nil"/>
        </w:tcBorders>
        <w:shd w:val="clear" w:color="auto" w:fill="FF007F" w:themeFill="accent3"/>
      </w:tcPr>
    </w:tblStylePr>
    <w:tblStylePr w:type="band1Vert">
      <w:tblPr/>
      <w:tcPr>
        <w:shd w:val="clear" w:color="auto" w:fill="FF99CB" w:themeFill="accent3" w:themeFillTint="66"/>
      </w:tcPr>
    </w:tblStylePr>
    <w:tblStylePr w:type="band1Horz">
      <w:tblPr/>
      <w:tcPr>
        <w:shd w:val="clear" w:color="auto" w:fill="FF99CB" w:themeFill="accent3" w:themeFillTint="66"/>
      </w:tcPr>
    </w:tblStylePr>
  </w:style>
  <w:style w:type="table" w:customStyle="1" w:styleId="a">
    <w:basedOn w:val="TableNormal"/>
    <w:pPr>
      <w:ind w:left="288" w:right="288"/>
      <w:jc w:val="center"/>
    </w:pPr>
    <w:rPr>
      <w:color w:val="000000"/>
      <w:sz w:val="18"/>
      <w:szCs w:val="18"/>
    </w:rPr>
    <w:tblPr>
      <w:tblStyleRowBandSize w:val="1"/>
      <w:tblStyleColBandSize w:val="1"/>
      <w:tblCellMar>
        <w:top w:w="14" w:type="dxa"/>
        <w:left w:w="86" w:type="dxa"/>
        <w:bottom w:w="14" w:type="dxa"/>
        <w:right w:w="86" w:type="dxa"/>
      </w:tblCellMar>
    </w:tblPr>
    <w:tcPr>
      <w:shd w:val="clear" w:color="auto" w:fill="FCF6D0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0D318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0D318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0D318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0D318"/>
      </w:tcPr>
    </w:tblStylePr>
    <w:tblStylePr w:type="band1Vert">
      <w:tblPr/>
      <w:tcPr>
        <w:shd w:val="clear" w:color="auto" w:fill="F8EDA2"/>
      </w:tcPr>
    </w:tblStylePr>
    <w:tblStylePr w:type="band1Horz">
      <w:tblPr/>
      <w:tcPr>
        <w:shd w:val="clear" w:color="auto" w:fill="F8EDA2"/>
      </w:tcPr>
    </w:tblStylePr>
  </w:style>
  <w:style w:type="paragraph" w:customStyle="1" w:styleId="BodyNormal">
    <w:name w:val="Body (Normal)"/>
    <w:basedOn w:val="Normal"/>
    <w:qFormat/>
    <w:rsid w:val="00350AC5"/>
  </w:style>
  <w:style w:type="table" w:styleId="GridTable4-Accent6">
    <w:name w:val="Grid Table 4 Accent 6"/>
    <w:basedOn w:val="TableNormal"/>
    <w:uiPriority w:val="49"/>
    <w:rsid w:val="00C351B6"/>
    <w:pPr>
      <w:spacing w:after="0"/>
    </w:pPr>
    <w:tblPr>
      <w:tblStyleRowBandSize w:val="1"/>
      <w:tblStyleColBandSize w:val="1"/>
      <w:tblBorders>
        <w:top w:val="single" w:sz="4" w:space="0" w:color="3C5B97" w:themeColor="accent6" w:themeTint="99"/>
        <w:left w:val="single" w:sz="4" w:space="0" w:color="3C5B97" w:themeColor="accent6" w:themeTint="99"/>
        <w:bottom w:val="single" w:sz="4" w:space="0" w:color="3C5B97" w:themeColor="accent6" w:themeTint="99"/>
        <w:right w:val="single" w:sz="4" w:space="0" w:color="3C5B97" w:themeColor="accent6" w:themeTint="99"/>
        <w:insideH w:val="single" w:sz="4" w:space="0" w:color="3C5B97" w:themeColor="accent6" w:themeTint="99"/>
        <w:insideV w:val="single" w:sz="4" w:space="0" w:color="3C5B97" w:themeColor="accent6" w:themeTint="99"/>
      </w:tblBorders>
    </w:tblPr>
    <w:tblStylePr w:type="firstRow">
      <w:rPr>
        <w:b/>
        <w:bCs/>
        <w:color w:val="000000" w:themeColor="background1"/>
      </w:rPr>
      <w:tblPr/>
      <w:tcPr>
        <w:tcBorders>
          <w:top w:val="single" w:sz="4" w:space="0" w:color="04060A" w:themeColor="accent6"/>
          <w:left w:val="single" w:sz="4" w:space="0" w:color="04060A" w:themeColor="accent6"/>
          <w:bottom w:val="single" w:sz="4" w:space="0" w:color="04060A" w:themeColor="accent6"/>
          <w:right w:val="single" w:sz="4" w:space="0" w:color="04060A" w:themeColor="accent6"/>
          <w:insideH w:val="nil"/>
          <w:insideV w:val="nil"/>
        </w:tcBorders>
        <w:shd w:val="clear" w:color="auto" w:fill="04060A" w:themeFill="accent6"/>
      </w:tcPr>
    </w:tblStylePr>
    <w:tblStylePr w:type="lastRow">
      <w:rPr>
        <w:b/>
        <w:bCs/>
      </w:rPr>
      <w:tblPr/>
      <w:tcPr>
        <w:tcBorders>
          <w:top w:val="double" w:sz="4" w:space="0" w:color="04060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C6E2" w:themeFill="accent6" w:themeFillTint="33"/>
      </w:tcPr>
    </w:tblStylePr>
    <w:tblStylePr w:type="band1Horz">
      <w:tblPr/>
      <w:tcPr>
        <w:shd w:val="clear" w:color="auto" w:fill="B8C6E2" w:themeFill="accent6" w:themeFillTint="33"/>
      </w:tcPr>
    </w:tblStylePr>
  </w:style>
  <w:style w:type="table" w:styleId="GridTable4-Accent1">
    <w:name w:val="Grid Table 4 Accent 1"/>
    <w:basedOn w:val="TableNormal"/>
    <w:uiPriority w:val="49"/>
    <w:rsid w:val="00C351B6"/>
    <w:pPr>
      <w:spacing w:after="0"/>
    </w:pPr>
    <w:tblPr>
      <w:tblStyleRowBandSize w:val="1"/>
      <w:tblStyleColBandSize w:val="1"/>
      <w:tblBorders>
        <w:top w:val="single" w:sz="4" w:space="0" w:color="67DDFF" w:themeColor="accent1" w:themeTint="99"/>
        <w:left w:val="single" w:sz="4" w:space="0" w:color="67DDFF" w:themeColor="accent1" w:themeTint="99"/>
        <w:bottom w:val="single" w:sz="4" w:space="0" w:color="67DDFF" w:themeColor="accent1" w:themeTint="99"/>
        <w:right w:val="single" w:sz="4" w:space="0" w:color="67DDFF" w:themeColor="accent1" w:themeTint="99"/>
        <w:insideH w:val="single" w:sz="4" w:space="0" w:color="67DDFF" w:themeColor="accent1" w:themeTint="99"/>
        <w:insideV w:val="single" w:sz="4" w:space="0" w:color="67DDFF" w:themeColor="accent1" w:themeTint="99"/>
      </w:tblBorders>
    </w:tblPr>
    <w:tblStylePr w:type="firstRow">
      <w:rPr>
        <w:b/>
        <w:bCs/>
        <w:color w:val="000000" w:themeColor="background1"/>
      </w:rPr>
      <w:tblPr/>
      <w:tcPr>
        <w:tcBorders>
          <w:top w:val="single" w:sz="4" w:space="0" w:color="02C8FF" w:themeColor="accent1"/>
          <w:left w:val="single" w:sz="4" w:space="0" w:color="02C8FF" w:themeColor="accent1"/>
          <w:bottom w:val="single" w:sz="4" w:space="0" w:color="02C8FF" w:themeColor="accent1"/>
          <w:right w:val="single" w:sz="4" w:space="0" w:color="02C8FF" w:themeColor="accent1"/>
          <w:insideH w:val="nil"/>
          <w:insideV w:val="nil"/>
        </w:tcBorders>
        <w:shd w:val="clear" w:color="auto" w:fill="02C8FF" w:themeFill="accent1"/>
      </w:tcPr>
    </w:tblStylePr>
    <w:tblStylePr w:type="lastRow">
      <w:rPr>
        <w:b/>
        <w:bCs/>
      </w:rPr>
      <w:tblPr/>
      <w:tcPr>
        <w:tcBorders>
          <w:top w:val="double" w:sz="4" w:space="0" w:color="02C8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3FF" w:themeFill="accent1" w:themeFillTint="33"/>
      </w:tcPr>
    </w:tblStylePr>
    <w:tblStylePr w:type="band1Horz">
      <w:tblPr/>
      <w:tcPr>
        <w:shd w:val="clear" w:color="auto" w:fill="CCF3FF" w:themeFill="accent1" w:themeFillTint="33"/>
      </w:tcPr>
    </w:tblStylePr>
  </w:style>
  <w:style w:type="table" w:styleId="GridTable3-Accent6">
    <w:name w:val="Grid Table 3 Accent 6"/>
    <w:basedOn w:val="TableNormal"/>
    <w:uiPriority w:val="48"/>
    <w:rsid w:val="00C351B6"/>
    <w:pPr>
      <w:spacing w:after="0"/>
    </w:pPr>
    <w:tblPr>
      <w:tblStyleRowBandSize w:val="1"/>
      <w:tblStyleColBandSize w:val="1"/>
      <w:tblBorders>
        <w:top w:val="single" w:sz="4" w:space="0" w:color="3C5B97" w:themeColor="accent6" w:themeTint="99"/>
        <w:left w:val="single" w:sz="4" w:space="0" w:color="3C5B97" w:themeColor="accent6" w:themeTint="99"/>
        <w:bottom w:val="single" w:sz="4" w:space="0" w:color="3C5B97" w:themeColor="accent6" w:themeTint="99"/>
        <w:right w:val="single" w:sz="4" w:space="0" w:color="3C5B97" w:themeColor="accent6" w:themeTint="99"/>
        <w:insideH w:val="single" w:sz="4" w:space="0" w:color="3C5B97" w:themeColor="accent6" w:themeTint="99"/>
        <w:insideV w:val="single" w:sz="4" w:space="0" w:color="3C5B9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shd w:val="clear" w:color="auto" w:fill="B8C6E2" w:themeFill="accent6" w:themeFillTint="33"/>
      </w:tcPr>
    </w:tblStylePr>
    <w:tblStylePr w:type="band1Horz">
      <w:tblPr/>
      <w:tcPr>
        <w:shd w:val="clear" w:color="auto" w:fill="B8C6E2" w:themeFill="accent6" w:themeFillTint="33"/>
      </w:tcPr>
    </w:tblStylePr>
    <w:tblStylePr w:type="neCell">
      <w:tblPr/>
      <w:tcPr>
        <w:tcBorders>
          <w:bottom w:val="single" w:sz="4" w:space="0" w:color="3C5B97" w:themeColor="accent6" w:themeTint="99"/>
        </w:tcBorders>
      </w:tcPr>
    </w:tblStylePr>
    <w:tblStylePr w:type="nwCell">
      <w:tblPr/>
      <w:tcPr>
        <w:tcBorders>
          <w:bottom w:val="single" w:sz="4" w:space="0" w:color="3C5B97" w:themeColor="accent6" w:themeTint="99"/>
        </w:tcBorders>
      </w:tcPr>
    </w:tblStylePr>
    <w:tblStylePr w:type="seCell">
      <w:tblPr/>
      <w:tcPr>
        <w:tcBorders>
          <w:top w:val="single" w:sz="4" w:space="0" w:color="3C5B97" w:themeColor="accent6" w:themeTint="99"/>
        </w:tcBorders>
      </w:tcPr>
    </w:tblStylePr>
    <w:tblStylePr w:type="swCell">
      <w:tblPr/>
      <w:tcPr>
        <w:tcBorders>
          <w:top w:val="single" w:sz="4" w:space="0" w:color="3C5B97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56A2F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B56A2F"/>
    <w:rPr>
      <w:rFonts w:asciiTheme="minorHAnsi" w:hAnsiTheme="minorHAnsi" w:cstheme="minorHAnsi"/>
      <w:bCs/>
    </w:rPr>
  </w:style>
  <w:style w:type="paragraph" w:customStyle="1" w:styleId="PageTitle">
    <w:name w:val="Page Title"/>
    <w:basedOn w:val="Normal"/>
    <w:qFormat/>
    <w:rsid w:val="00A20F82"/>
    <w:pPr>
      <w:spacing w:before="480" w:after="480"/>
      <w:ind w:left="0" w:right="0"/>
      <w:jc w:val="center"/>
    </w:pPr>
    <w:rPr>
      <w:b/>
      <w:bCs w:val="0"/>
      <w:sz w:val="72"/>
      <w:szCs w:val="72"/>
    </w:rPr>
  </w:style>
  <w:style w:type="paragraph" w:customStyle="1" w:styleId="NormalBold">
    <w:name w:val="Normal Bold"/>
    <w:basedOn w:val="Normal"/>
    <w:qFormat/>
    <w:rsid w:val="00B56A2F"/>
    <w:pPr>
      <w:jc w:val="center"/>
    </w:pPr>
    <w:rPr>
      <w:b/>
      <w:bCs w:val="0"/>
    </w:rPr>
  </w:style>
  <w:style w:type="paragraph" w:styleId="TOC2">
    <w:name w:val="toc 2"/>
    <w:basedOn w:val="Normal"/>
    <w:next w:val="Normal"/>
    <w:autoRedefine/>
    <w:uiPriority w:val="39"/>
    <w:unhideWhenUsed/>
    <w:rsid w:val="007A6058"/>
    <w:pPr>
      <w:tabs>
        <w:tab w:val="right" w:leader="dot" w:pos="11078"/>
      </w:tabs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2375C8"/>
    <w:pPr>
      <w:spacing w:after="100"/>
      <w:ind w:left="400"/>
    </w:pPr>
  </w:style>
  <w:style w:type="paragraph" w:styleId="TOC1">
    <w:name w:val="toc 1"/>
    <w:basedOn w:val="Normal"/>
    <w:next w:val="Normal"/>
    <w:autoRedefine/>
    <w:uiPriority w:val="39"/>
    <w:unhideWhenUsed/>
    <w:rsid w:val="002375C8"/>
    <w:pPr>
      <w:spacing w:after="10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s://show.splunk.com" TargetMode="External"/><Relationship Id="rId17" Type="http://schemas.openxmlformats.org/officeDocument/2006/relationships/image" Target="media/image4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plunk.com/en_us/sign-up.html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how.splunk.com/" TargetMode="External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header" Target="header2.xml"/><Relationship Id="rId10" Type="http://schemas.openxmlformats.org/officeDocument/2006/relationships/hyperlink" Target="https://www.splunk.com/en_us/sign-up.html" TargetMode="Externa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hyperlink" Target="https://show.splunk.com/" TargetMode="External"/><Relationship Id="rId14" Type="http://schemas.openxmlformats.org/officeDocument/2006/relationships/image" Target="media/image2.png"/><Relationship Id="rId22" Type="http://schemas.openxmlformats.org/officeDocument/2006/relationships/footer" Target="footer2.xml"/><Relationship Id="rId27" Type="http://schemas.openxmlformats.org/officeDocument/2006/relationships/theme" Target="theme/theme1.xml"/><Relationship Id="rId28" Type="http://schemas.openxmlformats.org/officeDocument/2006/relationships/header" Target="header4.xml"/><Relationship Id="rId29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rlarkman/Library/Group%20Containers/UBF8T346G9.Office/User%20Content.localized/Templates.localized/26_Splunk-MS%20Word-Template%20with%20Cover.dotx" TargetMode="External"/></Relationships>
</file>

<file path=word/theme/theme1.xml><?xml version="1.0" encoding="utf-8"?>
<a:theme xmlns:a="http://schemas.openxmlformats.org/drawingml/2006/main" name="Splunk Template_Dark">
  <a:themeElements>
    <a:clrScheme name="Splunk Template_Dark">
      <a:dk1>
        <a:srgbClr val="FFFFFF"/>
      </a:dk1>
      <a:lt1>
        <a:srgbClr val="000000"/>
      </a:lt1>
      <a:dk2>
        <a:srgbClr val="F1F4FA"/>
      </a:dk2>
      <a:lt2>
        <a:srgbClr val="04060A"/>
      </a:lt2>
      <a:accent1>
        <a:srgbClr val="02C8FF"/>
      </a:accent1>
      <a:accent2>
        <a:srgbClr val="0A60FF"/>
      </a:accent2>
      <a:accent3>
        <a:srgbClr val="FF007F"/>
      </a:accent3>
      <a:accent4>
        <a:srgbClr val="FF9000"/>
      </a:accent4>
      <a:accent5>
        <a:srgbClr val="E9EDF4"/>
      </a:accent5>
      <a:accent6>
        <a:srgbClr val="04060A"/>
      </a:accent6>
      <a:hlink>
        <a:srgbClr val="FFFFFF"/>
      </a:hlink>
      <a:folHlink>
        <a:srgbClr val="BBC1C9"/>
      </a:folHlink>
    </a:clrScheme>
    <a:fontScheme name="Splunk_Inter_04-14-2026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 flip="none" rotWithShape="1">
          <a:gsLst>
            <a:gs pos="28000">
              <a:schemeClr val="accent4"/>
            </a:gs>
            <a:gs pos="93000">
              <a:schemeClr val="accent3"/>
            </a:gs>
          </a:gsLst>
          <a:lin ang="10800000" scaled="1"/>
          <a:tileRect/>
        </a:gradFill>
        <a:ln w="15875">
          <a:solidFill>
            <a:schemeClr val="bg2"/>
          </a:solidFill>
        </a:ln>
        <a:effectLst/>
      </a:spPr>
      <a:bodyPr wrap="square" lIns="182880" tIns="182880" rIns="182880" bIns="182880" rtlCol="0" anchor="t" anchorCtr="0">
        <a:noAutofit/>
      </a:bodyPr>
      <a:lstStyle>
        <a:defPPr marL="182880" indent="-182880" algn="l">
          <a:buFont typeface="Arial" panose="020B0604020202020204" pitchFamily="34" charset="0"/>
          <a:buChar char="•"/>
          <a:defRPr sz="1600" dirty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marL="182880" indent="-182880" algn="l" defTabSz="912276" rtl="0" eaLnBrk="1" fontAlgn="base" hangingPunct="1">
          <a:lnSpc>
            <a:spcPct val="100000"/>
          </a:lnSpc>
          <a:spcBef>
            <a:spcPts val="0"/>
          </a:spcBef>
          <a:spcAft>
            <a:spcPts val="1000"/>
          </a:spcAft>
          <a:buClr>
            <a:schemeClr val="bg1"/>
          </a:buClr>
          <a:buSzPct val="100000"/>
          <a:buFont typeface="Arial" panose="020B0604020202020204" pitchFamily="34" charset="0"/>
          <a:buChar char="•"/>
          <a:defRPr sz="1600" kern="1200" dirty="0" err="1" smtClean="0">
            <a:solidFill>
              <a:schemeClr val="bg1"/>
            </a:solidFill>
            <a:latin typeface="+mn-lt"/>
            <a:ea typeface="ＭＳ Ｐゴシック" charset="0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Splunk Template_Dark_v01" id="{E1E416F2-8496-E64A-ABEE-6ACF473C74AB}" vid="{4058415D-C24A-1D4A-9477-403718F65C20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FSJr4rPRSkFZiM97dCDjRnbzww==">CgMxLjA4AHIhMUx5T0EzMXN0OTBDZGlES2I1dlFkbTJuVlItWmktM0Nn</go:docsCustomData>
</go:gDocsCustomXmlDataStorage>
</file>

<file path=customXml/itemProps1.xml><?xml version="1.0" encoding="utf-8"?>
<ds:datastoreItem xmlns:ds="http://schemas.openxmlformats.org/officeDocument/2006/customXml" ds:itemID="{C5541070-D69F-7747-81DD-C4588934B6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26_Splunk-MS Word-Template with Cover.dotx</Template>
  <TotalTime>52</TotalTime>
  <Pages>1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Splunk</dc:creator>
  <cp:lastModifiedBy>Rob Larkman (rlarkman)</cp:lastModifiedBy>
  <cp:revision>3</cp:revision>
  <dcterms:created xsi:type="dcterms:W3CDTF">2026-05-20T10:24:00Z</dcterms:created>
  <dcterms:modified xsi:type="dcterms:W3CDTF">2026-06-02T16:31:00Z</dcterms:modified>
  <dc:title>OBS1184 Advanced Collector Delta Workshop Skeleton</dc:title>
  <dc:subject>Single-agent OpenTelemetry Collector workshop flow</dc:subject>
  <cp:keywords>OpenTelemetry Collector, Splunk Observability Cloud, workshop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1857653c,54c59ff9,5f96968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  <property fmtid="{D5CDD505-2E9C-101B-9397-08002B2CF9AE}" pid="5" name="MSIP_Label_c8f49a32-fde3-48a5-9266-b5b0972a22dc_Enabled">
    <vt:lpwstr>true</vt:lpwstr>
  </property>
  <property fmtid="{D5CDD505-2E9C-101B-9397-08002B2CF9AE}" pid="6" name="MSIP_Label_c8f49a32-fde3-48a5-9266-b5b0972a22dc_SetDate">
    <vt:lpwstr>2025-10-02T20:54:53Z</vt:lpwstr>
  </property>
  <property fmtid="{D5CDD505-2E9C-101B-9397-08002B2CF9AE}" pid="7" name="MSIP_Label_c8f49a32-fde3-48a5-9266-b5b0972a22dc_Method">
    <vt:lpwstr>Standard</vt:lpwstr>
  </property>
  <property fmtid="{D5CDD505-2E9C-101B-9397-08002B2CF9AE}" pid="8" name="MSIP_Label_c8f49a32-fde3-48a5-9266-b5b0972a22dc_Name">
    <vt:lpwstr>Cisco Confidential</vt:lpwstr>
  </property>
  <property fmtid="{D5CDD505-2E9C-101B-9397-08002B2CF9AE}" pid="9" name="MSIP_Label_c8f49a32-fde3-48a5-9266-b5b0972a22dc_SiteId">
    <vt:lpwstr>5ae1af62-9505-4097-a69a-c1553ef7840e</vt:lpwstr>
  </property>
  <property fmtid="{D5CDD505-2E9C-101B-9397-08002B2CF9AE}" pid="10" name="MSIP_Label_c8f49a32-fde3-48a5-9266-b5b0972a22dc_ActionId">
    <vt:lpwstr>38cf233b-20fd-403f-a23b-361aac4f4c7f</vt:lpwstr>
  </property>
  <property fmtid="{D5CDD505-2E9C-101B-9397-08002B2CF9AE}" pid="11" name="MSIP_Label_c8f49a32-fde3-48a5-9266-b5b0972a22dc_ContentBits">
    <vt:lpwstr>2</vt:lpwstr>
  </property>
  <property fmtid="{D5CDD505-2E9C-101B-9397-08002B2CF9AE}" pid="12" name="MSIP_Label_c8f49a32-fde3-48a5-9266-b5b0972a22dc_Tag">
    <vt:lpwstr>50, 3, 0, 1</vt:lpwstr>
  </property>
</Properties>
</file>