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DF94" w14:textId="77777777" w:rsidR="006D42D2" w:rsidRPr="00962350" w:rsidRDefault="006D42D2" w:rsidP="000E68B9">
      <w:pPr>
        <w:pStyle w:val="Title"/>
        <w:spacing w:after="0"/>
        <w:rPr>
          <w:rFonts w:ascii="Times New Roman" w:hAnsi="Times New Roman" w:cs="Times New Roman"/>
        </w:rPr>
      </w:pPr>
      <w:r w:rsidRPr="00962350">
        <w:rPr>
          <w:rFonts w:ascii="Times New Roman" w:hAnsi="Times New Roman" w:cs="Times New Roman"/>
        </w:rPr>
        <w:t>Dollar Weaponization and Offshore RMB Markets: High-Frequency Evidence from the 2022 Russia Sanctions</w:t>
      </w:r>
    </w:p>
    <w:p w14:paraId="1491154F" w14:textId="53640326" w:rsidR="006D42D2" w:rsidRPr="00BC56E2" w:rsidRDefault="006D42D2" w:rsidP="000E68B9">
      <w:pPr>
        <w:pStyle w:val="Subtitle"/>
        <w:spacing w:after="0" w:line="240" w:lineRule="auto"/>
        <w:rPr>
          <w:rFonts w:ascii="Times New Roman" w:hAnsi="Times New Roman" w:cs="Times New Roman"/>
          <w:sz w:val="32"/>
          <w:szCs w:val="32"/>
        </w:rPr>
      </w:pPr>
      <w:r w:rsidRPr="00BC56E2">
        <w:rPr>
          <w:rStyle w:val="Strong"/>
          <w:rFonts w:ascii="Times New Roman" w:hAnsi="Times New Roman" w:cs="Times New Roman"/>
          <w:b w:val="0"/>
          <w:bCs w:val="0"/>
          <w:sz w:val="32"/>
          <w:szCs w:val="32"/>
        </w:rPr>
        <w:t>Sean P</w:t>
      </w:r>
      <w:r w:rsidR="00387722" w:rsidRPr="00BC56E2">
        <w:rPr>
          <w:rStyle w:val="Strong"/>
          <w:rFonts w:ascii="Times New Roman" w:hAnsi="Times New Roman" w:cs="Times New Roman"/>
          <w:b w:val="0"/>
          <w:bCs w:val="0"/>
          <w:sz w:val="32"/>
          <w:szCs w:val="32"/>
        </w:rPr>
        <w:t>atrick Milligan</w:t>
      </w:r>
    </w:p>
    <w:p w14:paraId="56DE153A" w14:textId="77777777" w:rsidR="000E68B9" w:rsidRDefault="000E68B9" w:rsidP="000E68B9">
      <w:pPr>
        <w:spacing w:after="0" w:line="240" w:lineRule="auto"/>
        <w:rPr>
          <w:rStyle w:val="Strong"/>
          <w:rFonts w:ascii="Times New Roman" w:hAnsi="Times New Roman" w:cs="Times New Roman"/>
          <w:sz w:val="28"/>
          <w:szCs w:val="28"/>
        </w:rPr>
      </w:pPr>
    </w:p>
    <w:p w14:paraId="1CEB2F99" w14:textId="74EA2D70" w:rsidR="006D42D2" w:rsidRPr="00BC56E2" w:rsidRDefault="006D42D2" w:rsidP="000E68B9">
      <w:pPr>
        <w:spacing w:after="0" w:line="240" w:lineRule="auto"/>
        <w:rPr>
          <w:rStyle w:val="Strong"/>
          <w:rFonts w:ascii="Times New Roman" w:hAnsi="Times New Roman" w:cs="Times New Roman"/>
          <w:sz w:val="28"/>
          <w:szCs w:val="28"/>
        </w:rPr>
      </w:pPr>
      <w:r w:rsidRPr="00BC56E2">
        <w:rPr>
          <w:rStyle w:val="Strong"/>
          <w:rFonts w:ascii="Times New Roman" w:hAnsi="Times New Roman" w:cs="Times New Roman"/>
          <w:sz w:val="28"/>
          <w:szCs w:val="28"/>
        </w:rPr>
        <w:t>Abstract</w:t>
      </w:r>
    </w:p>
    <w:p w14:paraId="436F4EE0" w14:textId="77777777" w:rsidR="00C4200B" w:rsidRDefault="006D42D2" w:rsidP="000E68B9">
      <w:pPr>
        <w:spacing w:after="0" w:line="240" w:lineRule="auto"/>
        <w:rPr>
          <w:rFonts w:ascii="Times New Roman" w:hAnsi="Times New Roman" w:cs="Times New Roman"/>
        </w:rPr>
      </w:pPr>
      <w:r w:rsidRPr="00962350">
        <w:rPr>
          <w:rFonts w:ascii="Times New Roman" w:hAnsi="Times New Roman" w:cs="Times New Roman"/>
        </w:rPr>
        <w:t>I examine whether the February 2022 Russia sanctions shock</w:t>
      </w:r>
      <w:r w:rsidR="00962350">
        <w:rPr>
          <w:rFonts w:ascii="Times New Roman" w:hAnsi="Times New Roman" w:cs="Times New Roman"/>
        </w:rPr>
        <w:t>,</w:t>
      </w:r>
      <w:r w:rsidRPr="00962350">
        <w:rPr>
          <w:rFonts w:ascii="Times New Roman" w:hAnsi="Times New Roman" w:cs="Times New Roman"/>
        </w:rPr>
        <w:t xml:space="preserve"> the largest peacetime asset freeze in history</w:t>
      </w:r>
      <w:r w:rsidR="00962350">
        <w:rPr>
          <w:rFonts w:ascii="Times New Roman" w:hAnsi="Times New Roman" w:cs="Times New Roman"/>
        </w:rPr>
        <w:t>,</w:t>
      </w:r>
      <w:r w:rsidRPr="00962350">
        <w:rPr>
          <w:rFonts w:ascii="Times New Roman" w:hAnsi="Times New Roman" w:cs="Times New Roman"/>
        </w:rPr>
        <w:t xml:space="preserve"> caused a permanent structural shift in offshore renminbi (RMB) market conditions. </w:t>
      </w:r>
    </w:p>
    <w:p w14:paraId="5B3DD8C9" w14:textId="77777777" w:rsidR="000E68B9" w:rsidRDefault="000E68B9" w:rsidP="000E68B9">
      <w:pPr>
        <w:spacing w:after="0" w:line="240" w:lineRule="auto"/>
        <w:rPr>
          <w:rFonts w:ascii="Times New Roman" w:hAnsi="Times New Roman" w:cs="Times New Roman"/>
        </w:rPr>
      </w:pPr>
    </w:p>
    <w:p w14:paraId="212047B9" w14:textId="10FC0AC5" w:rsidR="00C11C69" w:rsidRDefault="0D91DD1A" w:rsidP="000E68B9">
      <w:pPr>
        <w:spacing w:after="0" w:line="240" w:lineRule="auto"/>
        <w:rPr>
          <w:rFonts w:ascii="Times New Roman" w:hAnsi="Times New Roman" w:cs="Times New Roman"/>
        </w:rPr>
      </w:pPr>
      <w:r w:rsidRPr="5DB5AC94">
        <w:rPr>
          <w:rFonts w:ascii="Times New Roman" w:hAnsi="Times New Roman" w:cs="Times New Roman"/>
        </w:rPr>
        <w:t>T</w:t>
      </w:r>
      <w:r w:rsidR="0053029F" w:rsidRPr="5DB5AC94">
        <w:rPr>
          <w:rFonts w:ascii="Times New Roman" w:hAnsi="Times New Roman" w:cs="Times New Roman"/>
        </w:rPr>
        <w:t>his</w:t>
      </w:r>
      <w:r w:rsidR="0053029F">
        <w:rPr>
          <w:rFonts w:ascii="Times New Roman" w:hAnsi="Times New Roman" w:cs="Times New Roman"/>
        </w:rPr>
        <w:t xml:space="preserve"> project is designed to be the first of two analyses on the internationalization of the RMB from </w:t>
      </w:r>
      <w:r w:rsidR="00C11C69">
        <w:rPr>
          <w:rFonts w:ascii="Times New Roman" w:hAnsi="Times New Roman" w:cs="Times New Roman"/>
        </w:rPr>
        <w:t>mid</w:t>
      </w:r>
      <w:r w:rsidR="00971B7A">
        <w:rPr>
          <w:rFonts w:ascii="Times New Roman" w:hAnsi="Times New Roman" w:cs="Times New Roman"/>
        </w:rPr>
        <w:t>-</w:t>
      </w:r>
      <w:r w:rsidR="00C11C69">
        <w:rPr>
          <w:rFonts w:ascii="Times New Roman" w:hAnsi="Times New Roman" w:cs="Times New Roman"/>
        </w:rPr>
        <w:t xml:space="preserve">2010s to present day. </w:t>
      </w:r>
      <w:r w:rsidR="18496F0C" w:rsidRPr="46C390A2">
        <w:rPr>
          <w:rFonts w:ascii="Times New Roman" w:hAnsi="Times New Roman" w:cs="Times New Roman"/>
        </w:rPr>
        <w:t xml:space="preserve">The first phase </w:t>
      </w:r>
      <w:r w:rsidR="005F5C25" w:rsidRPr="72A5C93F">
        <w:rPr>
          <w:rFonts w:ascii="Times New Roman" w:hAnsi="Times New Roman" w:cs="Times New Roman"/>
        </w:rPr>
        <w:t>demonstrat</w:t>
      </w:r>
      <w:r w:rsidR="75CDC9B3" w:rsidRPr="72A5C93F">
        <w:rPr>
          <w:rFonts w:ascii="Times New Roman" w:hAnsi="Times New Roman" w:cs="Times New Roman"/>
        </w:rPr>
        <w:t>es</w:t>
      </w:r>
      <w:r w:rsidR="005F5C25">
        <w:rPr>
          <w:rFonts w:ascii="Times New Roman" w:hAnsi="Times New Roman" w:cs="Times New Roman"/>
        </w:rPr>
        <w:t xml:space="preserve"> </w:t>
      </w:r>
      <w:r w:rsidR="00971B7A">
        <w:rPr>
          <w:rFonts w:ascii="Times New Roman" w:hAnsi="Times New Roman" w:cs="Times New Roman"/>
        </w:rPr>
        <w:t>a shock occurred</w:t>
      </w:r>
      <w:r w:rsidR="004C090A">
        <w:rPr>
          <w:rFonts w:ascii="Times New Roman" w:hAnsi="Times New Roman" w:cs="Times New Roman"/>
        </w:rPr>
        <w:t xml:space="preserve"> (this research)</w:t>
      </w:r>
      <w:r w:rsidR="00971B7A">
        <w:rPr>
          <w:rFonts w:ascii="Times New Roman" w:hAnsi="Times New Roman" w:cs="Times New Roman"/>
        </w:rPr>
        <w:t xml:space="preserve">, </w:t>
      </w:r>
      <w:r w:rsidR="509C5940" w:rsidRPr="72A5C93F">
        <w:rPr>
          <w:rFonts w:ascii="Times New Roman" w:hAnsi="Times New Roman" w:cs="Times New Roman"/>
        </w:rPr>
        <w:t xml:space="preserve">the </w:t>
      </w:r>
      <w:r w:rsidR="00971B7A">
        <w:rPr>
          <w:rFonts w:ascii="Times New Roman" w:hAnsi="Times New Roman" w:cs="Times New Roman"/>
        </w:rPr>
        <w:t xml:space="preserve">second </w:t>
      </w:r>
      <w:r w:rsidR="07D11BB0" w:rsidRPr="4A1B4BB6">
        <w:rPr>
          <w:rFonts w:ascii="Times New Roman" w:hAnsi="Times New Roman" w:cs="Times New Roman"/>
        </w:rPr>
        <w:t>phase will e</w:t>
      </w:r>
      <w:r w:rsidR="00344ACC" w:rsidRPr="4A1B4BB6">
        <w:rPr>
          <w:rFonts w:ascii="Times New Roman" w:hAnsi="Times New Roman" w:cs="Times New Roman"/>
        </w:rPr>
        <w:t>xplor</w:t>
      </w:r>
      <w:r w:rsidR="09F00772" w:rsidRPr="4A1B4BB6">
        <w:rPr>
          <w:rFonts w:ascii="Times New Roman" w:hAnsi="Times New Roman" w:cs="Times New Roman"/>
        </w:rPr>
        <w:t>e</w:t>
      </w:r>
      <w:r w:rsidR="00971B7A">
        <w:rPr>
          <w:rFonts w:ascii="Times New Roman" w:hAnsi="Times New Roman" w:cs="Times New Roman"/>
        </w:rPr>
        <w:t xml:space="preserve"> how effective China’s policy of </w:t>
      </w:r>
      <w:r w:rsidR="00344ACC">
        <w:rPr>
          <w:rFonts w:ascii="Times New Roman" w:hAnsi="Times New Roman" w:cs="Times New Roman"/>
        </w:rPr>
        <w:t xml:space="preserve">currency </w:t>
      </w:r>
      <w:r w:rsidR="00971B7A">
        <w:rPr>
          <w:rFonts w:ascii="Times New Roman" w:hAnsi="Times New Roman" w:cs="Times New Roman"/>
        </w:rPr>
        <w:t>swaplines</w:t>
      </w:r>
      <w:r w:rsidR="00344ACC">
        <w:rPr>
          <w:rFonts w:ascii="Times New Roman" w:hAnsi="Times New Roman" w:cs="Times New Roman"/>
        </w:rPr>
        <w:t xml:space="preserve"> has been on mitigating this shock.</w:t>
      </w:r>
      <w:r w:rsidR="00971B7A">
        <w:rPr>
          <w:rFonts w:ascii="Times New Roman" w:hAnsi="Times New Roman" w:cs="Times New Roman"/>
        </w:rPr>
        <w:t xml:space="preserve"> </w:t>
      </w:r>
    </w:p>
    <w:p w14:paraId="3F93F5B5" w14:textId="77777777" w:rsidR="000E68B9" w:rsidRDefault="000E68B9" w:rsidP="000E68B9">
      <w:pPr>
        <w:spacing w:after="0" w:line="240" w:lineRule="auto"/>
        <w:rPr>
          <w:rFonts w:ascii="Times New Roman" w:hAnsi="Times New Roman" w:cs="Times New Roman"/>
        </w:rPr>
      </w:pPr>
    </w:p>
    <w:p w14:paraId="54664D3D" w14:textId="2EBCDC77" w:rsidR="00BC56E2"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Using daily </w:t>
      </w:r>
      <w:r w:rsidR="02128706" w:rsidRPr="7D47A581">
        <w:rPr>
          <w:rFonts w:ascii="Times New Roman" w:hAnsi="Times New Roman" w:cs="Times New Roman"/>
        </w:rPr>
        <w:t>trading</w:t>
      </w:r>
      <w:r w:rsidRPr="00962350">
        <w:rPr>
          <w:rFonts w:ascii="Times New Roman" w:hAnsi="Times New Roman" w:cs="Times New Roman"/>
        </w:rPr>
        <w:t xml:space="preserve"> data spanning January 2020 through December 2025 and AR(1)-GARCH(1,1) models with Student-t errors, I analyze two measures of offshore RMB pricing: the CNY-CNH spot spread and the SHIBOR-HIBOR interbank rate differential. </w:t>
      </w:r>
    </w:p>
    <w:p w14:paraId="4E55BCF5" w14:textId="77777777" w:rsidR="000E68B9" w:rsidRDefault="000E68B9" w:rsidP="000E68B9">
      <w:pPr>
        <w:spacing w:after="0" w:line="240" w:lineRule="auto"/>
        <w:rPr>
          <w:rFonts w:ascii="Times New Roman" w:hAnsi="Times New Roman" w:cs="Times New Roman"/>
        </w:rPr>
      </w:pPr>
    </w:p>
    <w:p w14:paraId="03AB2D17" w14:textId="6EB26EE8" w:rsidR="00BC56E2"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Results reveal a </w:t>
      </w:r>
      <w:r w:rsidR="00BC56E2">
        <w:rPr>
          <w:rFonts w:ascii="Times New Roman" w:hAnsi="Times New Roman" w:cs="Times New Roman"/>
        </w:rPr>
        <w:t>significant</w:t>
      </w:r>
      <w:r w:rsidRPr="00962350">
        <w:rPr>
          <w:rFonts w:ascii="Times New Roman" w:hAnsi="Times New Roman" w:cs="Times New Roman"/>
        </w:rPr>
        <w:t xml:space="preserve"> decomposition that the raw data obscures. The CNY-CNH spot spread shows no statistically significant sanctions effect once dollar strength is controlled for</w:t>
      </w:r>
      <w:r w:rsidR="00BC56E2">
        <w:rPr>
          <w:rFonts w:ascii="Times New Roman" w:hAnsi="Times New Roman" w:cs="Times New Roman"/>
        </w:rPr>
        <w:t>;</w:t>
      </w:r>
      <w:r w:rsidRPr="00962350">
        <w:rPr>
          <w:rFonts w:ascii="Times New Roman" w:hAnsi="Times New Roman" w:cs="Times New Roman"/>
        </w:rPr>
        <w:t xml:space="preserve"> the 2022 spot differential is fully explained by concurrent Federal Reserve tightening driving dollar appreciation. </w:t>
      </w:r>
    </w:p>
    <w:p w14:paraId="67692A9F" w14:textId="77777777" w:rsidR="000E68B9" w:rsidRDefault="000E68B9" w:rsidP="000E68B9">
      <w:pPr>
        <w:spacing w:after="0" w:line="240" w:lineRule="auto"/>
        <w:rPr>
          <w:rFonts w:ascii="Times New Roman" w:hAnsi="Times New Roman" w:cs="Times New Roman"/>
        </w:rPr>
      </w:pPr>
    </w:p>
    <w:p w14:paraId="2B2713C2" w14:textId="31DCF3D0"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 xml:space="preserve">The SHIBOR-HIBOR interbank differential shows highly significant permanent compression following both the announcement (β = −1.02 bps, p &lt; 0.001) and implementation (β = −0.78 bps, p &lt; 0.001) of sanctions, with dollar dynamics playing no role in this channel (DXY p = 0.615). Both models exhibit near-unit-root GARCH volatility persistence (α + β ≈ 1.00), indicating that pricing uncertainty in offshore RMB markets became structurally elevated and did not dissipate within the sample window. These findings suggest the 2022 sanctions affected offshore RMB markets specifically through the interbank funding channel, consistent with global institutions seeking offshore RMB liquidity as a dollar alternative, while spot exchange rate dynamics were dominated by monetary policy rather than </w:t>
      </w:r>
      <w:r w:rsidR="085C1D4C" w:rsidRPr="2DF4B9AA">
        <w:rPr>
          <w:rFonts w:ascii="Times New Roman" w:hAnsi="Times New Roman" w:cs="Times New Roman"/>
        </w:rPr>
        <w:t>exogenous</w:t>
      </w:r>
      <w:r w:rsidRPr="2DF4B9AA">
        <w:rPr>
          <w:rFonts w:ascii="Times New Roman" w:hAnsi="Times New Roman" w:cs="Times New Roman"/>
        </w:rPr>
        <w:t xml:space="preserve"> demand.</w:t>
      </w:r>
    </w:p>
    <w:p w14:paraId="30CC6FB6" w14:textId="77777777" w:rsidR="00472511" w:rsidRDefault="00472511" w:rsidP="000E68B9">
      <w:pPr>
        <w:spacing w:after="0" w:line="240" w:lineRule="auto"/>
        <w:rPr>
          <w:rFonts w:ascii="Times New Roman" w:hAnsi="Times New Roman" w:cs="Times New Roman"/>
          <w:b/>
          <w:bCs/>
        </w:rPr>
      </w:pPr>
    </w:p>
    <w:p w14:paraId="7B3CC509" w14:textId="77777777" w:rsidR="00472511" w:rsidRDefault="00472511" w:rsidP="000E68B9">
      <w:pPr>
        <w:spacing w:after="0" w:line="240" w:lineRule="auto"/>
        <w:rPr>
          <w:rFonts w:ascii="Times New Roman" w:hAnsi="Times New Roman" w:cs="Times New Roman"/>
          <w:b/>
          <w:bCs/>
        </w:rPr>
      </w:pPr>
    </w:p>
    <w:p w14:paraId="2D1765AB" w14:textId="77777777" w:rsidR="00472511" w:rsidRDefault="00472511" w:rsidP="000E68B9">
      <w:pPr>
        <w:spacing w:after="0" w:line="240" w:lineRule="auto"/>
        <w:rPr>
          <w:rFonts w:ascii="Times New Roman" w:hAnsi="Times New Roman" w:cs="Times New Roman"/>
          <w:b/>
          <w:bCs/>
        </w:rPr>
      </w:pPr>
    </w:p>
    <w:p w14:paraId="35339B00" w14:textId="77777777" w:rsidR="00472511" w:rsidRDefault="00472511" w:rsidP="000E68B9">
      <w:pPr>
        <w:spacing w:after="0" w:line="240" w:lineRule="auto"/>
        <w:rPr>
          <w:rFonts w:ascii="Times New Roman" w:hAnsi="Times New Roman" w:cs="Times New Roman"/>
          <w:b/>
          <w:bCs/>
        </w:rPr>
      </w:pPr>
    </w:p>
    <w:p w14:paraId="56C302A9" w14:textId="77777777" w:rsidR="00472511" w:rsidRDefault="00472511" w:rsidP="000E68B9">
      <w:pPr>
        <w:spacing w:after="0" w:line="240" w:lineRule="auto"/>
        <w:rPr>
          <w:rFonts w:ascii="Times New Roman" w:hAnsi="Times New Roman" w:cs="Times New Roman"/>
          <w:b/>
          <w:bCs/>
        </w:rPr>
      </w:pPr>
    </w:p>
    <w:p w14:paraId="3BA29327" w14:textId="77777777" w:rsidR="00472511" w:rsidRDefault="00472511" w:rsidP="000E68B9">
      <w:pPr>
        <w:spacing w:after="0" w:line="240" w:lineRule="auto"/>
        <w:rPr>
          <w:rFonts w:ascii="Times New Roman" w:hAnsi="Times New Roman" w:cs="Times New Roman"/>
          <w:b/>
          <w:bCs/>
        </w:rPr>
      </w:pPr>
    </w:p>
    <w:p w14:paraId="3F58DD6A" w14:textId="77777777" w:rsidR="00472511" w:rsidRDefault="00472511" w:rsidP="000E68B9">
      <w:pPr>
        <w:spacing w:after="0" w:line="240" w:lineRule="auto"/>
        <w:rPr>
          <w:rFonts w:ascii="Times New Roman" w:hAnsi="Times New Roman" w:cs="Times New Roman"/>
          <w:b/>
          <w:bCs/>
        </w:rPr>
      </w:pPr>
    </w:p>
    <w:p w14:paraId="71CE8B1B" w14:textId="77777777" w:rsidR="00472511" w:rsidRDefault="00472511" w:rsidP="000E68B9">
      <w:pPr>
        <w:spacing w:after="0" w:line="240" w:lineRule="auto"/>
        <w:rPr>
          <w:rFonts w:ascii="Times New Roman" w:hAnsi="Times New Roman" w:cs="Times New Roman"/>
          <w:b/>
          <w:bCs/>
        </w:rPr>
      </w:pPr>
    </w:p>
    <w:p w14:paraId="04F90208" w14:textId="77777777" w:rsidR="00472511" w:rsidRDefault="00472511" w:rsidP="000E68B9">
      <w:pPr>
        <w:spacing w:after="0" w:line="240" w:lineRule="auto"/>
        <w:rPr>
          <w:rFonts w:ascii="Times New Roman" w:hAnsi="Times New Roman" w:cs="Times New Roman"/>
          <w:b/>
          <w:bCs/>
        </w:rPr>
      </w:pPr>
    </w:p>
    <w:p w14:paraId="395D1764" w14:textId="77777777" w:rsidR="00472511" w:rsidRDefault="00472511" w:rsidP="000E68B9">
      <w:pPr>
        <w:spacing w:after="0" w:line="240" w:lineRule="auto"/>
        <w:rPr>
          <w:rFonts w:ascii="Times New Roman" w:hAnsi="Times New Roman" w:cs="Times New Roman"/>
          <w:b/>
          <w:bCs/>
        </w:rPr>
      </w:pPr>
    </w:p>
    <w:p w14:paraId="152DB772" w14:textId="5FCF9391"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lastRenderedPageBreak/>
        <w:t>1. Introduction</w:t>
      </w:r>
    </w:p>
    <w:p w14:paraId="7F545AD6" w14:textId="77777777" w:rsidR="00472511"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On February 26, 2022, the United States, European Union, and allied governments announced the freezing of approximately $300 billion in Russian central bank foreign exchange reserves. </w:t>
      </w:r>
    </w:p>
    <w:p w14:paraId="12A8B6BC" w14:textId="77777777" w:rsidR="00472511" w:rsidRDefault="00472511" w:rsidP="000E68B9">
      <w:pPr>
        <w:spacing w:after="0" w:line="240" w:lineRule="auto"/>
        <w:rPr>
          <w:rFonts w:ascii="Times New Roman" w:hAnsi="Times New Roman" w:cs="Times New Roman"/>
        </w:rPr>
      </w:pPr>
    </w:p>
    <w:p w14:paraId="15E34C36" w14:textId="5A549A2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Within days, major Russian banks were disconnected from SWIFT, Russia's sovereign wealth fund was frozen, and the ruble entered freefall. The event marked an unprecedented use of dollar-denominated financial infrastructure as </w:t>
      </w:r>
      <w:r w:rsidRPr="76F3D5A4">
        <w:rPr>
          <w:rFonts w:ascii="Times New Roman" w:hAnsi="Times New Roman" w:cs="Times New Roman"/>
        </w:rPr>
        <w:t>a</w:t>
      </w:r>
      <w:r w:rsidR="636CB5B5" w:rsidRPr="76F3D5A4">
        <w:rPr>
          <w:rFonts w:ascii="Times New Roman" w:hAnsi="Times New Roman" w:cs="Times New Roman"/>
        </w:rPr>
        <w:t>n</w:t>
      </w:r>
      <w:r w:rsidRPr="76F3D5A4">
        <w:rPr>
          <w:rFonts w:ascii="Times New Roman" w:hAnsi="Times New Roman" w:cs="Times New Roman"/>
        </w:rPr>
        <w:t xml:space="preserve"> </w:t>
      </w:r>
      <w:r w:rsidR="1995B446" w:rsidRPr="76F3D5A4">
        <w:rPr>
          <w:rFonts w:ascii="Times New Roman" w:hAnsi="Times New Roman" w:cs="Times New Roman"/>
        </w:rPr>
        <w:t>economic</w:t>
      </w:r>
      <w:r w:rsidRPr="00962350">
        <w:rPr>
          <w:rFonts w:ascii="Times New Roman" w:hAnsi="Times New Roman" w:cs="Times New Roman"/>
        </w:rPr>
        <w:t xml:space="preserve"> weapon</w:t>
      </w:r>
      <w:r w:rsidR="00676753">
        <w:rPr>
          <w:rFonts w:ascii="Times New Roman" w:hAnsi="Times New Roman" w:cs="Times New Roman"/>
        </w:rPr>
        <w:t>,</w:t>
      </w:r>
      <w:r w:rsidRPr="00962350">
        <w:rPr>
          <w:rFonts w:ascii="Times New Roman" w:hAnsi="Times New Roman" w:cs="Times New Roman"/>
        </w:rPr>
        <w:t xml:space="preserve"> and it was watched closely by every government that holds dollar reserves.</w:t>
      </w:r>
    </w:p>
    <w:p w14:paraId="07FE1199" w14:textId="77777777" w:rsidR="00472511" w:rsidRDefault="00472511" w:rsidP="000E68B9">
      <w:pPr>
        <w:spacing w:after="0" w:line="240" w:lineRule="auto"/>
        <w:rPr>
          <w:rFonts w:ascii="Times New Roman" w:hAnsi="Times New Roman" w:cs="Times New Roman"/>
        </w:rPr>
      </w:pPr>
    </w:p>
    <w:p w14:paraId="4BEF6525" w14:textId="5131F97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economic logic of a consequent shift toward offshore RMB is straightforward. If dollar reserves can be frozen unilaterally, the cost of holding dollars rises for any government that perceives itself as a potential future target. China's offshore RMB market</w:t>
      </w:r>
      <w:r w:rsidR="00676753">
        <w:rPr>
          <w:rFonts w:ascii="Times New Roman" w:hAnsi="Times New Roman" w:cs="Times New Roman"/>
        </w:rPr>
        <w:t>,</w:t>
      </w:r>
      <w:r w:rsidRPr="00962350">
        <w:rPr>
          <w:rFonts w:ascii="Times New Roman" w:hAnsi="Times New Roman" w:cs="Times New Roman"/>
        </w:rPr>
        <w:t xml:space="preserve"> centered in Hong Kong and accessible through PBOC bilateral currency swap lines</w:t>
      </w:r>
      <w:r w:rsidR="00676753">
        <w:rPr>
          <w:rFonts w:ascii="Times New Roman" w:hAnsi="Times New Roman" w:cs="Times New Roman"/>
        </w:rPr>
        <w:t>,</w:t>
      </w:r>
      <w:r w:rsidRPr="00962350">
        <w:rPr>
          <w:rFonts w:ascii="Times New Roman" w:hAnsi="Times New Roman" w:cs="Times New Roman"/>
        </w:rPr>
        <w:t xml:space="preserve"> offers the most developed alternative to dollar-denominated international finance. The question is whether the 2022 shock actually moved behavior in offshore RMB markets, or whether the widely discussed de-dollarization narrative is political commentary rather than financial reality.</w:t>
      </w:r>
    </w:p>
    <w:p w14:paraId="52CE6677" w14:textId="77777777" w:rsidR="00472511" w:rsidRDefault="00472511" w:rsidP="000E68B9">
      <w:pPr>
        <w:spacing w:after="0" w:line="240" w:lineRule="auto"/>
        <w:rPr>
          <w:rFonts w:ascii="Times New Roman" w:hAnsi="Times New Roman" w:cs="Times New Roman"/>
        </w:rPr>
      </w:pPr>
    </w:p>
    <w:p w14:paraId="2A33F50A" w14:textId="45330EDF" w:rsidR="00233011"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provides direct high-frequency financial market evidence on that question. I use two instruments that measure different dimensions of offshore RMB market conditions. The CNY-CNH spot spread captures whether offshore yuan is trading at a premium or discount to onshore yuan</w:t>
      </w:r>
      <w:r w:rsidR="00233011">
        <w:rPr>
          <w:rFonts w:ascii="Times New Roman" w:hAnsi="Times New Roman" w:cs="Times New Roman"/>
        </w:rPr>
        <w:t>,</w:t>
      </w:r>
      <w:r w:rsidRPr="00962350">
        <w:rPr>
          <w:rFonts w:ascii="Times New Roman" w:hAnsi="Times New Roman" w:cs="Times New Roman"/>
        </w:rPr>
        <w:t xml:space="preserve"> a measure of the price of offshore RMB access. The SHIBOR-HIBOR interbank rate differential captures whether offshore RMB borrowing costs have risen relative to onshore costs</w:t>
      </w:r>
      <w:r w:rsidR="00233011">
        <w:rPr>
          <w:rFonts w:ascii="Times New Roman" w:hAnsi="Times New Roman" w:cs="Times New Roman"/>
        </w:rPr>
        <w:t>,</w:t>
      </w:r>
      <w:r w:rsidRPr="00962350">
        <w:rPr>
          <w:rFonts w:ascii="Times New Roman" w:hAnsi="Times New Roman" w:cs="Times New Roman"/>
        </w:rPr>
        <w:t xml:space="preserve"> a measure of the cost of offshore RMB liquidity. </w:t>
      </w:r>
    </w:p>
    <w:p w14:paraId="7CFC96DE" w14:textId="77777777" w:rsidR="00472511" w:rsidRDefault="00472511" w:rsidP="000E68B9">
      <w:pPr>
        <w:spacing w:after="0" w:line="240" w:lineRule="auto"/>
        <w:rPr>
          <w:rFonts w:ascii="Times New Roman" w:hAnsi="Times New Roman" w:cs="Times New Roman"/>
        </w:rPr>
      </w:pPr>
    </w:p>
    <w:p w14:paraId="3A0818C1" w14:textId="4411E149"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If the sanctions shock created genuine demand for offshore RMB, both measures should show persistent compression following the shock, with offshore RMB becoming relatively more expensive than onshore.</w:t>
      </w:r>
    </w:p>
    <w:p w14:paraId="600FD7C5" w14:textId="77777777" w:rsidR="00472511" w:rsidRDefault="00472511" w:rsidP="000E68B9">
      <w:pPr>
        <w:spacing w:after="0" w:line="240" w:lineRule="auto"/>
        <w:rPr>
          <w:rFonts w:ascii="Times New Roman" w:hAnsi="Times New Roman" w:cs="Times New Roman"/>
        </w:rPr>
      </w:pPr>
    </w:p>
    <w:p w14:paraId="63AA758F" w14:textId="0134C25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results tell a more nuanced story than the raw data suggests, and the nuance is the contribution. Proper econometric controls</w:t>
      </w:r>
      <w:r w:rsidR="00233011">
        <w:rPr>
          <w:rFonts w:ascii="Times New Roman" w:hAnsi="Times New Roman" w:cs="Times New Roman"/>
        </w:rPr>
        <w:t>,</w:t>
      </w:r>
      <w:r w:rsidRPr="00962350">
        <w:rPr>
          <w:rFonts w:ascii="Times New Roman" w:hAnsi="Times New Roman" w:cs="Times New Roman"/>
        </w:rPr>
        <w:t xml:space="preserve"> particularly for concurrent dollar strength driven by Federal Reserve rate increases</w:t>
      </w:r>
      <w:r w:rsidR="00233011">
        <w:rPr>
          <w:rFonts w:ascii="Times New Roman" w:hAnsi="Times New Roman" w:cs="Times New Roman"/>
        </w:rPr>
        <w:t>,</w:t>
      </w:r>
      <w:r w:rsidRPr="00962350">
        <w:rPr>
          <w:rFonts w:ascii="Times New Roman" w:hAnsi="Times New Roman" w:cs="Times New Roman"/>
        </w:rPr>
        <w:t xml:space="preserve"> reveal that the two channels responded differently. The spot FX channel shows no sanctions effect independent of the dollar cycle. The interbank funding channel shows a highly robust and permanent sanctions effect that survives all controls. This channel decomposition is the finding: the 2022 shock worked through offshore RMB liquidity conditions, not spot exchange rate dynamics, and dollar monetary policy explains the rest.</w:t>
      </w:r>
    </w:p>
    <w:p w14:paraId="4F0733E7" w14:textId="77777777" w:rsidR="00472511" w:rsidRDefault="00472511" w:rsidP="000E68B9">
      <w:pPr>
        <w:spacing w:after="0" w:line="240" w:lineRule="auto"/>
        <w:rPr>
          <w:rFonts w:ascii="Times New Roman" w:hAnsi="Times New Roman" w:cs="Times New Roman"/>
        </w:rPr>
      </w:pPr>
    </w:p>
    <w:p w14:paraId="52C0EBC8" w14:textId="5AD596CE" w:rsidR="0024590C"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paper contributes to a small but growing empirical literature on RMB internationalization and dollar dominance. Bahaj and Reis (2026) demonstrate that PBOC bilateral currency swap lines causally increase RMB payment adoption using SWIFT microdata from 2009 to 2018, finding that swap lines increase the probability of RMB payment use by 14 percentage points. Chupilkin et al. (2023) document that the 2022 sanctions accelerated CNY invoicing in Russia's bilateral trade, with the effect amplified among countries holding active PBOC swap lines. </w:t>
      </w:r>
    </w:p>
    <w:p w14:paraId="71C1E5C0" w14:textId="77777777" w:rsidR="00472511" w:rsidRDefault="00472511" w:rsidP="000E68B9">
      <w:pPr>
        <w:spacing w:after="0" w:line="240" w:lineRule="auto"/>
        <w:rPr>
          <w:rFonts w:ascii="Times New Roman" w:hAnsi="Times New Roman" w:cs="Times New Roman"/>
        </w:rPr>
      </w:pPr>
    </w:p>
    <w:p w14:paraId="7B186C5B" w14:textId="77777777" w:rsidR="00472511" w:rsidRDefault="00472511" w:rsidP="000E68B9">
      <w:pPr>
        <w:spacing w:after="0" w:line="240" w:lineRule="auto"/>
        <w:rPr>
          <w:rFonts w:ascii="Times New Roman" w:hAnsi="Times New Roman" w:cs="Times New Roman"/>
        </w:rPr>
      </w:pPr>
    </w:p>
    <w:p w14:paraId="281B9378" w14:textId="77777777" w:rsidR="00472511" w:rsidRDefault="00472511" w:rsidP="000E68B9">
      <w:pPr>
        <w:spacing w:after="0" w:line="240" w:lineRule="auto"/>
        <w:rPr>
          <w:rFonts w:ascii="Times New Roman" w:hAnsi="Times New Roman" w:cs="Times New Roman"/>
        </w:rPr>
      </w:pPr>
    </w:p>
    <w:p w14:paraId="1D6CD9CD" w14:textId="7301D37F"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My contribution differs from both. Where Bahaj and Reis study long-run infrastructure effects and Chupilkin et al. study Russia-specific bilateral trade, I study the aggregate financial market response in offshore RMB pricing</w:t>
      </w:r>
      <w:r w:rsidR="0024590C">
        <w:rPr>
          <w:rFonts w:ascii="Times New Roman" w:hAnsi="Times New Roman" w:cs="Times New Roman"/>
        </w:rPr>
        <w:t>,</w:t>
      </w:r>
      <w:r w:rsidRPr="00962350">
        <w:rPr>
          <w:rFonts w:ascii="Times New Roman" w:hAnsi="Times New Roman" w:cs="Times New Roman"/>
        </w:rPr>
        <w:t xml:space="preserve"> whether the shock left a detectable and permanent signature in the high-frequency price data that global market participants observe in real time.</w:t>
      </w:r>
    </w:p>
    <w:p w14:paraId="73EC41B2" w14:textId="24D8CF95" w:rsidR="006D42D2" w:rsidRPr="00962350" w:rsidRDefault="006D42D2" w:rsidP="000E68B9">
      <w:pPr>
        <w:spacing w:after="0" w:line="240" w:lineRule="auto"/>
        <w:rPr>
          <w:rFonts w:ascii="Times New Roman" w:hAnsi="Times New Roman" w:cs="Times New Roman"/>
        </w:rPr>
      </w:pPr>
    </w:p>
    <w:p w14:paraId="49A13AA8"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2. Institutional Background</w:t>
      </w:r>
    </w:p>
    <w:p w14:paraId="65B63258" w14:textId="77777777" w:rsidR="00472511" w:rsidRDefault="00472511" w:rsidP="000E68B9">
      <w:pPr>
        <w:spacing w:after="0" w:line="240" w:lineRule="auto"/>
        <w:rPr>
          <w:rStyle w:val="Strong"/>
          <w:rFonts w:ascii="Times New Roman" w:hAnsi="Times New Roman" w:cs="Times New Roman"/>
        </w:rPr>
      </w:pPr>
    </w:p>
    <w:p w14:paraId="226DD0AA" w14:textId="69A8086A" w:rsidR="00472511"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offshore RMB market</w:t>
      </w:r>
      <w:r w:rsidR="00472511">
        <w:rPr>
          <w:rStyle w:val="Strong"/>
          <w:rFonts w:ascii="Times New Roman" w:hAnsi="Times New Roman" w:cs="Times New Roman"/>
        </w:rPr>
        <w:t>:</w:t>
      </w:r>
      <w:r w:rsidRPr="00962350">
        <w:rPr>
          <w:rFonts w:ascii="Times New Roman" w:hAnsi="Times New Roman" w:cs="Times New Roman"/>
        </w:rPr>
        <w:t xml:space="preserve"> The renminbi trades in two distinct but related markets. The onshore market (CNY) operates within mainland China under capital account controls administered by the People's Bank of China (PBOC). The offshore market (CNH) operates primarily in Hong Kong and is freely tradeable by international participants. The two markets are linked through arbitrage channels including the Stock Connect programs, and PBOC bilateral currency swap lines with foreign central banks, but capital controls prevent perfect convergence. </w:t>
      </w:r>
    </w:p>
    <w:p w14:paraId="6F6FE130" w14:textId="77777777" w:rsidR="00472511" w:rsidRDefault="00472511" w:rsidP="000E68B9">
      <w:pPr>
        <w:spacing w:after="0" w:line="240" w:lineRule="auto"/>
        <w:rPr>
          <w:rFonts w:ascii="Times New Roman" w:hAnsi="Times New Roman" w:cs="Times New Roman"/>
        </w:rPr>
      </w:pPr>
    </w:p>
    <w:p w14:paraId="49541593" w14:textId="69EACAB8"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persistent gap between CNY and CNH exchange rates reflects the residual friction from these controls.</w:t>
      </w:r>
    </w:p>
    <w:p w14:paraId="0A9E73BB" w14:textId="77777777" w:rsidR="00472511" w:rsidRDefault="00472511" w:rsidP="000E68B9">
      <w:pPr>
        <w:spacing w:after="0" w:line="240" w:lineRule="auto"/>
        <w:rPr>
          <w:rStyle w:val="Strong"/>
          <w:rFonts w:ascii="Times New Roman" w:hAnsi="Times New Roman" w:cs="Times New Roman"/>
        </w:rPr>
      </w:pPr>
    </w:p>
    <w:p w14:paraId="7F9AAA99" w14:textId="5654538A" w:rsidR="00472511"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interbank differential</w:t>
      </w:r>
      <w:r w:rsidR="00472511">
        <w:rPr>
          <w:rStyle w:val="Strong"/>
          <w:rFonts w:ascii="Times New Roman" w:hAnsi="Times New Roman" w:cs="Times New Roman"/>
        </w:rPr>
        <w:t>:</w:t>
      </w:r>
      <w:r w:rsidRPr="00962350">
        <w:rPr>
          <w:rFonts w:ascii="Times New Roman" w:hAnsi="Times New Roman" w:cs="Times New Roman"/>
        </w:rPr>
        <w:t xml:space="preserve"> The Shanghai Interbank Offered Rate (SHIBOR) governs RMB lending among Chinese banks in the onshore market. The Hong Kong Interbank Offered Rate for RMB (HIBOR) governs equivalent transactions in the offshore market. Under conditions of elevated offshore RMB demand</w:t>
      </w:r>
      <w:r w:rsidR="009818BA">
        <w:rPr>
          <w:rFonts w:ascii="Times New Roman" w:hAnsi="Times New Roman" w:cs="Times New Roman"/>
        </w:rPr>
        <w:t>,</w:t>
      </w:r>
      <w:r w:rsidRPr="00962350">
        <w:rPr>
          <w:rFonts w:ascii="Times New Roman" w:hAnsi="Times New Roman" w:cs="Times New Roman"/>
        </w:rPr>
        <w:t xml:space="preserve"> when global institutions seek to accumulate or borrow offshore yuan</w:t>
      </w:r>
      <w:r w:rsidR="009818BA">
        <w:rPr>
          <w:rFonts w:ascii="Times New Roman" w:hAnsi="Times New Roman" w:cs="Times New Roman"/>
        </w:rPr>
        <w:t>,</w:t>
      </w:r>
      <w:r w:rsidRPr="00962350">
        <w:rPr>
          <w:rFonts w:ascii="Times New Roman" w:hAnsi="Times New Roman" w:cs="Times New Roman"/>
        </w:rPr>
        <w:t xml:space="preserve"> offshore RMB becomes relatively scarce, driving HIBOR above SHIBOR and compressing the onshore-minus-offshore differential. </w:t>
      </w:r>
    </w:p>
    <w:p w14:paraId="023DA502" w14:textId="77777777" w:rsidR="00472511" w:rsidRDefault="00472511" w:rsidP="000E68B9">
      <w:pPr>
        <w:spacing w:after="0" w:line="240" w:lineRule="auto"/>
        <w:rPr>
          <w:rFonts w:ascii="Times New Roman" w:hAnsi="Times New Roman" w:cs="Times New Roman"/>
        </w:rPr>
      </w:pPr>
    </w:p>
    <w:p w14:paraId="39CC7A60" w14:textId="6B8FAF1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This compression is the primary mechanism Bahaj and Reis (2026) identify as operating through PBOC swap lines: by providing RMB liquidity of last resort to foreign central banks, swap lines stabilize HIBOR volatility and reduce the cost of offshore RMB access.</w:t>
      </w:r>
    </w:p>
    <w:p w14:paraId="3EDC945B" w14:textId="77777777" w:rsidR="00472511" w:rsidRDefault="00472511" w:rsidP="000E68B9">
      <w:pPr>
        <w:spacing w:after="0" w:line="240" w:lineRule="auto"/>
        <w:rPr>
          <w:rStyle w:val="Strong"/>
          <w:rFonts w:ascii="Times New Roman" w:hAnsi="Times New Roman" w:cs="Times New Roman"/>
        </w:rPr>
      </w:pPr>
    </w:p>
    <w:p w14:paraId="747F83C6" w14:textId="375F0CE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The 2022 shock</w:t>
      </w:r>
      <w:r w:rsidR="00472511">
        <w:rPr>
          <w:rStyle w:val="Strong"/>
          <w:rFonts w:ascii="Times New Roman" w:hAnsi="Times New Roman" w:cs="Times New Roman"/>
        </w:rPr>
        <w:t>:</w:t>
      </w:r>
      <w:r w:rsidRPr="00962350">
        <w:rPr>
          <w:rFonts w:ascii="Times New Roman" w:hAnsi="Times New Roman" w:cs="Times New Roman"/>
        </w:rPr>
        <w:t xml:space="preserve"> On Saturday February 26, 2022, the US and EU announced comprehensive sanctions including the freezing of Russian central bank assets, SWIFT disconnection of major Russian banks, and suspension of Russia's ability to transact in dollar, euro, and pound sterling. A first formal EU sanctions package entered into force on approximately March 14, 2022. Both dates fall on weekends; I identify the first available trading day following each announcement as the shock date for market analysis. Simultaneously with these events, the Federal Reserve began its most aggressive rate hiking cycle since 1980, raising the federal funds rate from 0.25% in March 2022 to 5.50% by July 2023. This creates a critical identification challenge: separating the sanctions-driven component of any RMB market movement from the dollar-driven component of the same movements.</w:t>
      </w:r>
    </w:p>
    <w:p w14:paraId="5AEF2708" w14:textId="56FDB763" w:rsidR="006D42D2" w:rsidRDefault="006D42D2" w:rsidP="000E68B9">
      <w:pPr>
        <w:spacing w:after="0" w:line="240" w:lineRule="auto"/>
        <w:rPr>
          <w:rFonts w:ascii="Times New Roman" w:hAnsi="Times New Roman" w:cs="Times New Roman"/>
        </w:rPr>
      </w:pPr>
    </w:p>
    <w:p w14:paraId="354AA09B" w14:textId="77777777" w:rsidR="00D768D1" w:rsidRDefault="00D768D1" w:rsidP="000E68B9">
      <w:pPr>
        <w:spacing w:after="0" w:line="240" w:lineRule="auto"/>
        <w:rPr>
          <w:rFonts w:ascii="Times New Roman" w:hAnsi="Times New Roman" w:cs="Times New Roman"/>
        </w:rPr>
      </w:pPr>
    </w:p>
    <w:p w14:paraId="201FDB86" w14:textId="77777777" w:rsidR="00D768D1" w:rsidRDefault="00D768D1" w:rsidP="000E68B9">
      <w:pPr>
        <w:spacing w:after="0" w:line="240" w:lineRule="auto"/>
        <w:rPr>
          <w:rFonts w:ascii="Times New Roman" w:hAnsi="Times New Roman" w:cs="Times New Roman"/>
        </w:rPr>
      </w:pPr>
    </w:p>
    <w:p w14:paraId="7A0960E9" w14:textId="77777777" w:rsidR="00D768D1" w:rsidRDefault="00D768D1" w:rsidP="000E68B9">
      <w:pPr>
        <w:spacing w:after="0" w:line="240" w:lineRule="auto"/>
        <w:rPr>
          <w:rFonts w:ascii="Times New Roman" w:hAnsi="Times New Roman" w:cs="Times New Roman"/>
        </w:rPr>
      </w:pPr>
    </w:p>
    <w:p w14:paraId="74C1AD39" w14:textId="77777777" w:rsidR="00D768D1" w:rsidRDefault="00D768D1" w:rsidP="000E68B9">
      <w:pPr>
        <w:spacing w:after="0" w:line="240" w:lineRule="auto"/>
        <w:rPr>
          <w:rFonts w:ascii="Times New Roman" w:hAnsi="Times New Roman" w:cs="Times New Roman"/>
        </w:rPr>
      </w:pPr>
    </w:p>
    <w:p w14:paraId="28FF7D0E" w14:textId="77777777" w:rsidR="00472511" w:rsidRDefault="00472511" w:rsidP="000E68B9">
      <w:pPr>
        <w:spacing w:after="0" w:line="240" w:lineRule="auto"/>
        <w:rPr>
          <w:rFonts w:ascii="Times New Roman" w:hAnsi="Times New Roman" w:cs="Times New Roman"/>
        </w:rPr>
      </w:pPr>
    </w:p>
    <w:p w14:paraId="2CE67689" w14:textId="77777777" w:rsidR="00472511" w:rsidRDefault="00472511" w:rsidP="000E68B9">
      <w:pPr>
        <w:spacing w:after="0" w:line="240" w:lineRule="auto"/>
        <w:rPr>
          <w:rFonts w:ascii="Times New Roman" w:hAnsi="Times New Roman" w:cs="Times New Roman"/>
        </w:rPr>
      </w:pPr>
    </w:p>
    <w:p w14:paraId="42FD1C5E" w14:textId="77777777" w:rsidR="00D768D1" w:rsidRPr="00962350" w:rsidRDefault="00D768D1" w:rsidP="000E68B9">
      <w:pPr>
        <w:spacing w:after="0" w:line="240" w:lineRule="auto"/>
        <w:rPr>
          <w:rFonts w:ascii="Times New Roman" w:hAnsi="Times New Roman" w:cs="Times New Roman"/>
        </w:rPr>
      </w:pPr>
    </w:p>
    <w:p w14:paraId="23B95186"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lastRenderedPageBreak/>
        <w:t>3. Data</w:t>
      </w:r>
    </w:p>
    <w:p w14:paraId="17793F93" w14:textId="77777777"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3.1 Sample</w:t>
      </w:r>
    </w:p>
    <w:p w14:paraId="21889F3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Daily data from January 2, 2020 through December 31, 2025 provides 1,455 observations before cleaning, yielding 1,454 usable observations after constructing first differences. The pre-shock period (January 2020 through February 25, 2022) serves as the baseline. All data sourced from Bloomberg Professional terminal.</w:t>
      </w:r>
    </w:p>
    <w:p w14:paraId="482BC2E3" w14:textId="77777777" w:rsidR="00472511" w:rsidRDefault="00472511" w:rsidP="000E68B9">
      <w:pPr>
        <w:spacing w:after="0" w:line="240" w:lineRule="auto"/>
        <w:rPr>
          <w:rFonts w:ascii="Times New Roman" w:hAnsi="Times New Roman" w:cs="Times New Roman"/>
          <w:b/>
          <w:bCs/>
        </w:rPr>
      </w:pPr>
    </w:p>
    <w:p w14:paraId="11515016" w14:textId="547FDC1A"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3.2 Dependent Variables</w:t>
      </w:r>
    </w:p>
    <w:p w14:paraId="2B6E8588" w14:textId="77777777" w:rsidR="00472511" w:rsidRDefault="00472511" w:rsidP="000E68B9">
      <w:pPr>
        <w:spacing w:after="0" w:line="240" w:lineRule="auto"/>
        <w:rPr>
          <w:rStyle w:val="Strong"/>
          <w:rFonts w:ascii="Times New Roman" w:hAnsi="Times New Roman" w:cs="Times New Roman"/>
        </w:rPr>
      </w:pPr>
    </w:p>
    <w:p w14:paraId="60CB571C" w14:textId="2BD2C106" w:rsidR="006D42D2" w:rsidRPr="00962350" w:rsidRDefault="00472511" w:rsidP="000E68B9">
      <w:pPr>
        <w:spacing w:after="0" w:line="240" w:lineRule="auto"/>
      </w:pPr>
      <w:r w:rsidRPr="2DF4B9AA">
        <w:rPr>
          <w:rStyle w:val="Strong"/>
          <w:rFonts w:ascii="Times New Roman" w:hAnsi="Times New Roman" w:cs="Times New Roman"/>
        </w:rPr>
        <w:t xml:space="preserve">3.2.1 </w:t>
      </w:r>
      <w:r w:rsidR="006D42D2" w:rsidRPr="2DF4B9AA">
        <w:rPr>
          <w:rStyle w:val="Strong"/>
          <w:rFonts w:ascii="Times New Roman" w:hAnsi="Times New Roman" w:cs="Times New Roman"/>
        </w:rPr>
        <w:t>CNY-CNH Basis Spread.</w:t>
      </w:r>
      <w:r w:rsidR="006D42D2" w:rsidRPr="2DF4B9AA">
        <w:rPr>
          <w:rFonts w:ascii="Times New Roman" w:hAnsi="Times New Roman" w:cs="Times New Roman"/>
        </w:rPr>
        <w:t xml:space="preserve"> </w:t>
      </w:r>
    </w:p>
    <w:p w14:paraId="777A1190" w14:textId="36D4C17F"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Constructed as the percentage deviation of onshore yuan from offshore yuan, expressed in basis points:</w:t>
      </w:r>
    </w:p>
    <w:p w14:paraId="2100BCA6" w14:textId="485E9E8C" w:rsidR="006D42D2" w:rsidRPr="00962350" w:rsidRDefault="006D42D2" w:rsidP="000E68B9">
      <w:pPr>
        <w:spacing w:after="0" w:line="240" w:lineRule="auto"/>
        <w:rPr>
          <w:rFonts w:ascii="Times New Roman" w:hAnsi="Times New Roman" w:cs="Times New Roman"/>
        </w:rPr>
      </w:pPr>
      <w:r w:rsidRPr="00962350">
        <w:rPr>
          <w:rStyle w:val="HTMLCode"/>
          <w:rFonts w:ascii="Times New Roman" w:eastAsiaTheme="minorEastAsia" w:hAnsi="Times New Roman" w:cs="Times New Roman"/>
        </w:rPr>
        <w:t>cny_cnh_spread_t = [(CNY_t - CNH_t) / CNH_t] × 10</w:t>
      </w:r>
      <w:r w:rsidR="00C6069F">
        <w:rPr>
          <w:rStyle w:val="HTMLCode"/>
          <w:rFonts w:ascii="Times New Roman" w:eastAsiaTheme="minorEastAsia" w:hAnsi="Times New Roman" w:cs="Times New Roman"/>
        </w:rPr>
        <w:t>,</w:t>
      </w:r>
      <w:r w:rsidRPr="00962350">
        <w:rPr>
          <w:rStyle w:val="HTMLCode"/>
          <w:rFonts w:ascii="Times New Roman" w:eastAsiaTheme="minorEastAsia" w:hAnsi="Times New Roman" w:cs="Times New Roman"/>
        </w:rPr>
        <w:t>000</w:t>
      </w:r>
    </w:p>
    <w:p w14:paraId="26AE39C0" w14:textId="77777777" w:rsidR="00472511" w:rsidRDefault="00472511" w:rsidP="000E68B9">
      <w:pPr>
        <w:spacing w:after="0" w:line="240" w:lineRule="auto"/>
        <w:rPr>
          <w:rFonts w:ascii="Times New Roman" w:hAnsi="Times New Roman" w:cs="Times New Roman"/>
          <w:b/>
          <w:bCs/>
        </w:rPr>
      </w:pPr>
    </w:p>
    <w:p w14:paraId="2DC32060" w14:textId="51E05874" w:rsidR="00A110CD" w:rsidRDefault="00A110CD" w:rsidP="000E68B9">
      <w:pPr>
        <w:spacing w:after="0" w:line="240" w:lineRule="auto"/>
        <w:rPr>
          <w:rFonts w:ascii="Times New Roman" w:hAnsi="Times New Roman" w:cs="Times New Roman"/>
        </w:rPr>
      </w:pPr>
      <w:r w:rsidRPr="00A110CD">
        <w:rPr>
          <w:rFonts w:ascii="Times New Roman" w:hAnsi="Times New Roman" w:cs="Times New Roman"/>
          <w:b/>
          <w:bCs/>
        </w:rPr>
        <w:t>CNY</w:t>
      </w:r>
      <w:r>
        <w:rPr>
          <w:rFonts w:ascii="Times New Roman" w:hAnsi="Times New Roman" w:cs="Times New Roman"/>
        </w:rPr>
        <w:t xml:space="preserve"> is onshore RMB pricing, </w:t>
      </w:r>
      <w:r w:rsidRPr="00A110CD">
        <w:rPr>
          <w:rFonts w:ascii="Times New Roman" w:hAnsi="Times New Roman" w:cs="Times New Roman"/>
          <w:b/>
          <w:bCs/>
        </w:rPr>
        <w:t>CNH</w:t>
      </w:r>
      <w:r>
        <w:rPr>
          <w:rFonts w:ascii="Times New Roman" w:hAnsi="Times New Roman" w:cs="Times New Roman"/>
        </w:rPr>
        <w:t xml:space="preserve"> is offshore RMB pricing, both denominated in USD terms. </w:t>
      </w:r>
    </w:p>
    <w:p w14:paraId="0CA24B10" w14:textId="77777777" w:rsidR="00A110CD" w:rsidRDefault="006D42D2" w:rsidP="000E68B9">
      <w:pPr>
        <w:spacing w:after="0" w:line="240" w:lineRule="auto"/>
        <w:rPr>
          <w:rFonts w:ascii="Times New Roman" w:hAnsi="Times New Roman" w:cs="Times New Roman"/>
        </w:rPr>
      </w:pPr>
      <w:r w:rsidRPr="00962350">
        <w:rPr>
          <w:rFonts w:ascii="Times New Roman" w:hAnsi="Times New Roman" w:cs="Times New Roman"/>
        </w:rPr>
        <w:t>A negative spread indicates offshore CNH is trading at a premium</w:t>
      </w:r>
      <w:r w:rsidR="00A110CD">
        <w:rPr>
          <w:rFonts w:ascii="Times New Roman" w:hAnsi="Times New Roman" w:cs="Times New Roman"/>
        </w:rPr>
        <w:t>,</w:t>
      </w:r>
      <w:r w:rsidRPr="00962350">
        <w:rPr>
          <w:rFonts w:ascii="Times New Roman" w:hAnsi="Times New Roman" w:cs="Times New Roman"/>
        </w:rPr>
        <w:t xml:space="preserve"> one dollar buys fewer yuan offshore than onshore, meaning offshore yuan is more expensive. Increased offshore RMB demand would be expected to push this spread negative. </w:t>
      </w:r>
    </w:p>
    <w:p w14:paraId="4EB78307" w14:textId="77777777" w:rsidR="00472511" w:rsidRDefault="00472511" w:rsidP="000E68B9">
      <w:pPr>
        <w:spacing w:after="0" w:line="240" w:lineRule="auto"/>
        <w:rPr>
          <w:rFonts w:ascii="Times New Roman" w:hAnsi="Times New Roman" w:cs="Times New Roman"/>
          <w:b/>
          <w:bCs/>
        </w:rPr>
      </w:pPr>
    </w:p>
    <w:p w14:paraId="3451DF2F" w14:textId="4A05771D" w:rsidR="006D42D2" w:rsidRPr="00962350" w:rsidRDefault="006D42D2" w:rsidP="000E68B9">
      <w:pPr>
        <w:spacing w:after="0" w:line="240" w:lineRule="auto"/>
        <w:rPr>
          <w:rFonts w:ascii="Times New Roman" w:hAnsi="Times New Roman" w:cs="Times New Roman"/>
        </w:rPr>
      </w:pPr>
      <w:r w:rsidRPr="00A110CD">
        <w:rPr>
          <w:rFonts w:ascii="Times New Roman" w:hAnsi="Times New Roman" w:cs="Times New Roman"/>
          <w:b/>
          <w:bCs/>
        </w:rPr>
        <w:t>Bloomberg tickers:</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CNY REGN Curncy</w:t>
      </w:r>
      <w:r w:rsidRPr="00962350">
        <w:rPr>
          <w:rFonts w:ascii="Times New Roman" w:hAnsi="Times New Roman" w:cs="Times New Roman"/>
        </w:rPr>
        <w:t xml:space="preserve"> (onshore daily fixing rate) and </w:t>
      </w:r>
      <w:r w:rsidRPr="00962350">
        <w:rPr>
          <w:rStyle w:val="HTMLCode"/>
          <w:rFonts w:ascii="Times New Roman" w:eastAsiaTheme="minorEastAsia" w:hAnsi="Times New Roman" w:cs="Times New Roman"/>
        </w:rPr>
        <w:t>CNH BGN Curncy</w:t>
      </w:r>
      <w:r w:rsidRPr="00962350">
        <w:rPr>
          <w:rFonts w:ascii="Times New Roman" w:hAnsi="Times New Roman" w:cs="Times New Roman"/>
        </w:rPr>
        <w:t xml:space="preserve"> (offshore BGN composite).</w:t>
      </w:r>
    </w:p>
    <w:p w14:paraId="07B6D7A7" w14:textId="77777777" w:rsidR="00472511" w:rsidRDefault="00472511" w:rsidP="000E68B9">
      <w:pPr>
        <w:spacing w:after="0" w:line="240" w:lineRule="auto"/>
        <w:rPr>
          <w:rFonts w:ascii="Times New Roman" w:hAnsi="Times New Roman" w:cs="Times New Roman"/>
          <w:b/>
          <w:bCs/>
        </w:rPr>
      </w:pPr>
    </w:p>
    <w:p w14:paraId="43EBCE5D" w14:textId="712A882B" w:rsidR="006D42D2" w:rsidRPr="00962350" w:rsidRDefault="006D42D2" w:rsidP="000E68B9">
      <w:pPr>
        <w:spacing w:after="0" w:line="240" w:lineRule="auto"/>
        <w:rPr>
          <w:rFonts w:ascii="Times New Roman" w:hAnsi="Times New Roman" w:cs="Times New Roman"/>
        </w:rPr>
      </w:pPr>
      <w:r w:rsidRPr="00A110CD">
        <w:rPr>
          <w:rFonts w:ascii="Times New Roman" w:hAnsi="Times New Roman" w:cs="Times New Roman"/>
          <w:b/>
          <w:bCs/>
        </w:rPr>
        <w:t>Summary statistics</w:t>
      </w:r>
      <w:r w:rsidRPr="00962350">
        <w:rPr>
          <w:rFonts w:ascii="Times New Roman" w:hAnsi="Times New Roman" w:cs="Times New Roman"/>
        </w:rPr>
        <w:t>: mean = −7.34 bps, standard deviation = 16.84 bps, range = [−116.89, 69.28] bps.</w:t>
      </w:r>
    </w:p>
    <w:p w14:paraId="08AF1B75" w14:textId="77777777" w:rsidR="00472511" w:rsidRDefault="00472511" w:rsidP="000E68B9">
      <w:pPr>
        <w:spacing w:after="0" w:line="240" w:lineRule="auto"/>
        <w:rPr>
          <w:rStyle w:val="Strong"/>
          <w:rFonts w:ascii="Times New Roman" w:hAnsi="Times New Roman" w:cs="Times New Roman"/>
        </w:rPr>
      </w:pPr>
    </w:p>
    <w:p w14:paraId="055CE418" w14:textId="72A28EA2" w:rsidR="006D42D2" w:rsidRPr="00962350" w:rsidRDefault="00472511" w:rsidP="000E68B9">
      <w:pPr>
        <w:spacing w:after="0" w:line="240" w:lineRule="auto"/>
      </w:pPr>
      <w:r w:rsidRPr="2DF4B9AA">
        <w:rPr>
          <w:rStyle w:val="Strong"/>
          <w:rFonts w:ascii="Times New Roman" w:hAnsi="Times New Roman" w:cs="Times New Roman"/>
        </w:rPr>
        <w:t xml:space="preserve">3.2.2 </w:t>
      </w:r>
      <w:r w:rsidR="006D42D2" w:rsidRPr="2DF4B9AA">
        <w:rPr>
          <w:rStyle w:val="Strong"/>
          <w:rFonts w:ascii="Times New Roman" w:hAnsi="Times New Roman" w:cs="Times New Roman"/>
        </w:rPr>
        <w:t>SHIBOR-HIBOR Basis Spread.</w:t>
      </w:r>
      <w:r w:rsidR="006D42D2" w:rsidRPr="2DF4B9AA">
        <w:rPr>
          <w:rFonts w:ascii="Times New Roman" w:hAnsi="Times New Roman" w:cs="Times New Roman"/>
        </w:rPr>
        <w:t xml:space="preserve"> </w:t>
      </w:r>
    </w:p>
    <w:p w14:paraId="485899C8" w14:textId="5F01FC27" w:rsidR="006D42D2" w:rsidRPr="00962350" w:rsidRDefault="006D42D2" w:rsidP="000E68B9">
      <w:pPr>
        <w:spacing w:after="0" w:line="240" w:lineRule="auto"/>
        <w:rPr>
          <w:rFonts w:ascii="Times New Roman" w:hAnsi="Times New Roman" w:cs="Times New Roman"/>
        </w:rPr>
      </w:pPr>
      <w:r w:rsidRPr="2DF4B9AA">
        <w:rPr>
          <w:rFonts w:ascii="Times New Roman" w:hAnsi="Times New Roman" w:cs="Times New Roman"/>
        </w:rPr>
        <w:t>Constructed as the difference between 3-month onshore and offshore RMB interbank offered rates, in basis points:</w:t>
      </w:r>
    </w:p>
    <w:p w14:paraId="0A1058E3" w14:textId="77777777" w:rsidR="006D42D2" w:rsidRPr="00962350" w:rsidRDefault="006D42D2" w:rsidP="000E68B9">
      <w:pPr>
        <w:spacing w:after="0" w:line="240" w:lineRule="auto"/>
        <w:rPr>
          <w:rFonts w:ascii="Times New Roman" w:hAnsi="Times New Roman" w:cs="Times New Roman"/>
        </w:rPr>
      </w:pPr>
      <w:r w:rsidRPr="00962350">
        <w:rPr>
          <w:rStyle w:val="HTMLCode"/>
          <w:rFonts w:ascii="Times New Roman" w:eastAsiaTheme="minorEastAsia" w:hAnsi="Times New Roman" w:cs="Times New Roman"/>
        </w:rPr>
        <w:t>shibor_hibor_spread_t = (SHIBOR_3M_t - HIBOR_3M_t) × 100</w:t>
      </w:r>
    </w:p>
    <w:p w14:paraId="598A3728" w14:textId="77777777" w:rsidR="00472511" w:rsidRDefault="00472511" w:rsidP="000E68B9">
      <w:pPr>
        <w:spacing w:after="0" w:line="240" w:lineRule="auto"/>
        <w:rPr>
          <w:rFonts w:ascii="Times New Roman" w:hAnsi="Times New Roman" w:cs="Times New Roman"/>
        </w:rPr>
      </w:pPr>
    </w:p>
    <w:p w14:paraId="5F637D10" w14:textId="0C8EB389" w:rsidR="00A110CD" w:rsidRDefault="00A110CD" w:rsidP="000E68B9">
      <w:pPr>
        <w:spacing w:after="0" w:line="240" w:lineRule="auto"/>
        <w:rPr>
          <w:rFonts w:ascii="Times New Roman" w:hAnsi="Times New Roman" w:cs="Times New Roman"/>
        </w:rPr>
      </w:pPr>
      <w:r>
        <w:rPr>
          <w:rFonts w:ascii="Times New Roman" w:hAnsi="Times New Roman" w:cs="Times New Roman"/>
        </w:rPr>
        <w:t xml:space="preserve">As previously stated, </w:t>
      </w:r>
      <w:r w:rsidRPr="000A33D7">
        <w:rPr>
          <w:rFonts w:ascii="Times New Roman" w:hAnsi="Times New Roman" w:cs="Times New Roman"/>
          <w:b/>
          <w:bCs/>
        </w:rPr>
        <w:t>SHIBOR</w:t>
      </w:r>
      <w:r>
        <w:rPr>
          <w:rFonts w:ascii="Times New Roman" w:hAnsi="Times New Roman" w:cs="Times New Roman"/>
        </w:rPr>
        <w:t xml:space="preserve"> </w:t>
      </w:r>
      <w:r w:rsidR="004C090A">
        <w:rPr>
          <w:rFonts w:ascii="Times New Roman" w:hAnsi="Times New Roman" w:cs="Times New Roman"/>
        </w:rPr>
        <w:t xml:space="preserve">is the RMB lending rate for onshore Chinese borrowing, </w:t>
      </w:r>
      <w:r w:rsidR="004C090A" w:rsidRPr="000A33D7">
        <w:rPr>
          <w:rFonts w:ascii="Times New Roman" w:hAnsi="Times New Roman" w:cs="Times New Roman"/>
          <w:b/>
          <w:bCs/>
        </w:rPr>
        <w:t>HIBOR</w:t>
      </w:r>
      <w:r w:rsidR="004C090A">
        <w:rPr>
          <w:rFonts w:ascii="Times New Roman" w:hAnsi="Times New Roman" w:cs="Times New Roman"/>
        </w:rPr>
        <w:t xml:space="preserve"> is the lending rate for </w:t>
      </w:r>
      <w:r w:rsidR="000A33D7">
        <w:rPr>
          <w:rFonts w:ascii="Times New Roman" w:hAnsi="Times New Roman" w:cs="Times New Roman"/>
        </w:rPr>
        <w:t>offshore RMB.</w:t>
      </w:r>
    </w:p>
    <w:p w14:paraId="1D96DB86" w14:textId="77777777" w:rsidR="00472511" w:rsidRDefault="00472511" w:rsidP="000E68B9">
      <w:pPr>
        <w:spacing w:after="0" w:line="240" w:lineRule="auto"/>
        <w:rPr>
          <w:rFonts w:ascii="Times New Roman" w:hAnsi="Times New Roman" w:cs="Times New Roman"/>
        </w:rPr>
      </w:pPr>
    </w:p>
    <w:p w14:paraId="2BD90D5F" w14:textId="2672CFB3" w:rsidR="000A33D7" w:rsidRDefault="006D42D2" w:rsidP="000E68B9">
      <w:pPr>
        <w:spacing w:after="0" w:line="240" w:lineRule="auto"/>
        <w:rPr>
          <w:rFonts w:ascii="Times New Roman" w:hAnsi="Times New Roman" w:cs="Times New Roman"/>
        </w:rPr>
      </w:pPr>
      <w:r w:rsidRPr="00962350">
        <w:rPr>
          <w:rFonts w:ascii="Times New Roman" w:hAnsi="Times New Roman" w:cs="Times New Roman"/>
        </w:rPr>
        <w:t>A negative spread indicates HIBOR exceeds SHIBOR</w:t>
      </w:r>
      <w:r w:rsidR="000A33D7">
        <w:rPr>
          <w:rFonts w:ascii="Times New Roman" w:hAnsi="Times New Roman" w:cs="Times New Roman"/>
        </w:rPr>
        <w:t>,</w:t>
      </w:r>
      <w:r w:rsidRPr="00962350">
        <w:rPr>
          <w:rFonts w:ascii="Times New Roman" w:hAnsi="Times New Roman" w:cs="Times New Roman"/>
        </w:rPr>
        <w:t xml:space="preserve"> offshore RMB funding costs exceed onshore. Increased offshore demand drives HIBOR above SHIBOR.</w:t>
      </w:r>
    </w:p>
    <w:p w14:paraId="553F3A85" w14:textId="77777777" w:rsidR="00472511" w:rsidRDefault="00472511" w:rsidP="000E68B9">
      <w:pPr>
        <w:spacing w:after="0" w:line="240" w:lineRule="auto"/>
        <w:rPr>
          <w:rFonts w:ascii="Times New Roman" w:hAnsi="Times New Roman" w:cs="Times New Roman"/>
          <w:b/>
          <w:bCs/>
        </w:rPr>
      </w:pPr>
    </w:p>
    <w:p w14:paraId="302EBE07" w14:textId="3F7060D2" w:rsidR="006D42D2" w:rsidRPr="00962350" w:rsidRDefault="006D42D2" w:rsidP="000E68B9">
      <w:pPr>
        <w:spacing w:after="0" w:line="240" w:lineRule="auto"/>
        <w:rPr>
          <w:rFonts w:ascii="Times New Roman" w:hAnsi="Times New Roman" w:cs="Times New Roman"/>
        </w:rPr>
      </w:pPr>
      <w:r w:rsidRPr="00472511">
        <w:rPr>
          <w:rFonts w:ascii="Times New Roman" w:hAnsi="Times New Roman" w:cs="Times New Roman"/>
          <w:b/>
          <w:bCs/>
        </w:rPr>
        <w:t>Bloomberg tickers:</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SHIF3M Index</w:t>
      </w:r>
      <w:r w:rsidRPr="00962350">
        <w:rPr>
          <w:rFonts w:ascii="Times New Roman" w:hAnsi="Times New Roman" w:cs="Times New Roman"/>
        </w:rPr>
        <w:t xml:space="preserve"> (3-month SHIBOR) and </w:t>
      </w:r>
      <w:r w:rsidRPr="00962350">
        <w:rPr>
          <w:rStyle w:val="HTMLCode"/>
          <w:rFonts w:ascii="Times New Roman" w:eastAsiaTheme="minorEastAsia" w:hAnsi="Times New Roman" w:cs="Times New Roman"/>
        </w:rPr>
        <w:t>HIHD01M Index</w:t>
      </w:r>
      <w:r w:rsidRPr="00962350">
        <w:rPr>
          <w:rFonts w:ascii="Times New Roman" w:hAnsi="Times New Roman" w:cs="Times New Roman"/>
        </w:rPr>
        <w:t xml:space="preserve"> (3-month CNH HIBOR).</w:t>
      </w:r>
    </w:p>
    <w:p w14:paraId="36E2998A" w14:textId="77777777" w:rsidR="00472511" w:rsidRDefault="00472511" w:rsidP="000E68B9">
      <w:pPr>
        <w:spacing w:after="0" w:line="240" w:lineRule="auto"/>
        <w:rPr>
          <w:rFonts w:ascii="Times New Roman" w:hAnsi="Times New Roman" w:cs="Times New Roman"/>
          <w:b/>
          <w:bCs/>
        </w:rPr>
      </w:pPr>
    </w:p>
    <w:p w14:paraId="0C3CE9EA" w14:textId="75B4DF2C" w:rsidR="006D42D2" w:rsidRPr="00962350" w:rsidRDefault="006D42D2" w:rsidP="000E68B9">
      <w:pPr>
        <w:spacing w:after="0" w:line="240" w:lineRule="auto"/>
        <w:rPr>
          <w:rFonts w:ascii="Times New Roman" w:hAnsi="Times New Roman" w:cs="Times New Roman"/>
        </w:rPr>
      </w:pPr>
      <w:r w:rsidRPr="00472511">
        <w:rPr>
          <w:rFonts w:ascii="Times New Roman" w:hAnsi="Times New Roman" w:cs="Times New Roman"/>
          <w:b/>
          <w:bCs/>
        </w:rPr>
        <w:t>Summary statistics:</w:t>
      </w:r>
      <w:r w:rsidRPr="00962350">
        <w:rPr>
          <w:rFonts w:ascii="Times New Roman" w:hAnsi="Times New Roman" w:cs="Times New Roman"/>
        </w:rPr>
        <w:t xml:space="preserve"> mean = −14.29 bps, standard deviation = 205.70 bps, range = [−333.19, 302.94] bps. The substantially higher variance in the SHIBOR-HIBOR spread relative to CNY-CNH reflects the greater sensitivity of interbank rates to episodic liquidity events.</w:t>
      </w:r>
    </w:p>
    <w:p w14:paraId="3F762A4D" w14:textId="77777777" w:rsidR="003D7174" w:rsidRDefault="003D7174" w:rsidP="000E68B9">
      <w:pPr>
        <w:spacing w:after="0" w:line="240" w:lineRule="auto"/>
        <w:rPr>
          <w:rFonts w:ascii="Times New Roman" w:hAnsi="Times New Roman" w:cs="Times New Roman"/>
        </w:rPr>
      </w:pPr>
    </w:p>
    <w:p w14:paraId="22E3A25B" w14:textId="77777777" w:rsidR="00472511" w:rsidRDefault="00472511" w:rsidP="000E68B9">
      <w:pPr>
        <w:spacing w:after="0" w:line="240" w:lineRule="auto"/>
        <w:rPr>
          <w:rFonts w:ascii="Times New Roman" w:hAnsi="Times New Roman" w:cs="Times New Roman"/>
          <w:b/>
          <w:bCs/>
        </w:rPr>
      </w:pPr>
    </w:p>
    <w:p w14:paraId="2DEA6805" w14:textId="77777777" w:rsidR="00472511" w:rsidRDefault="00472511" w:rsidP="000E68B9">
      <w:pPr>
        <w:spacing w:after="0" w:line="240" w:lineRule="auto"/>
        <w:rPr>
          <w:rFonts w:ascii="Times New Roman" w:hAnsi="Times New Roman" w:cs="Times New Roman"/>
          <w:b/>
          <w:bCs/>
        </w:rPr>
      </w:pPr>
    </w:p>
    <w:p w14:paraId="2683A882" w14:textId="77777777" w:rsidR="00472511" w:rsidRDefault="00472511" w:rsidP="000E68B9">
      <w:pPr>
        <w:spacing w:after="0" w:line="240" w:lineRule="auto"/>
        <w:rPr>
          <w:rFonts w:ascii="Times New Roman" w:hAnsi="Times New Roman" w:cs="Times New Roman"/>
          <w:b/>
          <w:bCs/>
        </w:rPr>
      </w:pPr>
    </w:p>
    <w:p w14:paraId="08A85FD0" w14:textId="77777777" w:rsidR="00472511" w:rsidRDefault="00472511" w:rsidP="000E68B9">
      <w:pPr>
        <w:spacing w:after="0" w:line="240" w:lineRule="auto"/>
        <w:rPr>
          <w:rFonts w:ascii="Times New Roman" w:hAnsi="Times New Roman" w:cs="Times New Roman"/>
          <w:b/>
          <w:bCs/>
        </w:rPr>
      </w:pPr>
    </w:p>
    <w:p w14:paraId="76D2DDCC" w14:textId="77777777" w:rsidR="00472511" w:rsidRDefault="00472511" w:rsidP="000E68B9">
      <w:pPr>
        <w:spacing w:after="0" w:line="240" w:lineRule="auto"/>
        <w:rPr>
          <w:rFonts w:ascii="Times New Roman" w:hAnsi="Times New Roman" w:cs="Times New Roman"/>
          <w:b/>
          <w:bCs/>
        </w:rPr>
      </w:pPr>
    </w:p>
    <w:p w14:paraId="499428F3" w14:textId="77777777" w:rsidR="00472511" w:rsidRDefault="00472511" w:rsidP="000E68B9">
      <w:pPr>
        <w:spacing w:after="0" w:line="240" w:lineRule="auto"/>
        <w:rPr>
          <w:rFonts w:ascii="Times New Roman" w:hAnsi="Times New Roman" w:cs="Times New Roman"/>
          <w:b/>
          <w:bCs/>
        </w:rPr>
      </w:pPr>
    </w:p>
    <w:p w14:paraId="17E6618B" w14:textId="1293C25D" w:rsidR="006D42D2" w:rsidRPr="00630074" w:rsidRDefault="006D42D2" w:rsidP="000E68B9">
      <w:pPr>
        <w:spacing w:after="0" w:line="240" w:lineRule="auto"/>
        <w:rPr>
          <w:rFonts w:ascii="Times New Roman" w:hAnsi="Times New Roman" w:cs="Times New Roman"/>
          <w:b/>
          <w:bCs/>
        </w:rPr>
      </w:pPr>
      <w:r w:rsidRPr="00630074">
        <w:rPr>
          <w:rFonts w:ascii="Times New Roman" w:hAnsi="Times New Roman" w:cs="Times New Roman"/>
          <w:b/>
          <w:bCs/>
        </w:rPr>
        <w:t>3.3 Control Variables</w:t>
      </w:r>
    </w:p>
    <w:p w14:paraId="28DF5955" w14:textId="77777777" w:rsidR="00472511" w:rsidRDefault="00472511" w:rsidP="000E68B9">
      <w:pPr>
        <w:spacing w:after="0" w:line="240" w:lineRule="auto"/>
        <w:rPr>
          <w:rStyle w:val="Strong"/>
          <w:rFonts w:ascii="Times New Roman" w:hAnsi="Times New Roman" w:cs="Times New Roman"/>
        </w:rPr>
      </w:pPr>
    </w:p>
    <w:p w14:paraId="7C38D96D" w14:textId="0F96D7B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VIX Index</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VIX Index</w:t>
      </w:r>
      <w:r w:rsidRPr="00962350">
        <w:rPr>
          <w:rFonts w:ascii="Times New Roman" w:hAnsi="Times New Roman" w:cs="Times New Roman"/>
        </w:rPr>
        <w:t>): the CBOE Volatility Index, measuring implied equity market volatility. Controls for global risk-off episodes that could independently move both spreads as investors reduce all emerging market exposures.</w:t>
      </w:r>
    </w:p>
    <w:p w14:paraId="0B3F1F0C" w14:textId="77777777" w:rsidR="00472511" w:rsidRDefault="00472511" w:rsidP="000E68B9">
      <w:pPr>
        <w:spacing w:after="0" w:line="240" w:lineRule="auto"/>
        <w:rPr>
          <w:rStyle w:val="Strong"/>
          <w:rFonts w:ascii="Times New Roman" w:hAnsi="Times New Roman" w:cs="Times New Roman"/>
        </w:rPr>
      </w:pPr>
    </w:p>
    <w:p w14:paraId="2BFA12D3" w14:textId="401F48F8"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DXY Dollar Index</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DXY Curncy</w:t>
      </w:r>
      <w:r w:rsidRPr="00962350">
        <w:rPr>
          <w:rFonts w:ascii="Times New Roman" w:hAnsi="Times New Roman" w:cs="Times New Roman"/>
        </w:rPr>
        <w:t>): the trade-weighted US dollar index. The critical control for this analysis. The dollar's broad appreciation cycle in 2022 mechanically affects any spread quoted in yuan-per-dollar terms. Without this control, sanctions effects and dollar effects are indistinguishable in the spot FX data.</w:t>
      </w:r>
    </w:p>
    <w:p w14:paraId="4B9F846C" w14:textId="77777777" w:rsidR="00472511" w:rsidRDefault="00472511" w:rsidP="000E68B9">
      <w:pPr>
        <w:spacing w:after="0" w:line="240" w:lineRule="auto"/>
        <w:rPr>
          <w:rStyle w:val="Strong"/>
          <w:rFonts w:ascii="Times New Roman" w:hAnsi="Times New Roman" w:cs="Times New Roman"/>
        </w:rPr>
      </w:pPr>
    </w:p>
    <w:p w14:paraId="33B0F59B" w14:textId="53F3D0D6"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US 3-Month Treasury Yield</w:t>
      </w: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USGG3M Index</w:t>
      </w:r>
      <w:r w:rsidRPr="00962350">
        <w:rPr>
          <w:rFonts w:ascii="Times New Roman" w:hAnsi="Times New Roman" w:cs="Times New Roman"/>
        </w:rPr>
        <w:t>): captures Federal Reserve policy stance. Complements DXY by separating the level of the dollar from the direction of US rates, as these can diverge during risk events.</w:t>
      </w:r>
    </w:p>
    <w:p w14:paraId="65E964F5" w14:textId="77777777" w:rsidR="00472511" w:rsidRDefault="00472511" w:rsidP="000E68B9">
      <w:pPr>
        <w:spacing w:after="0" w:line="240" w:lineRule="auto"/>
        <w:rPr>
          <w:rFonts w:ascii="Times New Roman" w:hAnsi="Times New Roman" w:cs="Times New Roman"/>
          <w:b/>
          <w:bCs/>
        </w:rPr>
      </w:pPr>
    </w:p>
    <w:p w14:paraId="26CB03B1" w14:textId="41A8058A" w:rsidR="006D42D2" w:rsidRPr="00A110CD" w:rsidRDefault="006D42D2" w:rsidP="000E68B9">
      <w:pPr>
        <w:spacing w:after="0" w:line="240" w:lineRule="auto"/>
        <w:rPr>
          <w:rFonts w:ascii="Times New Roman" w:hAnsi="Times New Roman" w:cs="Times New Roman"/>
          <w:b/>
          <w:bCs/>
        </w:rPr>
      </w:pPr>
      <w:r w:rsidRPr="00A110CD">
        <w:rPr>
          <w:rFonts w:ascii="Times New Roman" w:hAnsi="Times New Roman" w:cs="Times New Roman"/>
          <w:b/>
          <w:bCs/>
        </w:rPr>
        <w:t>3.4 Stationarity and Data Treatment</w:t>
      </w:r>
    </w:p>
    <w:p w14:paraId="4EC8BC06" w14:textId="271AE3B0" w:rsidR="00472511"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All variables are tested for </w:t>
      </w:r>
      <w:r w:rsidR="004D3DB6">
        <w:rPr>
          <w:rFonts w:ascii="Times New Roman" w:hAnsi="Times New Roman" w:cs="Times New Roman"/>
        </w:rPr>
        <w:t>stationarity</w:t>
      </w:r>
      <w:r w:rsidRPr="00962350">
        <w:rPr>
          <w:rFonts w:ascii="Times New Roman" w:hAnsi="Times New Roman" w:cs="Times New Roman"/>
        </w:rPr>
        <w:t xml:space="preserve"> using the Augmented Dickey-Fuller (ADF) test. </w:t>
      </w:r>
      <w:r w:rsidR="3F238330" w:rsidRPr="04633B15">
        <w:rPr>
          <w:rFonts w:ascii="Times New Roman" w:hAnsi="Times New Roman" w:cs="Times New Roman"/>
        </w:rPr>
        <w:t xml:space="preserve">However, </w:t>
      </w:r>
      <w:r w:rsidR="4930A84C" w:rsidRPr="3AF19D5B">
        <w:rPr>
          <w:rFonts w:ascii="Times New Roman" w:hAnsi="Times New Roman" w:cs="Times New Roman"/>
        </w:rPr>
        <w:t>s</w:t>
      </w:r>
      <w:r w:rsidR="3F238330" w:rsidRPr="3AF19D5B">
        <w:rPr>
          <w:rFonts w:ascii="Times New Roman" w:hAnsi="Times New Roman" w:cs="Times New Roman"/>
        </w:rPr>
        <w:t>tandard</w:t>
      </w:r>
      <w:r w:rsidR="3F238330" w:rsidRPr="04633B15">
        <w:rPr>
          <w:rFonts w:ascii="Times New Roman" w:hAnsi="Times New Roman" w:cs="Times New Roman"/>
        </w:rPr>
        <w:t xml:space="preserve"> ADF tests are known </w:t>
      </w:r>
      <w:r w:rsidR="3F238330" w:rsidRPr="5AFB5027">
        <w:rPr>
          <w:rFonts w:ascii="Times New Roman" w:hAnsi="Times New Roman" w:cs="Times New Roman"/>
        </w:rPr>
        <w:t xml:space="preserve">to fail in the presence of </w:t>
      </w:r>
      <w:r w:rsidR="3F238330" w:rsidRPr="2D71B2D9">
        <w:rPr>
          <w:rFonts w:ascii="Times New Roman" w:hAnsi="Times New Roman" w:cs="Times New Roman"/>
        </w:rPr>
        <w:t xml:space="preserve">structural breaks, potentially failing to reject a false unit </w:t>
      </w:r>
      <w:r w:rsidR="3F238330" w:rsidRPr="33688EAC">
        <w:rPr>
          <w:rFonts w:ascii="Times New Roman" w:hAnsi="Times New Roman" w:cs="Times New Roman"/>
        </w:rPr>
        <w:t xml:space="preserve">root null (Perron, 1989). </w:t>
      </w:r>
      <w:r w:rsidRPr="33688EAC">
        <w:rPr>
          <w:rFonts w:ascii="Times New Roman" w:hAnsi="Times New Roman" w:cs="Times New Roman"/>
        </w:rPr>
        <w:t>Spread</w:t>
      </w:r>
      <w:r w:rsidRPr="00962350">
        <w:rPr>
          <w:rFonts w:ascii="Times New Roman" w:hAnsi="Times New Roman" w:cs="Times New Roman"/>
        </w:rPr>
        <w:t xml:space="preserve"> variables</w:t>
      </w:r>
      <w:r w:rsidR="552E83EE" w:rsidRPr="4BA50DC5">
        <w:rPr>
          <w:rFonts w:ascii="Times New Roman" w:hAnsi="Times New Roman" w:cs="Times New Roman"/>
        </w:rPr>
        <w:t xml:space="preserve"> are therefore</w:t>
      </w:r>
      <w:r w:rsidRPr="00962350">
        <w:rPr>
          <w:rFonts w:ascii="Times New Roman" w:hAnsi="Times New Roman" w:cs="Times New Roman"/>
        </w:rPr>
        <w:t xml:space="preserve"> additionally tested with the Zivot-Andrews (1992) structural break test, which permits one unknown break in the sample</w:t>
      </w:r>
      <w:r w:rsidR="00630074">
        <w:rPr>
          <w:rFonts w:ascii="Times New Roman" w:hAnsi="Times New Roman" w:cs="Times New Roman"/>
        </w:rPr>
        <w:t>,</w:t>
      </w:r>
      <w:r w:rsidRPr="00962350">
        <w:rPr>
          <w:rFonts w:ascii="Times New Roman" w:hAnsi="Times New Roman" w:cs="Times New Roman"/>
        </w:rPr>
        <w:t xml:space="preserve"> appropriate given the prior expectation of a February 2022 break. </w:t>
      </w:r>
    </w:p>
    <w:p w14:paraId="4A3C2146" w14:textId="77777777" w:rsidR="00472511" w:rsidRDefault="00472511" w:rsidP="000E68B9">
      <w:pPr>
        <w:spacing w:after="0" w:line="240" w:lineRule="auto"/>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9"/>
        <w:gridCol w:w="1365"/>
        <w:gridCol w:w="1201"/>
        <w:gridCol w:w="2997"/>
      </w:tblGrid>
      <w:tr w:rsidR="006D42D2" w:rsidRPr="00962350" w14:paraId="35B7D4B6" w14:textId="77777777" w:rsidTr="00C65120">
        <w:trPr>
          <w:tblHeader/>
          <w:tblCellSpacing w:w="15" w:type="dxa"/>
        </w:trPr>
        <w:tc>
          <w:tcPr>
            <w:tcW w:w="0" w:type="auto"/>
            <w:vAlign w:val="center"/>
            <w:hideMark/>
          </w:tcPr>
          <w:p w14:paraId="4B846BE2" w14:textId="65B56A65" w:rsidR="00472511" w:rsidRPr="00472511" w:rsidRDefault="006D42D2" w:rsidP="000E68B9">
            <w:pPr>
              <w:spacing w:after="0" w:line="240" w:lineRule="auto"/>
              <w:rPr>
                <w:rFonts w:ascii="Times New Roman" w:hAnsi="Times New Roman" w:cs="Times New Roman"/>
                <w:b/>
                <w:bCs/>
                <w:sz w:val="28"/>
                <w:szCs w:val="28"/>
              </w:rPr>
            </w:pPr>
            <w:r w:rsidRPr="00472511">
              <w:rPr>
                <w:rFonts w:ascii="Times New Roman" w:hAnsi="Times New Roman" w:cs="Times New Roman"/>
                <w:b/>
                <w:bCs/>
                <w:sz w:val="28"/>
                <w:szCs w:val="28"/>
              </w:rPr>
              <w:t>Results:</w:t>
            </w:r>
          </w:p>
          <w:p w14:paraId="6128D52F" w14:textId="422D39DD"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76875618" w14:textId="65EDA715"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40FED7BF" w14:textId="10213B53" w:rsidR="006D42D2" w:rsidRPr="00962350" w:rsidRDefault="006D42D2" w:rsidP="000E68B9">
            <w:pPr>
              <w:spacing w:after="0" w:line="240" w:lineRule="auto"/>
              <w:rPr>
                <w:rFonts w:ascii="Times New Roman" w:hAnsi="Times New Roman" w:cs="Times New Roman"/>
                <w:b/>
                <w:bCs/>
              </w:rPr>
            </w:pPr>
          </w:p>
        </w:tc>
        <w:tc>
          <w:tcPr>
            <w:tcW w:w="0" w:type="auto"/>
            <w:vAlign w:val="center"/>
          </w:tcPr>
          <w:p w14:paraId="0BA78C23" w14:textId="2B58FE51" w:rsidR="006D42D2" w:rsidRPr="00962350" w:rsidRDefault="006D42D2" w:rsidP="000E68B9">
            <w:pPr>
              <w:spacing w:after="0" w:line="240" w:lineRule="auto"/>
              <w:rPr>
                <w:rFonts w:ascii="Times New Roman" w:hAnsi="Times New Roman" w:cs="Times New Roman"/>
                <w:b/>
                <w:bCs/>
              </w:rPr>
            </w:pPr>
          </w:p>
        </w:tc>
      </w:tr>
      <w:tr w:rsidR="00C65120" w:rsidRPr="00962350" w14:paraId="5F7788FF" w14:textId="77777777">
        <w:trPr>
          <w:tblHeader/>
          <w:tblCellSpacing w:w="15" w:type="dxa"/>
        </w:trPr>
        <w:tc>
          <w:tcPr>
            <w:tcW w:w="0" w:type="auto"/>
            <w:vAlign w:val="center"/>
          </w:tcPr>
          <w:p w14:paraId="244D358C" w14:textId="5C11BB36" w:rsidR="00C65120" w:rsidRPr="00472511" w:rsidRDefault="00C65120" w:rsidP="00C65120">
            <w:pPr>
              <w:spacing w:after="0" w:line="240" w:lineRule="auto"/>
              <w:rPr>
                <w:rFonts w:ascii="Times New Roman" w:hAnsi="Times New Roman" w:cs="Times New Roman"/>
                <w:b/>
                <w:bCs/>
                <w:sz w:val="28"/>
                <w:szCs w:val="28"/>
              </w:rPr>
            </w:pPr>
            <w:r w:rsidRPr="00962350">
              <w:rPr>
                <w:rFonts w:ascii="Times New Roman" w:hAnsi="Times New Roman" w:cs="Times New Roman"/>
                <w:b/>
                <w:bCs/>
              </w:rPr>
              <w:t>Variable</w:t>
            </w:r>
          </w:p>
        </w:tc>
        <w:tc>
          <w:tcPr>
            <w:tcW w:w="0" w:type="auto"/>
            <w:vAlign w:val="center"/>
          </w:tcPr>
          <w:p w14:paraId="410C1313" w14:textId="33076DD8"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ADF p-value</w:t>
            </w:r>
          </w:p>
        </w:tc>
        <w:tc>
          <w:tcPr>
            <w:tcW w:w="0" w:type="auto"/>
            <w:vAlign w:val="center"/>
          </w:tcPr>
          <w:p w14:paraId="0744AA3B" w14:textId="3F0DCB50"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ZA p-value</w:t>
            </w:r>
          </w:p>
        </w:tc>
        <w:tc>
          <w:tcPr>
            <w:tcW w:w="0" w:type="auto"/>
            <w:vAlign w:val="center"/>
          </w:tcPr>
          <w:p w14:paraId="7043433E" w14:textId="0F3D9FB8" w:rsidR="00C65120" w:rsidRPr="00962350" w:rsidRDefault="00C65120" w:rsidP="00C65120">
            <w:pPr>
              <w:spacing w:after="0" w:line="240" w:lineRule="auto"/>
              <w:rPr>
                <w:rFonts w:ascii="Times New Roman" w:hAnsi="Times New Roman" w:cs="Times New Roman"/>
                <w:b/>
                <w:bCs/>
              </w:rPr>
            </w:pPr>
            <w:r w:rsidRPr="00962350">
              <w:rPr>
                <w:rFonts w:ascii="Times New Roman" w:hAnsi="Times New Roman" w:cs="Times New Roman"/>
                <w:b/>
                <w:bCs/>
              </w:rPr>
              <w:t>Decision</w:t>
            </w:r>
          </w:p>
        </w:tc>
      </w:tr>
      <w:tr w:rsidR="00C65120" w:rsidRPr="00962350" w14:paraId="45037119" w14:textId="77777777">
        <w:trPr>
          <w:tblCellSpacing w:w="15" w:type="dxa"/>
        </w:trPr>
        <w:tc>
          <w:tcPr>
            <w:tcW w:w="0" w:type="auto"/>
            <w:vAlign w:val="center"/>
            <w:hideMark/>
          </w:tcPr>
          <w:p w14:paraId="68681438"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CNY-CNH Spread</w:t>
            </w:r>
          </w:p>
        </w:tc>
        <w:tc>
          <w:tcPr>
            <w:tcW w:w="0" w:type="auto"/>
            <w:vAlign w:val="center"/>
            <w:hideMark/>
          </w:tcPr>
          <w:p w14:paraId="7BDC9AD5" w14:textId="69680E5B"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0.0002</w:t>
            </w:r>
          </w:p>
        </w:tc>
        <w:tc>
          <w:tcPr>
            <w:tcW w:w="0" w:type="auto"/>
            <w:vAlign w:val="center"/>
            <w:hideMark/>
          </w:tcPr>
          <w:p w14:paraId="592CCC32"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0.0019</w:t>
            </w:r>
          </w:p>
        </w:tc>
        <w:tc>
          <w:tcPr>
            <w:tcW w:w="0" w:type="auto"/>
            <w:vAlign w:val="center"/>
            <w:hideMark/>
          </w:tcPr>
          <w:p w14:paraId="26A28CE2" w14:textId="78F90273"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Stationary</w:t>
            </w:r>
            <w:r>
              <w:rPr>
                <w:rFonts w:ascii="Times New Roman" w:hAnsi="Times New Roman" w:cs="Times New Roman"/>
              </w:rPr>
              <w:t>:</w:t>
            </w:r>
            <w:r w:rsidRPr="00962350">
              <w:rPr>
                <w:rFonts w:ascii="Times New Roman" w:hAnsi="Times New Roman" w:cs="Times New Roman"/>
              </w:rPr>
              <w:t xml:space="preserve"> model in levels</w:t>
            </w:r>
          </w:p>
        </w:tc>
      </w:tr>
      <w:tr w:rsidR="00C65120" w:rsidRPr="00962350" w14:paraId="1F623F7F" w14:textId="77777777">
        <w:trPr>
          <w:tblCellSpacing w:w="15" w:type="dxa"/>
        </w:trPr>
        <w:tc>
          <w:tcPr>
            <w:tcW w:w="0" w:type="auto"/>
            <w:vAlign w:val="center"/>
            <w:hideMark/>
          </w:tcPr>
          <w:p w14:paraId="3016B25C"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SHIBOR-HIBOR Spread</w:t>
            </w:r>
          </w:p>
        </w:tc>
        <w:tc>
          <w:tcPr>
            <w:tcW w:w="0" w:type="auto"/>
            <w:vAlign w:val="center"/>
            <w:hideMark/>
          </w:tcPr>
          <w:p w14:paraId="71C54AEF" w14:textId="6ACC0161"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0.6540</w:t>
            </w:r>
          </w:p>
        </w:tc>
        <w:tc>
          <w:tcPr>
            <w:tcW w:w="0" w:type="auto"/>
            <w:vAlign w:val="center"/>
            <w:hideMark/>
          </w:tcPr>
          <w:p w14:paraId="38D8B906"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0.5435</w:t>
            </w:r>
          </w:p>
        </w:tc>
        <w:tc>
          <w:tcPr>
            <w:tcW w:w="0" w:type="auto"/>
            <w:vAlign w:val="center"/>
            <w:hideMark/>
          </w:tcPr>
          <w:p w14:paraId="6D3EDAF1" w14:textId="4E30095B"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first-difference</w:t>
            </w:r>
          </w:p>
        </w:tc>
      </w:tr>
      <w:tr w:rsidR="00C65120" w:rsidRPr="00962350" w14:paraId="02B27EBA" w14:textId="77777777">
        <w:trPr>
          <w:tblCellSpacing w:w="15" w:type="dxa"/>
        </w:trPr>
        <w:tc>
          <w:tcPr>
            <w:tcW w:w="0" w:type="auto"/>
            <w:vAlign w:val="center"/>
            <w:hideMark/>
          </w:tcPr>
          <w:p w14:paraId="172AAD00"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5B3BA5E0" w14:textId="3B900626"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0.0002</w:t>
            </w:r>
          </w:p>
        </w:tc>
        <w:tc>
          <w:tcPr>
            <w:tcW w:w="0" w:type="auto"/>
            <w:vAlign w:val="center"/>
            <w:hideMark/>
          </w:tcPr>
          <w:p w14:paraId="1A576A27" w14:textId="209B67FF"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26902399" w14:textId="0B4405D0"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Stationary</w:t>
            </w:r>
            <w:r>
              <w:rPr>
                <w:rFonts w:ascii="Times New Roman" w:hAnsi="Times New Roman" w:cs="Times New Roman"/>
              </w:rPr>
              <w:t>:</w:t>
            </w:r>
            <w:r w:rsidRPr="00962350">
              <w:rPr>
                <w:rFonts w:ascii="Times New Roman" w:hAnsi="Times New Roman" w:cs="Times New Roman"/>
              </w:rPr>
              <w:t xml:space="preserve"> include in levels</w:t>
            </w:r>
          </w:p>
        </w:tc>
      </w:tr>
      <w:tr w:rsidR="00C65120" w:rsidRPr="00962350" w14:paraId="2AE4570D" w14:textId="77777777">
        <w:trPr>
          <w:tblCellSpacing w:w="15" w:type="dxa"/>
        </w:trPr>
        <w:tc>
          <w:tcPr>
            <w:tcW w:w="0" w:type="auto"/>
            <w:vAlign w:val="center"/>
            <w:hideMark/>
          </w:tcPr>
          <w:p w14:paraId="14B44664"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DXY</w:t>
            </w:r>
          </w:p>
        </w:tc>
        <w:tc>
          <w:tcPr>
            <w:tcW w:w="0" w:type="auto"/>
            <w:vAlign w:val="center"/>
            <w:hideMark/>
          </w:tcPr>
          <w:p w14:paraId="62FD333C" w14:textId="44DE56EA"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0.4726</w:t>
            </w:r>
          </w:p>
        </w:tc>
        <w:tc>
          <w:tcPr>
            <w:tcW w:w="0" w:type="auto"/>
            <w:vAlign w:val="center"/>
            <w:hideMark/>
          </w:tcPr>
          <w:p w14:paraId="26A36B87" w14:textId="3B40D55A"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660CEA4" w14:textId="5DBCCE49"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first-difference</w:t>
            </w:r>
          </w:p>
        </w:tc>
      </w:tr>
      <w:tr w:rsidR="00C65120" w:rsidRPr="00962350" w14:paraId="4A936CA0" w14:textId="77777777">
        <w:trPr>
          <w:tblCellSpacing w:w="15" w:type="dxa"/>
        </w:trPr>
        <w:tc>
          <w:tcPr>
            <w:tcW w:w="0" w:type="auto"/>
            <w:vAlign w:val="center"/>
            <w:hideMark/>
          </w:tcPr>
          <w:p w14:paraId="14EC4FAA" w14:textId="77777777"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US 3M Yield</w:t>
            </w:r>
          </w:p>
        </w:tc>
        <w:tc>
          <w:tcPr>
            <w:tcW w:w="0" w:type="auto"/>
            <w:vAlign w:val="center"/>
            <w:hideMark/>
          </w:tcPr>
          <w:p w14:paraId="48B8DA3D" w14:textId="79FC4307"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 xml:space="preserve">  </w:t>
            </w:r>
            <w:r w:rsidRPr="00962350">
              <w:rPr>
                <w:rFonts w:ascii="Times New Roman" w:hAnsi="Times New Roman" w:cs="Times New Roman"/>
              </w:rPr>
              <w:t>0.8515</w:t>
            </w:r>
          </w:p>
        </w:tc>
        <w:tc>
          <w:tcPr>
            <w:tcW w:w="0" w:type="auto"/>
            <w:vAlign w:val="center"/>
            <w:hideMark/>
          </w:tcPr>
          <w:p w14:paraId="769939D0" w14:textId="29AA7F70" w:rsidR="00C65120" w:rsidRPr="00962350" w:rsidRDefault="00C65120" w:rsidP="00C65120">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F4BD0BA" w14:textId="77DE51E3" w:rsidR="00C65120" w:rsidRPr="00962350" w:rsidRDefault="00C65120" w:rsidP="00C65120">
            <w:pPr>
              <w:spacing w:after="0" w:line="240" w:lineRule="auto"/>
              <w:rPr>
                <w:rFonts w:ascii="Times New Roman" w:hAnsi="Times New Roman" w:cs="Times New Roman"/>
              </w:rPr>
            </w:pPr>
            <w:r w:rsidRPr="00962350">
              <w:rPr>
                <w:rFonts w:ascii="Times New Roman" w:hAnsi="Times New Roman" w:cs="Times New Roman"/>
              </w:rPr>
              <w:t>Nonstationary</w:t>
            </w:r>
            <w:r>
              <w:rPr>
                <w:rFonts w:ascii="Times New Roman" w:hAnsi="Times New Roman" w:cs="Times New Roman"/>
              </w:rPr>
              <w:t>:</w:t>
            </w:r>
            <w:r w:rsidRPr="00962350">
              <w:rPr>
                <w:rFonts w:ascii="Times New Roman" w:hAnsi="Times New Roman" w:cs="Times New Roman"/>
              </w:rPr>
              <w:t xml:space="preserve"> first-difference</w:t>
            </w:r>
          </w:p>
        </w:tc>
      </w:tr>
    </w:tbl>
    <w:p w14:paraId="0222D6FF" w14:textId="77777777" w:rsidR="00472511" w:rsidRDefault="00472511" w:rsidP="000E68B9">
      <w:pPr>
        <w:spacing w:after="0" w:line="240" w:lineRule="auto"/>
        <w:rPr>
          <w:rFonts w:ascii="Times New Roman" w:hAnsi="Times New Roman" w:cs="Times New Roman"/>
        </w:rPr>
      </w:pPr>
    </w:p>
    <w:p w14:paraId="24D9A148" w14:textId="77777777" w:rsidR="00EE225F" w:rsidRDefault="00EE225F" w:rsidP="000E68B9">
      <w:pPr>
        <w:spacing w:after="0" w:line="240" w:lineRule="auto"/>
        <w:rPr>
          <w:rFonts w:ascii="Times New Roman" w:hAnsi="Times New Roman" w:cs="Times New Roman"/>
        </w:rPr>
      </w:pPr>
      <w:r>
        <w:rPr>
          <w:rFonts w:ascii="Times New Roman" w:hAnsi="Times New Roman" w:cs="Times New Roman"/>
        </w:rPr>
        <w:t>Given this discovery of non-stationarity, I needed to find a new methodology to prevent spurious regression results given that my non-stationary variables are inherently non-mean reverting.</w:t>
      </w:r>
    </w:p>
    <w:p w14:paraId="524E8D2A" w14:textId="164B707C" w:rsidR="00EE225F" w:rsidRPr="00EB506E" w:rsidRDefault="00EE225F" w:rsidP="000E68B9">
      <w:pPr>
        <w:spacing w:after="0" w:line="240" w:lineRule="auto"/>
        <w:rPr>
          <w:rFonts w:ascii="Times New Roman" w:hAnsi="Times New Roman" w:cs="Times New Roman"/>
        </w:rPr>
      </w:pPr>
      <w:r>
        <w:rPr>
          <w:rFonts w:ascii="Times New Roman" w:hAnsi="Times New Roman" w:cs="Times New Roman"/>
        </w:rPr>
        <w:t xml:space="preserve">As such, I </w:t>
      </w:r>
      <w:r w:rsidR="008F1B1B">
        <w:rPr>
          <w:rFonts w:ascii="Times New Roman" w:hAnsi="Times New Roman" w:cs="Times New Roman"/>
        </w:rPr>
        <w:t xml:space="preserve">adjusted by </w:t>
      </w:r>
      <w:r w:rsidR="0030618D">
        <w:rPr>
          <w:rFonts w:ascii="Times New Roman" w:hAnsi="Times New Roman" w:cs="Times New Roman"/>
        </w:rPr>
        <w:t xml:space="preserve">first differencing </w:t>
      </w:r>
      <w:r w:rsidR="00113F6B">
        <w:rPr>
          <w:rFonts w:ascii="Times New Roman" w:hAnsi="Times New Roman" w:cs="Times New Roman"/>
        </w:rPr>
        <w:t xml:space="preserve">the non-stationary variables and adding </w:t>
      </w:r>
      <w:r w:rsidR="0030618D">
        <w:rPr>
          <w:rFonts w:ascii="Times New Roman" w:hAnsi="Times New Roman" w:cs="Times New Roman"/>
        </w:rPr>
        <w:t xml:space="preserve">‘impulse dummies’ or ‘spike dummies’ to </w:t>
      </w:r>
      <w:r w:rsidR="00113F6B">
        <w:rPr>
          <w:rFonts w:ascii="Times New Roman" w:hAnsi="Times New Roman" w:cs="Times New Roman"/>
        </w:rPr>
        <w:t>my dataset instead of the traditional ‘step dummy’ typically used</w:t>
      </w:r>
      <w:r w:rsidR="00F23208">
        <w:rPr>
          <w:rFonts w:ascii="Times New Roman" w:hAnsi="Times New Roman" w:cs="Times New Roman"/>
        </w:rPr>
        <w:t>. This adjustment is supported by H. Lutkepohl</w:t>
      </w:r>
      <w:r w:rsidR="00EB506E">
        <w:rPr>
          <w:rFonts w:ascii="Times New Roman" w:hAnsi="Times New Roman" w:cs="Times New Roman"/>
        </w:rPr>
        <w:t xml:space="preserve">, </w:t>
      </w:r>
      <w:r w:rsidR="00EB506E" w:rsidRPr="00EB506E">
        <w:rPr>
          <w:rFonts w:ascii="Times New Roman" w:hAnsi="Times New Roman" w:cs="Times New Roman"/>
          <w:i/>
          <w:iCs/>
        </w:rPr>
        <w:t>Applied Time Series Econometrics</w:t>
      </w:r>
      <w:r w:rsidR="00EB506E">
        <w:rPr>
          <w:rFonts w:ascii="Times New Roman" w:hAnsi="Times New Roman" w:cs="Times New Roman"/>
          <w:i/>
          <w:iCs/>
        </w:rPr>
        <w:t>.</w:t>
      </w:r>
    </w:p>
    <w:p w14:paraId="1C3F949D" w14:textId="77777777" w:rsidR="00EE225F" w:rsidRDefault="00EE225F" w:rsidP="000E68B9">
      <w:pPr>
        <w:spacing w:after="0" w:line="240" w:lineRule="auto"/>
        <w:rPr>
          <w:rFonts w:ascii="Times New Roman" w:hAnsi="Times New Roman" w:cs="Times New Roman"/>
        </w:rPr>
      </w:pPr>
    </w:p>
    <w:p w14:paraId="14BB161C" w14:textId="2A8A71E1" w:rsidR="006D42D2" w:rsidRDefault="006D42D2" w:rsidP="000E68B9">
      <w:pPr>
        <w:spacing w:after="0" w:line="240" w:lineRule="auto"/>
        <w:rPr>
          <w:rFonts w:ascii="Times New Roman" w:hAnsi="Times New Roman" w:cs="Times New Roman"/>
        </w:rPr>
      </w:pPr>
      <w:r w:rsidRPr="00962350">
        <w:rPr>
          <w:rFonts w:ascii="Times New Roman" w:hAnsi="Times New Roman" w:cs="Times New Roman"/>
        </w:rPr>
        <w:t>First differences of DXY and US3M are confirmed stationary (ADF p &lt; 0.0001 for both). The SHIBOR-HIBOR first difference is confirmed stationary (ADF p &lt; 0.0001). VIX passes ADF and is included in levels across both models.</w:t>
      </w:r>
    </w:p>
    <w:p w14:paraId="2D81380B" w14:textId="77777777" w:rsidR="00C65120" w:rsidRDefault="00C65120" w:rsidP="000E68B9">
      <w:pPr>
        <w:spacing w:after="0" w:line="240" w:lineRule="auto"/>
        <w:rPr>
          <w:rStyle w:val="Strong"/>
          <w:rFonts w:ascii="Times New Roman" w:hAnsi="Times New Roman" w:cs="Times New Roman"/>
        </w:rPr>
      </w:pPr>
    </w:p>
    <w:p w14:paraId="0CFBC67B" w14:textId="77777777" w:rsidR="00A62FEB" w:rsidRDefault="00A62FEB" w:rsidP="000E68B9">
      <w:pPr>
        <w:spacing w:after="0" w:line="240" w:lineRule="auto"/>
        <w:rPr>
          <w:rStyle w:val="Strong"/>
          <w:rFonts w:ascii="Times New Roman" w:hAnsi="Times New Roman" w:cs="Times New Roman"/>
        </w:rPr>
      </w:pPr>
    </w:p>
    <w:p w14:paraId="6230BC38" w14:textId="77777777" w:rsidR="00A62FEB" w:rsidRDefault="00A62FEB" w:rsidP="000E68B9">
      <w:pPr>
        <w:spacing w:after="0" w:line="240" w:lineRule="auto"/>
        <w:rPr>
          <w:rStyle w:val="Strong"/>
          <w:rFonts w:ascii="Times New Roman" w:hAnsi="Times New Roman" w:cs="Times New Roman"/>
        </w:rPr>
      </w:pPr>
    </w:p>
    <w:p w14:paraId="7253A49F" w14:textId="77777777" w:rsidR="00A62FEB" w:rsidRDefault="00A62FEB" w:rsidP="000E68B9">
      <w:pPr>
        <w:spacing w:after="0" w:line="240" w:lineRule="auto"/>
        <w:rPr>
          <w:rStyle w:val="Strong"/>
          <w:rFonts w:ascii="Times New Roman" w:hAnsi="Times New Roman" w:cs="Times New Roman"/>
        </w:rPr>
      </w:pPr>
    </w:p>
    <w:p w14:paraId="4A8E067B" w14:textId="77777777" w:rsidR="00A62FEB" w:rsidRDefault="00A62FEB" w:rsidP="000E68B9">
      <w:pPr>
        <w:spacing w:after="0" w:line="240" w:lineRule="auto"/>
        <w:rPr>
          <w:rStyle w:val="Strong"/>
          <w:rFonts w:ascii="Times New Roman" w:hAnsi="Times New Roman" w:cs="Times New Roman"/>
        </w:rPr>
      </w:pPr>
    </w:p>
    <w:p w14:paraId="77472E0C" w14:textId="77777777" w:rsidR="00A62FEB" w:rsidRDefault="00A62FEB" w:rsidP="000E68B9">
      <w:pPr>
        <w:spacing w:after="0" w:line="240" w:lineRule="auto"/>
        <w:rPr>
          <w:rStyle w:val="Strong"/>
          <w:rFonts w:ascii="Times New Roman" w:hAnsi="Times New Roman" w:cs="Times New Roman"/>
        </w:rPr>
      </w:pPr>
    </w:p>
    <w:p w14:paraId="27E5BD29" w14:textId="77777777" w:rsidR="00A62FEB" w:rsidRDefault="00A62FEB" w:rsidP="000E68B9">
      <w:pPr>
        <w:spacing w:after="0" w:line="240" w:lineRule="auto"/>
        <w:rPr>
          <w:rStyle w:val="Strong"/>
          <w:rFonts w:ascii="Times New Roman" w:hAnsi="Times New Roman" w:cs="Times New Roman"/>
        </w:rPr>
      </w:pPr>
    </w:p>
    <w:p w14:paraId="684BFDCC" w14:textId="00BE844A"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Holiday treatment.</w:t>
      </w:r>
      <w:r w:rsidRPr="00962350">
        <w:rPr>
          <w:rFonts w:ascii="Times New Roman" w:hAnsi="Times New Roman" w:cs="Times New Roman"/>
        </w:rPr>
        <w:t xml:space="preserve"> Chinese onshore markets observe extended closures (Chinese New Year, National Day). These represent genuine non-trading days, not missing data. I apply last-observation-carried-forward imputation with a maximum gap tolerance of two consecutive days for control variables sourced from continuously trading markets. Gaps exceeding two days are deleted. Trading days are identified using the Shanghai Stock Exchange calendar.</w:t>
      </w:r>
      <w:r w:rsidR="00E773A5">
        <w:rPr>
          <w:rFonts w:ascii="Times New Roman" w:hAnsi="Times New Roman" w:cs="Times New Roman"/>
        </w:rPr>
        <w:t xml:space="preserve"> This element was particularly challenging to work through given the </w:t>
      </w:r>
      <w:r w:rsidR="00780B69">
        <w:rPr>
          <w:rFonts w:ascii="Times New Roman" w:hAnsi="Times New Roman" w:cs="Times New Roman"/>
        </w:rPr>
        <w:t xml:space="preserve">unsynchronized trading days between US markets and Greater China markets. </w:t>
      </w:r>
    </w:p>
    <w:p w14:paraId="561409E6" w14:textId="77777777" w:rsidR="00C65120" w:rsidRDefault="00C65120" w:rsidP="000E68B9">
      <w:pPr>
        <w:spacing w:after="0" w:line="240" w:lineRule="auto"/>
        <w:rPr>
          <w:rFonts w:ascii="Times New Roman" w:hAnsi="Times New Roman" w:cs="Times New Roman"/>
          <w:b/>
          <w:bCs/>
        </w:rPr>
      </w:pPr>
    </w:p>
    <w:p w14:paraId="2D54340D" w14:textId="011D24A9" w:rsidR="006D42D2" w:rsidRPr="00780B69" w:rsidRDefault="006D42D2" w:rsidP="000E68B9">
      <w:pPr>
        <w:spacing w:after="0" w:line="240" w:lineRule="auto"/>
        <w:rPr>
          <w:rFonts w:ascii="Times New Roman" w:hAnsi="Times New Roman" w:cs="Times New Roman"/>
          <w:b/>
          <w:bCs/>
        </w:rPr>
      </w:pPr>
      <w:r w:rsidRPr="00780B69">
        <w:rPr>
          <w:rFonts w:ascii="Times New Roman" w:hAnsi="Times New Roman" w:cs="Times New Roman"/>
          <w:b/>
          <w:bCs/>
        </w:rPr>
        <w:t>4. Empirical Methodology</w:t>
      </w:r>
    </w:p>
    <w:p w14:paraId="1988A43C" w14:textId="77777777" w:rsidR="00C65120" w:rsidRDefault="00C65120" w:rsidP="000E68B9">
      <w:pPr>
        <w:spacing w:after="0" w:line="240" w:lineRule="auto"/>
        <w:rPr>
          <w:rFonts w:ascii="Times New Roman" w:hAnsi="Times New Roman" w:cs="Times New Roman"/>
          <w:b/>
          <w:bCs/>
        </w:rPr>
      </w:pPr>
    </w:p>
    <w:p w14:paraId="125DB49C" w14:textId="59CC9BFA" w:rsidR="006D42D2" w:rsidRPr="00780B69" w:rsidRDefault="006D42D2" w:rsidP="000E68B9">
      <w:pPr>
        <w:spacing w:after="0" w:line="240" w:lineRule="auto"/>
        <w:rPr>
          <w:rFonts w:ascii="Times New Roman" w:hAnsi="Times New Roman" w:cs="Times New Roman"/>
          <w:b/>
          <w:bCs/>
        </w:rPr>
      </w:pPr>
      <w:r w:rsidRPr="00780B69">
        <w:rPr>
          <w:rFonts w:ascii="Times New Roman" w:hAnsi="Times New Roman" w:cs="Times New Roman"/>
          <w:b/>
          <w:bCs/>
        </w:rPr>
        <w:t>4.1 Model Specification</w:t>
      </w:r>
    </w:p>
    <w:p w14:paraId="54C0E633" w14:textId="30D0F0F1" w:rsidR="006D42D2" w:rsidRPr="00962350" w:rsidRDefault="006D42D2" w:rsidP="000E68B9">
      <w:pPr>
        <w:spacing w:after="0" w:line="240" w:lineRule="auto"/>
      </w:pPr>
      <w:r w:rsidRPr="3843C968">
        <w:rPr>
          <w:rFonts w:ascii="Times New Roman" w:hAnsi="Times New Roman" w:cs="Times New Roman"/>
        </w:rPr>
        <w:t>Both</w:t>
      </w:r>
      <w:r w:rsidRPr="00962350">
        <w:rPr>
          <w:rFonts w:ascii="Times New Roman" w:hAnsi="Times New Roman" w:cs="Times New Roman"/>
        </w:rPr>
        <w:t xml:space="preserve"> models estimate AR(1)-GARCH(1,1)</w:t>
      </w:r>
      <w:r w:rsidR="007328F4">
        <w:rPr>
          <w:rFonts w:ascii="Times New Roman" w:hAnsi="Times New Roman" w:cs="Times New Roman"/>
        </w:rPr>
        <w:t xml:space="preserve"> [Auto Regressive</w:t>
      </w:r>
      <w:r w:rsidR="008C22D6">
        <w:rPr>
          <w:rFonts w:ascii="Times New Roman" w:hAnsi="Times New Roman" w:cs="Times New Roman"/>
        </w:rPr>
        <w:t xml:space="preserve"> </w:t>
      </w:r>
      <w:r w:rsidR="00C05106">
        <w:rPr>
          <w:rFonts w:ascii="Times New Roman" w:hAnsi="Times New Roman" w:cs="Times New Roman"/>
        </w:rPr>
        <w:t>+ Generalized Autoregressive Conditional Heteroskedasticity]</w:t>
      </w:r>
      <w:r w:rsidRPr="00962350">
        <w:rPr>
          <w:rFonts w:ascii="Times New Roman" w:hAnsi="Times New Roman" w:cs="Times New Roman"/>
        </w:rPr>
        <w:t xml:space="preserve"> via maximum likelihood with robust covariance estimation</w:t>
      </w:r>
      <w:r w:rsidR="6AEB6F2C" w:rsidRPr="58221387">
        <w:rPr>
          <w:rFonts w:ascii="Times New Roman" w:hAnsi="Times New Roman" w:cs="Times New Roman"/>
        </w:rPr>
        <w:t>,</w:t>
      </w:r>
      <w:r w:rsidR="41A3FC74" w:rsidRPr="74BCFB9A">
        <w:rPr>
          <w:rFonts w:ascii="Times New Roman" w:hAnsi="Times New Roman" w:cs="Times New Roman"/>
        </w:rPr>
        <w:t xml:space="preserve"> </w:t>
      </w:r>
      <w:r w:rsidR="6AEB6F2C" w:rsidRPr="765E0F86">
        <w:rPr>
          <w:rFonts w:ascii="Times New Roman" w:hAnsi="Times New Roman" w:cs="Times New Roman"/>
        </w:rPr>
        <w:t xml:space="preserve">using the ARCH framework of </w:t>
      </w:r>
      <w:r w:rsidR="41A3FC74" w:rsidRPr="22570CF3">
        <w:rPr>
          <w:rFonts w:ascii="Times New Roman" w:hAnsi="Times New Roman" w:cs="Times New Roman"/>
        </w:rPr>
        <w:t>Engle</w:t>
      </w:r>
      <w:r w:rsidR="41A3FC74" w:rsidRPr="4A08DF87">
        <w:rPr>
          <w:rFonts w:ascii="Times New Roman" w:hAnsi="Times New Roman" w:cs="Times New Roman"/>
        </w:rPr>
        <w:t>(1982</w:t>
      </w:r>
      <w:r w:rsidR="55C2391D" w:rsidRPr="1BCD89EE">
        <w:rPr>
          <w:rFonts w:ascii="Times New Roman" w:hAnsi="Times New Roman" w:cs="Times New Roman"/>
        </w:rPr>
        <w:t>)</w:t>
      </w:r>
      <w:r w:rsidR="1A3387DA" w:rsidRPr="1BCD89EE">
        <w:rPr>
          <w:rFonts w:ascii="Times New Roman" w:hAnsi="Times New Roman" w:cs="Times New Roman"/>
        </w:rPr>
        <w:t xml:space="preserve"> </w:t>
      </w:r>
      <w:r w:rsidR="4411179B" w:rsidRPr="391074A4">
        <w:rPr>
          <w:rFonts w:ascii="Times New Roman" w:hAnsi="Times New Roman" w:cs="Times New Roman"/>
        </w:rPr>
        <w:t>and the GARCH extension of Bollerslev (1986</w:t>
      </w:r>
      <w:r w:rsidR="4411179B" w:rsidRPr="2E446316">
        <w:rPr>
          <w:rFonts w:ascii="Times New Roman" w:hAnsi="Times New Roman" w:cs="Times New Roman"/>
        </w:rPr>
        <w:t>)</w:t>
      </w:r>
      <w:r w:rsidR="057D9D44" w:rsidRPr="2E446316">
        <w:rPr>
          <w:rFonts w:ascii="Times New Roman" w:hAnsi="Times New Roman" w:cs="Times New Roman"/>
        </w:rPr>
        <w:t xml:space="preserve">. </w:t>
      </w:r>
    </w:p>
    <w:p w14:paraId="3A502D14" w14:textId="653A65BE" w:rsidR="006D42D2" w:rsidRPr="00962350" w:rsidRDefault="006D42D2" w:rsidP="0E6FCC61">
      <w:pPr>
        <w:spacing w:after="0" w:line="240" w:lineRule="auto"/>
        <w:rPr>
          <w:rFonts w:ascii="Times New Roman" w:hAnsi="Times New Roman" w:cs="Times New Roman"/>
        </w:rPr>
      </w:pPr>
    </w:p>
    <w:p w14:paraId="3F8DCDD6" w14:textId="4C3A0A2E" w:rsidR="006D42D2" w:rsidRPr="00962350" w:rsidRDefault="3FC86E10" w:rsidP="000E68B9">
      <w:pPr>
        <w:spacing w:after="0" w:line="240" w:lineRule="auto"/>
      </w:pPr>
      <w:r w:rsidRPr="433ED3C2">
        <w:rPr>
          <w:rFonts w:ascii="Times New Roman" w:hAnsi="Times New Roman" w:cs="Times New Roman"/>
        </w:rPr>
        <w:t xml:space="preserve">Both models follow the intervention analysis framework of Box and Tiao (1975), which formalizes the effect of a known external event on an autocorrelated time series by incorporating </w:t>
      </w:r>
      <w:r w:rsidRPr="6B65A55B">
        <w:rPr>
          <w:rFonts w:ascii="Times New Roman" w:hAnsi="Times New Roman" w:cs="Times New Roman"/>
        </w:rPr>
        <w:t>dummy variables</w:t>
      </w:r>
      <w:r w:rsidRPr="433ED3C2">
        <w:rPr>
          <w:rFonts w:ascii="Times New Roman" w:hAnsi="Times New Roman" w:cs="Times New Roman"/>
        </w:rPr>
        <w:t xml:space="preserve"> representing the intervention directly into the mean equation.</w:t>
      </w:r>
    </w:p>
    <w:p w14:paraId="0D3E1FED" w14:textId="54AE16EF" w:rsidR="006D42D2" w:rsidRPr="00962350" w:rsidRDefault="006D42D2" w:rsidP="433ED3C2">
      <w:pPr>
        <w:spacing w:after="0" w:line="240" w:lineRule="auto"/>
        <w:rPr>
          <w:rFonts w:ascii="Times New Roman" w:hAnsi="Times New Roman" w:cs="Times New Roman"/>
        </w:rPr>
      </w:pPr>
    </w:p>
    <w:p w14:paraId="2FE68F01" w14:textId="7D058D0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The general system </w:t>
      </w:r>
      <w:r w:rsidR="62B9D1E1" w:rsidRPr="6770D224">
        <w:rPr>
          <w:rFonts w:ascii="Times New Roman" w:hAnsi="Times New Roman" w:cs="Times New Roman"/>
        </w:rPr>
        <w:t xml:space="preserve">models time-varying </w:t>
      </w:r>
      <w:r w:rsidR="62B9D1E1" w:rsidRPr="3AC2D692">
        <w:rPr>
          <w:rFonts w:ascii="Times New Roman" w:hAnsi="Times New Roman" w:cs="Times New Roman"/>
        </w:rPr>
        <w:t xml:space="preserve">volatility as a function of past </w:t>
      </w:r>
      <w:r w:rsidR="62B9D1E1" w:rsidRPr="441E7D51">
        <w:rPr>
          <w:rFonts w:ascii="Times New Roman" w:hAnsi="Times New Roman" w:cs="Times New Roman"/>
        </w:rPr>
        <w:t xml:space="preserve">squared residuals and past </w:t>
      </w:r>
      <w:r w:rsidR="62B9D1E1" w:rsidRPr="1BEE625A">
        <w:rPr>
          <w:rFonts w:ascii="Times New Roman" w:hAnsi="Times New Roman" w:cs="Times New Roman"/>
        </w:rPr>
        <w:t xml:space="preserve">conditional variance </w:t>
      </w:r>
      <w:r w:rsidR="62B9D1E1" w:rsidRPr="3AA9E49F">
        <w:rPr>
          <w:rFonts w:ascii="Times New Roman" w:hAnsi="Times New Roman" w:cs="Times New Roman"/>
        </w:rPr>
        <w:t>where</w:t>
      </w:r>
      <w:r w:rsidRPr="00962350">
        <w:rPr>
          <w:rFonts w:ascii="Times New Roman" w:hAnsi="Times New Roman" w:cs="Times New Roman"/>
        </w:rPr>
        <w:t>:</w:t>
      </w:r>
    </w:p>
    <w:p w14:paraId="72D7E8E5" w14:textId="77777777" w:rsidR="00C65120" w:rsidRDefault="00C65120" w:rsidP="000E68B9">
      <w:pPr>
        <w:spacing w:after="0" w:line="240" w:lineRule="auto"/>
        <w:rPr>
          <w:rStyle w:val="Strong"/>
          <w:rFonts w:ascii="Times New Roman" w:hAnsi="Times New Roman" w:cs="Times New Roman"/>
        </w:rPr>
      </w:pPr>
    </w:p>
    <w:p w14:paraId="3B08D408" w14:textId="2A11402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Mean equation:</w:t>
      </w:r>
    </w:p>
    <w:p w14:paraId="5CBB195C" w14:textId="77777777" w:rsidR="006D42D2" w:rsidRPr="00E972E5" w:rsidRDefault="006D42D2" w:rsidP="000E68B9">
      <w:pPr>
        <w:spacing w:after="0" w:line="240" w:lineRule="auto"/>
        <w:rPr>
          <w:rFonts w:ascii="Times New Roman" w:hAnsi="Times New Roman" w:cs="Times New Roman"/>
          <w:sz w:val="28"/>
          <w:szCs w:val="28"/>
        </w:rPr>
      </w:pPr>
      <w:r w:rsidRPr="00E972E5">
        <w:rPr>
          <w:rStyle w:val="HTMLCode"/>
          <w:rFonts w:ascii="Times New Roman" w:eastAsiaTheme="minorEastAsia" w:hAnsi="Times New Roman" w:cs="Times New Roman"/>
          <w:sz w:val="28"/>
          <w:szCs w:val="28"/>
        </w:rPr>
        <w:t>y_t = α + φ·y_{t-1} + β₁·shock₁_t + β₂·shock₂_t + γ·X_t + ε_t</w:t>
      </w:r>
    </w:p>
    <w:p w14:paraId="270EF842" w14:textId="77777777" w:rsidR="00C65120" w:rsidRDefault="00C65120" w:rsidP="000E68B9">
      <w:pPr>
        <w:spacing w:after="0" w:line="240" w:lineRule="auto"/>
        <w:rPr>
          <w:rStyle w:val="Strong"/>
          <w:rFonts w:ascii="Times New Roman" w:hAnsi="Times New Roman" w:cs="Times New Roman"/>
        </w:rPr>
      </w:pPr>
    </w:p>
    <w:p w14:paraId="10C8D230" w14:textId="600E7E45"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Variance equation:</w:t>
      </w:r>
    </w:p>
    <w:p w14:paraId="03344745" w14:textId="77777777" w:rsidR="006D42D2" w:rsidRPr="00E972E5" w:rsidRDefault="006D42D2" w:rsidP="000E68B9">
      <w:pPr>
        <w:spacing w:after="0" w:line="240" w:lineRule="auto"/>
        <w:rPr>
          <w:rFonts w:ascii="Times New Roman" w:hAnsi="Times New Roman" w:cs="Times New Roman"/>
          <w:sz w:val="28"/>
          <w:szCs w:val="28"/>
        </w:rPr>
      </w:pPr>
      <w:r w:rsidRPr="00E972E5">
        <w:rPr>
          <w:rStyle w:val="HTMLCode"/>
          <w:rFonts w:ascii="Times New Roman" w:eastAsiaTheme="minorEastAsia" w:hAnsi="Times New Roman" w:cs="Times New Roman"/>
          <w:sz w:val="28"/>
          <w:szCs w:val="28"/>
        </w:rPr>
        <w:t>σ²_t = ω + a·ε²_{t-1} + b·σ²_{t-1}</w:t>
      </w:r>
    </w:p>
    <w:p w14:paraId="0CE92311" w14:textId="77777777" w:rsidR="00C65120" w:rsidRDefault="00C65120" w:rsidP="000E68B9">
      <w:pPr>
        <w:spacing w:after="0" w:line="240" w:lineRule="auto"/>
        <w:rPr>
          <w:rFonts w:ascii="Times New Roman" w:hAnsi="Times New Roman" w:cs="Times New Roman"/>
        </w:rPr>
      </w:pPr>
    </w:p>
    <w:p w14:paraId="6791E17B" w14:textId="77777777" w:rsidR="00E972E5" w:rsidRDefault="006D42D2" w:rsidP="000E68B9">
      <w:pPr>
        <w:spacing w:after="0" w:line="240" w:lineRule="auto"/>
        <w:rPr>
          <w:rFonts w:ascii="Times New Roman" w:hAnsi="Times New Roman" w:cs="Times New Roman"/>
        </w:rPr>
      </w:pPr>
      <w:r w:rsidRPr="00962350">
        <w:rPr>
          <w:rStyle w:val="HTMLCode"/>
          <w:rFonts w:ascii="Times New Roman" w:eastAsiaTheme="minorEastAsia" w:hAnsi="Times New Roman" w:cs="Times New Roman"/>
        </w:rPr>
        <w:t>y_t</w:t>
      </w:r>
      <w:r w:rsidRPr="00962350">
        <w:rPr>
          <w:rFonts w:ascii="Times New Roman" w:hAnsi="Times New Roman" w:cs="Times New Roman"/>
        </w:rPr>
        <w:t xml:space="preserve"> is the relevant spread</w:t>
      </w:r>
    </w:p>
    <w:p w14:paraId="13483895" w14:textId="36AD5320" w:rsidR="00E972E5" w:rsidRDefault="006D42D2" w:rsidP="000E68B9">
      <w:pPr>
        <w:spacing w:after="0" w:line="240" w:lineRule="auto"/>
        <w:rPr>
          <w:rFonts w:ascii="Times New Roman" w:hAnsi="Times New Roman" w:cs="Times New Roman"/>
        </w:rPr>
      </w:pPr>
      <w:r w:rsidRPr="00962350">
        <w:rPr>
          <w:rStyle w:val="HTMLCode"/>
          <w:rFonts w:ascii="Times New Roman" w:eastAsiaTheme="minorEastAsia" w:hAnsi="Times New Roman" w:cs="Times New Roman"/>
        </w:rPr>
        <w:t>y_{t-1}</w:t>
      </w:r>
      <w:r w:rsidRPr="00962350">
        <w:rPr>
          <w:rFonts w:ascii="Times New Roman" w:hAnsi="Times New Roman" w:cs="Times New Roman"/>
        </w:rPr>
        <w:t xml:space="preserve"> is the AR(1) lag</w:t>
      </w:r>
    </w:p>
    <w:p w14:paraId="78A6EBB4" w14:textId="77777777" w:rsidR="00E972E5" w:rsidRDefault="006D42D2" w:rsidP="000E68B9">
      <w:pPr>
        <w:spacing w:after="0" w:line="240" w:lineRule="auto"/>
        <w:rPr>
          <w:rFonts w:ascii="Times New Roman" w:hAnsi="Times New Roman" w:cs="Times New Roman"/>
        </w:rPr>
      </w:pPr>
      <w:r w:rsidRPr="00962350">
        <w:rPr>
          <w:rFonts w:ascii="Times New Roman" w:hAnsi="Times New Roman" w:cs="Times New Roman"/>
        </w:rPr>
        <w:t>shocks are event dummies</w:t>
      </w:r>
    </w:p>
    <w:p w14:paraId="443A0143" w14:textId="0ADC83BC" w:rsidR="00E972E5" w:rsidRDefault="006D42D2" w:rsidP="000E68B9">
      <w:pPr>
        <w:spacing w:after="0" w:line="240" w:lineRule="auto"/>
        <w:rPr>
          <w:rFonts w:ascii="Times New Roman" w:hAnsi="Times New Roman" w:cs="Times New Roman"/>
        </w:rPr>
      </w:pPr>
      <w:r w:rsidRPr="00962350">
        <w:rPr>
          <w:rStyle w:val="HTMLCode"/>
          <w:rFonts w:ascii="Times New Roman" w:eastAsiaTheme="minorEastAsia" w:hAnsi="Times New Roman" w:cs="Times New Roman"/>
        </w:rPr>
        <w:t>X_t</w:t>
      </w:r>
      <w:r w:rsidRPr="00962350">
        <w:rPr>
          <w:rFonts w:ascii="Times New Roman" w:hAnsi="Times New Roman" w:cs="Times New Roman"/>
        </w:rPr>
        <w:t xml:space="preserve"> is the control vector</w:t>
      </w:r>
      <w:r w:rsidR="003B1081">
        <w:rPr>
          <w:rFonts w:ascii="Times New Roman" w:hAnsi="Times New Roman" w:cs="Times New Roman"/>
        </w:rPr>
        <w:t xml:space="preserve"> </w:t>
      </w:r>
    </w:p>
    <w:p w14:paraId="079ECEA7" w14:textId="6C499D15"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 </w:t>
      </w:r>
      <w:r w:rsidRPr="00962350">
        <w:rPr>
          <w:rStyle w:val="HTMLCode"/>
          <w:rFonts w:ascii="Times New Roman" w:eastAsiaTheme="minorEastAsia" w:hAnsi="Times New Roman" w:cs="Times New Roman"/>
        </w:rPr>
        <w:t>ε_t</w:t>
      </w:r>
      <w:r w:rsidRPr="00962350">
        <w:rPr>
          <w:rFonts w:ascii="Times New Roman" w:hAnsi="Times New Roman" w:cs="Times New Roman"/>
        </w:rPr>
        <w:t xml:space="preserve"> are innovations distributed as standardized Student-t with estimated degrees of freedom ν.</w:t>
      </w:r>
    </w:p>
    <w:p w14:paraId="11325EC0" w14:textId="77777777" w:rsidR="00C65120" w:rsidRDefault="00C65120" w:rsidP="000E68B9">
      <w:pPr>
        <w:spacing w:after="0" w:line="240" w:lineRule="auto"/>
        <w:rPr>
          <w:rFonts w:ascii="Times New Roman" w:hAnsi="Times New Roman" w:cs="Times New Roman"/>
        </w:rPr>
      </w:pPr>
    </w:p>
    <w:p w14:paraId="2D64F296" w14:textId="6FFAAC8E" w:rsidR="00431155" w:rsidRPr="00431155" w:rsidRDefault="00431155" w:rsidP="000E68B9">
      <w:pPr>
        <w:spacing w:after="0" w:line="240" w:lineRule="auto"/>
        <w:rPr>
          <w:rFonts w:ascii="Times New Roman" w:hAnsi="Times New Roman" w:cs="Times New Roman"/>
          <w:b/>
          <w:bCs/>
        </w:rPr>
      </w:pPr>
      <w:r w:rsidRPr="00431155">
        <w:rPr>
          <w:rFonts w:ascii="Times New Roman" w:hAnsi="Times New Roman" w:cs="Times New Roman"/>
          <w:b/>
          <w:bCs/>
        </w:rPr>
        <w:t>Model Breakdown:</w:t>
      </w:r>
    </w:p>
    <w:p w14:paraId="6E25169E" w14:textId="742093BB" w:rsidR="00431155" w:rsidRPr="00651333" w:rsidRDefault="00431155" w:rsidP="000E68B9">
      <w:pPr>
        <w:spacing w:after="0" w:line="240" w:lineRule="auto"/>
        <w:rPr>
          <w:rFonts w:ascii="Times New Roman" w:hAnsi="Times New Roman" w:cs="Times New Roman"/>
        </w:rPr>
      </w:pPr>
      <w:r w:rsidRPr="00651333">
        <w:rPr>
          <w:rFonts w:ascii="Times New Roman" w:hAnsi="Times New Roman" w:cs="Times New Roman"/>
          <w:b/>
          <w:bCs/>
        </w:rPr>
        <w:t xml:space="preserve">AR(1) </w:t>
      </w:r>
      <w:r w:rsidR="00194593" w:rsidRPr="00651333">
        <w:rPr>
          <w:rFonts w:ascii="Times New Roman" w:hAnsi="Times New Roman" w:cs="Times New Roman"/>
          <w:b/>
          <w:bCs/>
        </w:rPr>
        <w:t>[Auto-Regressive, 1 Lag]:</w:t>
      </w:r>
      <w:r w:rsidR="00194593">
        <w:rPr>
          <w:rFonts w:ascii="Times New Roman" w:hAnsi="Times New Roman" w:cs="Times New Roman"/>
        </w:rPr>
        <w:t xml:space="preserve"> </w:t>
      </w:r>
    </w:p>
    <w:p w14:paraId="5BFC04E4" w14:textId="104F8F42" w:rsidR="00431155" w:rsidRDefault="00C258C1" w:rsidP="000E68B9">
      <w:pPr>
        <w:spacing w:after="0" w:line="240" w:lineRule="auto"/>
        <w:rPr>
          <w:rFonts w:ascii="Times New Roman" w:hAnsi="Times New Roman" w:cs="Times New Roman"/>
        </w:rPr>
      </w:pPr>
      <w:r>
        <w:rPr>
          <w:rFonts w:ascii="Times New Roman" w:hAnsi="Times New Roman" w:cs="Times New Roman"/>
        </w:rPr>
        <w:t>Fundamentally, AR model calculates the expected baseline level of the spread today by combining yesterday’s price (</w:t>
      </w:r>
      <w:r w:rsidRPr="00E972E5">
        <w:rPr>
          <w:rStyle w:val="HTMLCode"/>
          <w:rFonts w:ascii="Times New Roman" w:eastAsiaTheme="minorEastAsia" w:hAnsi="Times New Roman" w:cs="Times New Roman"/>
          <w:sz w:val="28"/>
          <w:szCs w:val="28"/>
        </w:rPr>
        <w:t>φ·y_{t-1}</w:t>
      </w:r>
      <w:r>
        <w:rPr>
          <w:rFonts w:ascii="Times New Roman" w:hAnsi="Times New Roman" w:cs="Times New Roman"/>
        </w:rPr>
        <w:t>) , the sanctions event (</w:t>
      </w:r>
      <w:r w:rsidRPr="00E972E5">
        <w:rPr>
          <w:rStyle w:val="HTMLCode"/>
          <w:rFonts w:ascii="Times New Roman" w:eastAsiaTheme="minorEastAsia" w:hAnsi="Times New Roman" w:cs="Times New Roman"/>
          <w:sz w:val="28"/>
          <w:szCs w:val="28"/>
        </w:rPr>
        <w:t>β₁·shock₁_t + β₂·shock₂_t</w:t>
      </w:r>
      <w:r>
        <w:rPr>
          <w:rFonts w:ascii="Times New Roman" w:hAnsi="Times New Roman" w:cs="Times New Roman"/>
        </w:rPr>
        <w:t>), and the macro controls (</w:t>
      </w:r>
      <w:r w:rsidRPr="00E972E5">
        <w:rPr>
          <w:rStyle w:val="HTMLCode"/>
          <w:rFonts w:ascii="Times New Roman" w:eastAsiaTheme="minorEastAsia" w:hAnsi="Times New Roman" w:cs="Times New Roman"/>
          <w:sz w:val="28"/>
          <w:szCs w:val="28"/>
        </w:rPr>
        <w:t>γ·X_t</w:t>
      </w:r>
      <w:r>
        <w:rPr>
          <w:rFonts w:ascii="Times New Roman" w:hAnsi="Times New Roman" w:cs="Times New Roman"/>
        </w:rPr>
        <w:t>).</w:t>
      </w:r>
    </w:p>
    <w:p w14:paraId="38FACB9A" w14:textId="0D2E5709" w:rsidR="00B94D3B" w:rsidRDefault="00C258C1" w:rsidP="000E68B9">
      <w:pPr>
        <w:spacing w:after="0" w:line="240" w:lineRule="auto"/>
        <w:rPr>
          <w:rFonts w:ascii="Times New Roman" w:hAnsi="Times New Roman" w:cs="Times New Roman"/>
          <w:b/>
          <w:bCs/>
        </w:rPr>
      </w:pPr>
      <w:r>
        <w:rPr>
          <w:rFonts w:ascii="Times New Roman" w:hAnsi="Times New Roman" w:cs="Times New Roman"/>
        </w:rPr>
        <w:t xml:space="preserve">AR(1) specifies that the model looks back exactly 1 trading day. This model states that </w:t>
      </w:r>
      <w:r>
        <w:rPr>
          <w:rFonts w:ascii="Times New Roman" w:hAnsi="Times New Roman" w:cs="Times New Roman"/>
          <w:b/>
          <w:bCs/>
        </w:rPr>
        <w:t>today’s spread</w:t>
      </w:r>
      <w:r>
        <w:rPr>
          <w:rFonts w:ascii="Times New Roman" w:hAnsi="Times New Roman" w:cs="Times New Roman"/>
        </w:rPr>
        <w:t xml:space="preserve"> (y_t) is heavily influenced by </w:t>
      </w:r>
      <w:r w:rsidRPr="00651333">
        <w:rPr>
          <w:rFonts w:ascii="Times New Roman" w:hAnsi="Times New Roman" w:cs="Times New Roman"/>
          <w:b/>
          <w:bCs/>
        </w:rPr>
        <w:t>yesterday’s spread</w:t>
      </w:r>
      <w:r>
        <w:rPr>
          <w:rFonts w:ascii="Times New Roman" w:hAnsi="Times New Roman" w:cs="Times New Roman"/>
        </w:rPr>
        <w:t xml:space="preserve"> (y_t-1)</w:t>
      </w:r>
    </w:p>
    <w:p w14:paraId="268A688E" w14:textId="77777777" w:rsidR="00B94D3B" w:rsidRPr="000D6D50" w:rsidRDefault="00B94D3B" w:rsidP="000E68B9">
      <w:pPr>
        <w:spacing w:after="0" w:line="240" w:lineRule="auto"/>
        <w:rPr>
          <w:rFonts w:ascii="Times New Roman" w:hAnsi="Times New Roman" w:cs="Times New Roman"/>
          <w:b/>
          <w:bCs/>
        </w:rPr>
      </w:pPr>
    </w:p>
    <w:p w14:paraId="5CD9656A" w14:textId="77777777" w:rsidR="00C258C1" w:rsidRPr="000D6D50" w:rsidRDefault="00E972E5" w:rsidP="000E68B9">
      <w:pPr>
        <w:spacing w:after="0" w:line="240" w:lineRule="auto"/>
        <w:rPr>
          <w:rFonts w:ascii="Times New Roman" w:hAnsi="Times New Roman" w:cs="Times New Roman"/>
          <w:b/>
          <w:bCs/>
        </w:rPr>
      </w:pPr>
      <w:r w:rsidRPr="000D6D50">
        <w:rPr>
          <w:rFonts w:ascii="Times New Roman" w:hAnsi="Times New Roman" w:cs="Times New Roman"/>
          <w:b/>
          <w:bCs/>
        </w:rPr>
        <w:t>GARCH(1,1) [Generalized Auto-Regressive Conditional Heteroskedasticity]</w:t>
      </w:r>
      <w:r w:rsidR="007D1B38" w:rsidRPr="000D6D50">
        <w:rPr>
          <w:rFonts w:ascii="Times New Roman" w:hAnsi="Times New Roman" w:cs="Times New Roman"/>
          <w:b/>
          <w:bCs/>
        </w:rPr>
        <w:t>:</w:t>
      </w:r>
    </w:p>
    <w:p w14:paraId="7C85408A" w14:textId="0A1FE2E1" w:rsidR="00C258C1" w:rsidRPr="000D6D50" w:rsidRDefault="00C258C1" w:rsidP="000E68B9">
      <w:pPr>
        <w:spacing w:after="0" w:line="240" w:lineRule="auto"/>
        <w:rPr>
          <w:rStyle w:val="HTMLCode"/>
          <w:rFonts w:ascii="Times New Roman" w:eastAsiaTheme="minorEastAsia" w:hAnsi="Times New Roman" w:cs="Times New Roman"/>
          <w:sz w:val="24"/>
          <w:szCs w:val="24"/>
        </w:rPr>
      </w:pPr>
      <w:r w:rsidRPr="000D6D50">
        <w:rPr>
          <w:rFonts w:ascii="Times New Roman" w:hAnsi="Times New Roman" w:cs="Times New Roman"/>
        </w:rPr>
        <w:lastRenderedPageBreak/>
        <w:t>This model predicts today’s risk or market volatility (</w:t>
      </w:r>
      <w:r w:rsidRPr="000D6D50">
        <w:rPr>
          <w:rStyle w:val="HTMLCode"/>
          <w:rFonts w:ascii="Times New Roman" w:eastAsiaTheme="minorEastAsia" w:hAnsi="Times New Roman" w:cs="Times New Roman"/>
          <w:sz w:val="24"/>
          <w:szCs w:val="24"/>
        </w:rPr>
        <w:t>σ²_t)</w:t>
      </w:r>
      <w:r w:rsidR="00E46723" w:rsidRPr="000D6D50">
        <w:rPr>
          <w:rStyle w:val="HTMLCode"/>
          <w:rFonts w:ascii="Times New Roman" w:eastAsiaTheme="minorEastAsia" w:hAnsi="Times New Roman" w:cs="Times New Roman"/>
          <w:sz w:val="24"/>
          <w:szCs w:val="24"/>
        </w:rPr>
        <w:t xml:space="preserve"> </w:t>
      </w:r>
      <w:r w:rsidR="008E2D11" w:rsidRPr="000D6D50">
        <w:rPr>
          <w:rStyle w:val="HTMLCode"/>
          <w:rFonts w:ascii="Times New Roman" w:eastAsiaTheme="minorEastAsia" w:hAnsi="Times New Roman" w:cs="Times New Roman"/>
          <w:sz w:val="24"/>
          <w:szCs w:val="24"/>
        </w:rPr>
        <w:t>by establishing baseline noise (</w:t>
      </w:r>
      <w:r w:rsidR="000C70D1" w:rsidRPr="000D6D50">
        <w:rPr>
          <w:rStyle w:val="HTMLCode"/>
          <w:rFonts w:ascii="Times New Roman" w:eastAsiaTheme="minorEastAsia" w:hAnsi="Times New Roman" w:cs="Times New Roman"/>
          <w:sz w:val="24"/>
          <w:szCs w:val="24"/>
        </w:rPr>
        <w:t>ω), yesterday’s shock (a·ε²_{t-1})</w:t>
      </w:r>
      <w:r w:rsidR="000D6D50" w:rsidRPr="000D6D50">
        <w:rPr>
          <w:rStyle w:val="HTMLCode"/>
          <w:rFonts w:ascii="Times New Roman" w:eastAsiaTheme="minorEastAsia" w:hAnsi="Times New Roman" w:cs="Times New Roman"/>
          <w:sz w:val="24"/>
          <w:szCs w:val="24"/>
        </w:rPr>
        <w:t xml:space="preserve">, yesterday’s lingering volatility (b·σ²_{t-1}). </w:t>
      </w:r>
    </w:p>
    <w:p w14:paraId="78D06AFF" w14:textId="2C91BE30" w:rsidR="000D6D50" w:rsidRPr="000D6D50" w:rsidRDefault="000D6D50" w:rsidP="000E68B9">
      <w:pPr>
        <w:spacing w:after="0" w:line="240" w:lineRule="auto"/>
        <w:rPr>
          <w:rFonts w:ascii="Times New Roman" w:hAnsi="Times New Roman" w:cs="Times New Roman"/>
        </w:rPr>
      </w:pPr>
      <w:r w:rsidRPr="000D6D50">
        <w:rPr>
          <w:rStyle w:val="HTMLCode"/>
          <w:rFonts w:ascii="Times New Roman" w:eastAsiaTheme="minorEastAsia" w:hAnsi="Times New Roman" w:cs="Times New Roman"/>
          <w:sz w:val="24"/>
          <w:szCs w:val="24"/>
        </w:rPr>
        <w:t>This is what captures volatility clustering (the idea that calm days follow calm days, and chaotic days follow chaotic days)</w:t>
      </w:r>
    </w:p>
    <w:p w14:paraId="747C08DF" w14:textId="39794458" w:rsidR="00C258C1" w:rsidRPr="000D6D50" w:rsidRDefault="00C258C1" w:rsidP="000E68B9">
      <w:pPr>
        <w:spacing w:after="0" w:line="240" w:lineRule="auto"/>
        <w:rPr>
          <w:rFonts w:ascii="Times New Roman" w:hAnsi="Times New Roman" w:cs="Times New Roman"/>
        </w:rPr>
      </w:pPr>
    </w:p>
    <w:p w14:paraId="1AC8CA45" w14:textId="368578D5" w:rsidR="007B3986" w:rsidRPr="000D6D50" w:rsidRDefault="007B3986" w:rsidP="000E68B9">
      <w:pPr>
        <w:spacing w:after="0" w:line="240" w:lineRule="auto"/>
        <w:rPr>
          <w:rFonts w:ascii="Times New Roman" w:hAnsi="Times New Roman" w:cs="Times New Roman"/>
        </w:rPr>
      </w:pPr>
      <w:r w:rsidRPr="007B3986">
        <w:rPr>
          <w:rFonts w:ascii="Times New Roman" w:hAnsi="Times New Roman" w:cs="Times New Roman"/>
          <w:b/>
          <w:bCs/>
        </w:rPr>
        <w:t>(1,1):</w:t>
      </w:r>
      <w:r w:rsidR="000D6D50">
        <w:rPr>
          <w:rFonts w:ascii="Times New Roman" w:hAnsi="Times New Roman" w:cs="Times New Roman"/>
          <w:b/>
          <w:bCs/>
        </w:rPr>
        <w:t xml:space="preserve"> </w:t>
      </w:r>
      <w:r w:rsidR="000D6D50" w:rsidRPr="008E2D11">
        <w:rPr>
          <w:rFonts w:ascii="Times New Roman" w:hAnsi="Times New Roman" w:cs="Times New Roman"/>
        </w:rPr>
        <w:t>This specifies the lag structure for volatility prediction.</w:t>
      </w:r>
      <w:r w:rsidRPr="007B3986">
        <w:rPr>
          <w:rFonts w:ascii="Times New Roman" w:hAnsi="Times New Roman" w:cs="Times New Roman"/>
          <w:b/>
          <w:bCs/>
        </w:rPr>
        <w:t xml:space="preserve"> </w:t>
      </w:r>
    </w:p>
    <w:p w14:paraId="5A5FEFAC" w14:textId="1E21170A" w:rsidR="007B3986" w:rsidRDefault="007B3986" w:rsidP="007B3986">
      <w:pPr>
        <w:spacing w:after="0" w:line="240" w:lineRule="auto"/>
        <w:ind w:left="720"/>
        <w:rPr>
          <w:rFonts w:ascii="Times New Roman" w:hAnsi="Times New Roman" w:cs="Times New Roman"/>
        </w:rPr>
      </w:pPr>
      <w:r w:rsidRPr="007B3986">
        <w:rPr>
          <w:rFonts w:ascii="Times New Roman" w:hAnsi="Times New Roman" w:cs="Times New Roman"/>
          <w:b/>
          <w:bCs/>
        </w:rPr>
        <w:t>The first 1</w:t>
      </w:r>
      <w:r>
        <w:rPr>
          <w:rFonts w:ascii="Times New Roman" w:hAnsi="Times New Roman" w:cs="Times New Roman"/>
        </w:rPr>
        <w:t xml:space="preserve">: indicates that the model looks back at 1 lag of yesterday’s unexpected surprise/shock </w:t>
      </w:r>
      <w:r w:rsidRPr="007B3986">
        <w:rPr>
          <w:rFonts w:ascii="Times New Roman" w:hAnsi="Times New Roman" w:cs="Times New Roman"/>
          <w:b/>
          <w:bCs/>
        </w:rPr>
        <w:t>(</w:t>
      </w:r>
      <w:r w:rsidRPr="007B3986">
        <w:rPr>
          <w:rStyle w:val="HTMLCode"/>
          <w:rFonts w:ascii="Times New Roman" w:eastAsiaTheme="minorEastAsia" w:hAnsi="Times New Roman" w:cs="Times New Roman"/>
          <w:b/>
          <w:bCs/>
          <w:sz w:val="28"/>
          <w:szCs w:val="28"/>
        </w:rPr>
        <w:t>ε²_{t-1})</w:t>
      </w:r>
    </w:p>
    <w:p w14:paraId="7E536EBE" w14:textId="78C2627C" w:rsidR="007B3986" w:rsidRDefault="007B3986" w:rsidP="007B3986">
      <w:pPr>
        <w:spacing w:after="0" w:line="240" w:lineRule="auto"/>
        <w:ind w:left="720"/>
        <w:rPr>
          <w:rFonts w:ascii="Times New Roman" w:hAnsi="Times New Roman" w:cs="Times New Roman"/>
        </w:rPr>
      </w:pPr>
      <w:r w:rsidRPr="007B3986">
        <w:rPr>
          <w:rFonts w:ascii="Times New Roman" w:hAnsi="Times New Roman" w:cs="Times New Roman"/>
          <w:b/>
          <w:bCs/>
        </w:rPr>
        <w:t>The second 1:</w:t>
      </w:r>
      <w:r>
        <w:rPr>
          <w:rFonts w:ascii="Times New Roman" w:hAnsi="Times New Roman" w:cs="Times New Roman"/>
        </w:rPr>
        <w:t xml:space="preserve"> indicates that the model looks back at 1 lag of yesterday’s total market variance </w:t>
      </w:r>
      <w:r w:rsidRPr="007B3986">
        <w:rPr>
          <w:rFonts w:ascii="Times New Roman" w:hAnsi="Times New Roman" w:cs="Times New Roman"/>
          <w:b/>
          <w:bCs/>
        </w:rPr>
        <w:t>(</w:t>
      </w:r>
      <w:r w:rsidRPr="007B3986">
        <w:rPr>
          <w:rStyle w:val="HTMLCode"/>
          <w:rFonts w:ascii="Times New Roman" w:eastAsiaTheme="minorEastAsia" w:hAnsi="Times New Roman" w:cs="Times New Roman"/>
          <w:b/>
          <w:bCs/>
          <w:sz w:val="28"/>
          <w:szCs w:val="28"/>
        </w:rPr>
        <w:t>σ²_{t-1}</w:t>
      </w:r>
      <w:r w:rsidRPr="007B3986">
        <w:rPr>
          <w:rFonts w:ascii="Times New Roman" w:hAnsi="Times New Roman" w:cs="Times New Roman"/>
          <w:b/>
          <w:bCs/>
        </w:rPr>
        <w:t>)</w:t>
      </w:r>
      <w:r>
        <w:rPr>
          <w:rFonts w:ascii="Times New Roman" w:hAnsi="Times New Roman" w:cs="Times New Roman"/>
        </w:rPr>
        <w:t xml:space="preserve">  </w:t>
      </w:r>
    </w:p>
    <w:p w14:paraId="5B47E79F" w14:textId="77777777" w:rsidR="00E972E5" w:rsidRDefault="00E972E5" w:rsidP="000E68B9">
      <w:pPr>
        <w:spacing w:after="0" w:line="240" w:lineRule="auto"/>
        <w:rPr>
          <w:rFonts w:ascii="Times New Roman" w:hAnsi="Times New Roman" w:cs="Times New Roman"/>
        </w:rPr>
      </w:pPr>
    </w:p>
    <w:p w14:paraId="43F7F4D7" w14:textId="6803224E" w:rsidR="00C65120" w:rsidRDefault="006D42D2" w:rsidP="000E68B9">
      <w:pPr>
        <w:spacing w:after="0" w:line="240" w:lineRule="auto"/>
        <w:rPr>
          <w:rFonts w:ascii="Times New Roman" w:hAnsi="Times New Roman" w:cs="Times New Roman"/>
        </w:rPr>
      </w:pPr>
      <w:r w:rsidRPr="00A80D38">
        <w:rPr>
          <w:rFonts w:ascii="Times New Roman" w:hAnsi="Times New Roman" w:cs="Times New Roman"/>
          <w:b/>
          <w:bCs/>
        </w:rPr>
        <w:t>The AR(1) term</w:t>
      </w:r>
      <w:r w:rsidRPr="00962350">
        <w:rPr>
          <w:rFonts w:ascii="Times New Roman" w:hAnsi="Times New Roman" w:cs="Times New Roman"/>
        </w:rPr>
        <w:t xml:space="preserve"> controls for the strong autocorrelation inherent in financial spreads</w:t>
      </w:r>
      <w:r w:rsidR="007328F4">
        <w:rPr>
          <w:rFonts w:ascii="Times New Roman" w:hAnsi="Times New Roman" w:cs="Times New Roman"/>
        </w:rPr>
        <w:t>,</w:t>
      </w:r>
      <w:r w:rsidRPr="00962350">
        <w:rPr>
          <w:rFonts w:ascii="Times New Roman" w:hAnsi="Times New Roman" w:cs="Times New Roman"/>
        </w:rPr>
        <w:t xml:space="preserve"> particularly the SHIBOR-HIBOR spread with its near-unit-root AR coefficient of 0.414 in the differenced specification. </w:t>
      </w:r>
    </w:p>
    <w:p w14:paraId="5FF90E47" w14:textId="77777777" w:rsidR="00974E0A" w:rsidRDefault="00974E0A" w:rsidP="000E68B9">
      <w:pPr>
        <w:spacing w:after="0" w:line="240" w:lineRule="auto"/>
        <w:rPr>
          <w:rFonts w:ascii="Times New Roman" w:hAnsi="Times New Roman" w:cs="Times New Roman"/>
        </w:rPr>
      </w:pPr>
    </w:p>
    <w:p w14:paraId="2C598819" w14:textId="77777777" w:rsidR="00D70004" w:rsidRDefault="006D42D2" w:rsidP="000E68B9">
      <w:pPr>
        <w:spacing w:after="0" w:line="240" w:lineRule="auto"/>
        <w:rPr>
          <w:rFonts w:ascii="Times New Roman" w:hAnsi="Times New Roman" w:cs="Times New Roman"/>
        </w:rPr>
      </w:pPr>
      <w:r w:rsidRPr="00A80D38">
        <w:rPr>
          <w:rFonts w:ascii="Times New Roman" w:hAnsi="Times New Roman" w:cs="Times New Roman"/>
          <w:b/>
          <w:bCs/>
        </w:rPr>
        <w:t>GARCH(1,1)</w:t>
      </w:r>
      <w:r w:rsidRPr="00962350">
        <w:rPr>
          <w:rFonts w:ascii="Times New Roman" w:hAnsi="Times New Roman" w:cs="Times New Roman"/>
        </w:rPr>
        <w:t xml:space="preserve"> accounts for volatility clustering; the variance equation allows periods of elevated uncertainty to cluster rather than assuming constant residual variance. </w:t>
      </w:r>
    </w:p>
    <w:p w14:paraId="1C1A7425" w14:textId="77777777" w:rsidR="00974E0A" w:rsidRDefault="00974E0A" w:rsidP="000E68B9">
      <w:pPr>
        <w:spacing w:after="0" w:line="240" w:lineRule="auto"/>
        <w:rPr>
          <w:rFonts w:ascii="Times New Roman" w:hAnsi="Times New Roman" w:cs="Times New Roman"/>
          <w:b/>
          <w:bCs/>
        </w:rPr>
      </w:pPr>
    </w:p>
    <w:p w14:paraId="1AAF523F" w14:textId="70A59A39" w:rsidR="00A80D38" w:rsidRDefault="006D42D2" w:rsidP="000E68B9">
      <w:pPr>
        <w:spacing w:after="0" w:line="240" w:lineRule="auto"/>
        <w:rPr>
          <w:rFonts w:ascii="Times New Roman" w:hAnsi="Times New Roman" w:cs="Times New Roman"/>
        </w:rPr>
      </w:pPr>
      <w:r w:rsidRPr="00A80D38">
        <w:rPr>
          <w:rFonts w:ascii="Times New Roman" w:hAnsi="Times New Roman" w:cs="Times New Roman"/>
          <w:b/>
          <w:bCs/>
        </w:rPr>
        <w:t>The Student-t</w:t>
      </w:r>
      <w:r w:rsidRPr="00962350">
        <w:rPr>
          <w:rFonts w:ascii="Times New Roman" w:hAnsi="Times New Roman" w:cs="Times New Roman"/>
        </w:rPr>
        <w:t xml:space="preserve"> distribution accommodates fat tails</w:t>
      </w:r>
      <w:r w:rsidR="00CF4F85">
        <w:rPr>
          <w:rFonts w:ascii="Times New Roman" w:hAnsi="Times New Roman" w:cs="Times New Roman"/>
        </w:rPr>
        <w:t>. Standard normal distribution assumes that extreme market crashes almost never occur, but by specifying Student-t distribution</w:t>
      </w:r>
      <w:r w:rsidR="00D6296D">
        <w:rPr>
          <w:rFonts w:ascii="Times New Roman" w:hAnsi="Times New Roman" w:cs="Times New Roman"/>
        </w:rPr>
        <w:t>, the model handles ‘fat-tails’ where estimates degrees of freedom parameter (</w:t>
      </w:r>
      <m:oMath>
        <m:r>
          <w:rPr>
            <w:rFonts w:ascii="Cambria Math" w:hAnsi="Cambria Math" w:cs="Times New Roman"/>
          </w:rPr>
          <m:t>ν</m:t>
        </m:r>
      </m:oMath>
      <w:r w:rsidR="00974E0A">
        <w:rPr>
          <w:rFonts w:ascii="Times New Roman" w:hAnsi="Times New Roman" w:cs="Times New Roman"/>
        </w:rPr>
        <w:t>) dictates the weight of said tails.</w:t>
      </w:r>
    </w:p>
    <w:p w14:paraId="726A9311" w14:textId="1F889C9C" w:rsidR="006D42D2" w:rsidRPr="00962350" w:rsidRDefault="00974E0A" w:rsidP="000E68B9">
      <w:pPr>
        <w:spacing w:after="0" w:line="240" w:lineRule="auto"/>
        <w:rPr>
          <w:rFonts w:ascii="Times New Roman" w:hAnsi="Times New Roman" w:cs="Times New Roman"/>
        </w:rPr>
      </w:pPr>
      <w:r>
        <w:rPr>
          <w:rFonts w:ascii="Times New Roman" w:hAnsi="Times New Roman" w:cs="Times New Roman"/>
        </w:rPr>
        <w:t xml:space="preserve">The </w:t>
      </w:r>
      <w:r w:rsidR="006D42D2" w:rsidRPr="00962350">
        <w:rPr>
          <w:rFonts w:ascii="Times New Roman" w:hAnsi="Times New Roman" w:cs="Times New Roman"/>
        </w:rPr>
        <w:t xml:space="preserve">estimated </w:t>
      </w:r>
      <m:oMath>
        <m:r>
          <w:rPr>
            <w:rFonts w:ascii="Cambria Math" w:hAnsi="Cambria Math" w:cs="Times New Roman"/>
          </w:rPr>
          <m:t>ν</m:t>
        </m:r>
      </m:oMath>
      <w:r w:rsidR="006D42D2" w:rsidRPr="00962350">
        <w:rPr>
          <w:rFonts w:ascii="Times New Roman" w:hAnsi="Times New Roman" w:cs="Times New Roman"/>
        </w:rPr>
        <w:t xml:space="preserve"> of 4.24 (CNY-CNH) and 2.97 (SHIBOR-HIBOR) indicate extreme moves occur far more frequently than any normal distribution would predict.</w:t>
      </w:r>
    </w:p>
    <w:p w14:paraId="4D86FF59" w14:textId="77777777" w:rsidR="00974E0A" w:rsidRDefault="00974E0A" w:rsidP="000E68B9">
      <w:pPr>
        <w:spacing w:after="0" w:line="240" w:lineRule="auto"/>
        <w:rPr>
          <w:rFonts w:ascii="Times New Roman" w:hAnsi="Times New Roman" w:cs="Times New Roman"/>
          <w:b/>
          <w:bCs/>
        </w:rPr>
      </w:pPr>
    </w:p>
    <w:p w14:paraId="7D98DF0F" w14:textId="3DE67799" w:rsidR="006D42D2" w:rsidRPr="00F2793E" w:rsidRDefault="006D42D2" w:rsidP="000E68B9">
      <w:pPr>
        <w:spacing w:after="0" w:line="240" w:lineRule="auto"/>
        <w:rPr>
          <w:rFonts w:ascii="Times New Roman" w:hAnsi="Times New Roman" w:cs="Times New Roman"/>
          <w:b/>
          <w:bCs/>
        </w:rPr>
      </w:pPr>
      <w:r w:rsidRPr="00F2793E">
        <w:rPr>
          <w:rFonts w:ascii="Times New Roman" w:hAnsi="Times New Roman" w:cs="Times New Roman"/>
          <w:b/>
          <w:bCs/>
        </w:rPr>
        <w:t>4.2 Shock Variables</w:t>
      </w:r>
    </w:p>
    <w:p w14:paraId="32E46B25" w14:textId="6F4EB98D" w:rsidR="00F2793E"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 specify</w:t>
      </w:r>
      <w:r w:rsidRPr="00962350">
        <w:rPr>
          <w:rFonts w:ascii="Times New Roman" w:hAnsi="Times New Roman" w:cs="Times New Roman"/>
          <w:b/>
        </w:rPr>
        <w:t xml:space="preserve"> two shock dates</w:t>
      </w:r>
      <w:r w:rsidRPr="00962350">
        <w:rPr>
          <w:rFonts w:ascii="Times New Roman" w:hAnsi="Times New Roman" w:cs="Times New Roman"/>
        </w:rPr>
        <w:t xml:space="preserve"> corresponding to the </w:t>
      </w:r>
      <w:r w:rsidR="714FB77C" w:rsidRPr="1629A3EE">
        <w:rPr>
          <w:rFonts w:ascii="Times New Roman" w:hAnsi="Times New Roman" w:cs="Times New Roman"/>
        </w:rPr>
        <w:t>sanctions</w:t>
      </w:r>
      <w:r w:rsidRPr="00962350">
        <w:rPr>
          <w:rFonts w:ascii="Times New Roman" w:hAnsi="Times New Roman" w:cs="Times New Roman"/>
        </w:rPr>
        <w:t xml:space="preserve"> announcement and the formal implementation package.</w:t>
      </w:r>
    </w:p>
    <w:p w14:paraId="61F9A1EA" w14:textId="77777777" w:rsidR="00EA2D36" w:rsidRDefault="00EA2D36" w:rsidP="000E68B9">
      <w:pPr>
        <w:spacing w:after="0" w:line="240" w:lineRule="auto"/>
        <w:rPr>
          <w:rStyle w:val="Strong"/>
          <w:rFonts w:ascii="Times New Roman" w:hAnsi="Times New Roman" w:cs="Times New Roman"/>
        </w:rPr>
      </w:pPr>
    </w:p>
    <w:p w14:paraId="07AF5C5E" w14:textId="50914092" w:rsidR="00DA1D8A"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CNY-CNH model (stationary in levels): Step dummies.</w:t>
      </w:r>
      <w:r w:rsidRPr="00962350">
        <w:rPr>
          <w:rFonts w:ascii="Times New Roman" w:hAnsi="Times New Roman" w:cs="Times New Roman"/>
        </w:rPr>
        <w:t xml:space="preserve"> </w:t>
      </w:r>
      <w:r w:rsidR="00DA1D8A">
        <w:rPr>
          <w:rFonts w:ascii="Times New Roman" w:hAnsi="Times New Roman" w:cs="Times New Roman"/>
        </w:rPr>
        <w:t xml:space="preserve">CNY-CNH is found </w:t>
      </w:r>
      <w:r w:rsidR="00830DAA">
        <w:rPr>
          <w:rFonts w:ascii="Times New Roman" w:hAnsi="Times New Roman" w:cs="Times New Roman"/>
        </w:rPr>
        <w:t>to be</w:t>
      </w:r>
      <w:r w:rsidR="00DA1D8A">
        <w:rPr>
          <w:rFonts w:ascii="Times New Roman" w:hAnsi="Times New Roman" w:cs="Times New Roman"/>
        </w:rPr>
        <w:t xml:space="preserve"> stationary, therefore a typical ‘step dummy’ is introduced for both shock dates. </w:t>
      </w:r>
    </w:p>
    <w:p w14:paraId="0EAB074C" w14:textId="06A51F53"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Variables equal zero before the shock date and one from the shock date onward permanently. A significant coefficient indicates the average level of the spread permanently shifted</w:t>
      </w:r>
      <w:r w:rsidR="000C2DED">
        <w:rPr>
          <w:rFonts w:ascii="Times New Roman" w:hAnsi="Times New Roman" w:cs="Times New Roman"/>
        </w:rPr>
        <w:t>,</w:t>
      </w:r>
      <w:r w:rsidRPr="00962350">
        <w:rPr>
          <w:rFonts w:ascii="Times New Roman" w:hAnsi="Times New Roman" w:cs="Times New Roman"/>
        </w:rPr>
        <w:t xml:space="preserve"> the direct test of sustained demand change.</w:t>
      </w:r>
    </w:p>
    <w:p w14:paraId="713075DD" w14:textId="77777777" w:rsidR="00EA2D36" w:rsidRDefault="00EA2D36" w:rsidP="000E68B9">
      <w:pPr>
        <w:spacing w:after="0" w:line="240" w:lineRule="auto"/>
        <w:rPr>
          <w:rStyle w:val="Strong"/>
          <w:rFonts w:ascii="Times New Roman" w:hAnsi="Times New Roman" w:cs="Times New Roman"/>
        </w:rPr>
      </w:pPr>
    </w:p>
    <w:p w14:paraId="09C78EAC" w14:textId="77777777" w:rsidR="00E51DBC"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SHIBOR-HIBOR model (nonstationary, modeled in first differences): Impulse dummies.</w:t>
      </w:r>
      <w:r w:rsidRPr="00962350">
        <w:rPr>
          <w:rFonts w:ascii="Times New Roman" w:hAnsi="Times New Roman" w:cs="Times New Roman"/>
        </w:rPr>
        <w:t xml:space="preserve"> </w:t>
      </w:r>
      <w:r w:rsidR="00DA1D8A">
        <w:rPr>
          <w:rFonts w:ascii="Times New Roman" w:hAnsi="Times New Roman" w:cs="Times New Roman"/>
        </w:rPr>
        <w:t xml:space="preserve">Given SHIBOR-HIBOR spread’s non-stationarity, I needed to find another methodology besides the typical ‘step dummy’ approach. </w:t>
      </w:r>
    </w:p>
    <w:p w14:paraId="1E9FDD14" w14:textId="1FBECFD7" w:rsidR="00DA1D8A" w:rsidRDefault="00DA1D8A" w:rsidP="000E68B9">
      <w:pPr>
        <w:spacing w:after="0" w:line="240" w:lineRule="auto"/>
      </w:pPr>
      <w:r w:rsidRPr="072C4FEC">
        <w:rPr>
          <w:rFonts w:ascii="Times New Roman" w:hAnsi="Times New Roman" w:cs="Times New Roman"/>
        </w:rPr>
        <w:t>Enter the ‘impulse dummy’.</w:t>
      </w:r>
      <w:r w:rsidR="1752CC69" w:rsidRPr="692FE215">
        <w:rPr>
          <w:rFonts w:ascii="Times New Roman" w:hAnsi="Times New Roman" w:cs="Times New Roman"/>
        </w:rPr>
        <w:t xml:space="preserve"> Following Box and Tiao (1975), </w:t>
      </w:r>
      <w:r w:rsidR="1752CC69" w:rsidRPr="5092DF3F">
        <w:rPr>
          <w:rFonts w:ascii="Times New Roman" w:hAnsi="Times New Roman" w:cs="Times New Roman"/>
        </w:rPr>
        <w:t>I employ an impulse dummy</w:t>
      </w:r>
      <w:r w:rsidR="1752CC69" w:rsidRPr="7ABBCA67">
        <w:rPr>
          <w:rFonts w:ascii="Times New Roman" w:hAnsi="Times New Roman" w:cs="Times New Roman"/>
        </w:rPr>
        <w:t xml:space="preserve">: a variable equal to 1 </w:t>
      </w:r>
      <w:r w:rsidR="1752CC69" w:rsidRPr="5547D625">
        <w:rPr>
          <w:rFonts w:ascii="Times New Roman" w:hAnsi="Times New Roman" w:cs="Times New Roman"/>
        </w:rPr>
        <w:t xml:space="preserve">only on the shock date and zero everywhere else. </w:t>
      </w:r>
      <w:r w:rsidR="1752CC69" w:rsidRPr="3559AB2A">
        <w:rPr>
          <w:rFonts w:ascii="Times New Roman" w:hAnsi="Times New Roman" w:cs="Times New Roman"/>
        </w:rPr>
        <w:t>As demonstrated in Lutkepohl (2004), a single imp</w:t>
      </w:r>
      <w:r w:rsidR="6FDC641C" w:rsidRPr="3559AB2A">
        <w:rPr>
          <w:rFonts w:ascii="Times New Roman" w:hAnsi="Times New Roman" w:cs="Times New Roman"/>
        </w:rPr>
        <w:t xml:space="preserve">ulse in a first-differenced </w:t>
      </w:r>
      <w:r w:rsidR="6FDC641C" w:rsidRPr="6648490E">
        <w:rPr>
          <w:rFonts w:ascii="Times New Roman" w:hAnsi="Times New Roman" w:cs="Times New Roman"/>
        </w:rPr>
        <w:t xml:space="preserve">series corresponds mathematically to a permanent level shift in the </w:t>
      </w:r>
      <w:r w:rsidR="6FDC641C" w:rsidRPr="3EA0E17F">
        <w:rPr>
          <w:rFonts w:ascii="Times New Roman" w:hAnsi="Times New Roman" w:cs="Times New Roman"/>
        </w:rPr>
        <w:t xml:space="preserve">original level series, </w:t>
      </w:r>
      <w:r w:rsidR="6FDC641C" w:rsidRPr="1065B0EE">
        <w:rPr>
          <w:rFonts w:ascii="Times New Roman" w:hAnsi="Times New Roman" w:cs="Times New Roman"/>
        </w:rPr>
        <w:t>preserving</w:t>
      </w:r>
      <w:r w:rsidR="6FDC641C" w:rsidRPr="3EA0E17F">
        <w:rPr>
          <w:rFonts w:ascii="Times New Roman" w:hAnsi="Times New Roman" w:cs="Times New Roman"/>
        </w:rPr>
        <w:t xml:space="preserve"> the economic </w:t>
      </w:r>
      <w:r w:rsidR="6FDC641C" w:rsidRPr="2604331E">
        <w:rPr>
          <w:rFonts w:ascii="Times New Roman" w:hAnsi="Times New Roman" w:cs="Times New Roman"/>
        </w:rPr>
        <w:t xml:space="preserve">interpretation of a sustained structural change. </w:t>
      </w:r>
    </w:p>
    <w:p w14:paraId="398BF2F9" w14:textId="77777777" w:rsidR="00DA1D8A" w:rsidRDefault="00DA1D8A" w:rsidP="000E68B9">
      <w:pPr>
        <w:spacing w:after="0" w:line="240" w:lineRule="auto"/>
        <w:rPr>
          <w:rFonts w:ascii="Times New Roman" w:hAnsi="Times New Roman" w:cs="Times New Roman"/>
        </w:rPr>
      </w:pPr>
    </w:p>
    <w:p w14:paraId="074C3C11" w14:textId="0B2ABA06"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Both announcement dates (February 26 and March 12, 2022) fall on Saturdays. I shift both to the following Monday</w:t>
      </w:r>
      <w:r w:rsidR="000C2DED">
        <w:rPr>
          <w:rFonts w:ascii="Times New Roman" w:hAnsi="Times New Roman" w:cs="Times New Roman"/>
        </w:rPr>
        <w:t>,</w:t>
      </w:r>
      <w:r w:rsidRPr="00962350">
        <w:rPr>
          <w:rFonts w:ascii="Times New Roman" w:hAnsi="Times New Roman" w:cs="Times New Roman"/>
        </w:rPr>
        <w:t xml:space="preserve"> February 28 and March 14 respectively</w:t>
      </w:r>
      <w:r w:rsidR="000C2DED">
        <w:rPr>
          <w:rFonts w:ascii="Times New Roman" w:hAnsi="Times New Roman" w:cs="Times New Roman"/>
        </w:rPr>
        <w:t>,</w:t>
      </w:r>
      <w:r w:rsidRPr="00962350">
        <w:rPr>
          <w:rFonts w:ascii="Times New Roman" w:hAnsi="Times New Roman" w:cs="Times New Roman"/>
        </w:rPr>
        <w:t xml:space="preserve"> as the first trading day on which markets could respond.</w:t>
      </w:r>
    </w:p>
    <w:p w14:paraId="58494CE1" w14:textId="4F7A3317" w:rsidR="00970D9E" w:rsidRDefault="00970D9E" w:rsidP="000E68B9">
      <w:pPr>
        <w:spacing w:after="0" w:line="240" w:lineRule="auto"/>
        <w:rPr>
          <w:rFonts w:ascii="Times New Roman" w:hAnsi="Times New Roman" w:cs="Times New Roman"/>
        </w:rPr>
      </w:pPr>
    </w:p>
    <w:p w14:paraId="781FEF22" w14:textId="574F0869" w:rsidR="006D42D2" w:rsidRPr="000C2DED" w:rsidRDefault="006D42D2" w:rsidP="000E68B9">
      <w:pPr>
        <w:spacing w:after="0" w:line="240" w:lineRule="auto"/>
        <w:rPr>
          <w:rFonts w:ascii="Times New Roman" w:hAnsi="Times New Roman" w:cs="Times New Roman"/>
          <w:b/>
          <w:bCs/>
        </w:rPr>
      </w:pPr>
      <w:r w:rsidRPr="000C2DED">
        <w:rPr>
          <w:rFonts w:ascii="Times New Roman" w:hAnsi="Times New Roman" w:cs="Times New Roman"/>
          <w:b/>
          <w:bCs/>
        </w:rPr>
        <w:t>5. Results</w:t>
      </w:r>
    </w:p>
    <w:p w14:paraId="7C25E21C" w14:textId="11F8F6C3" w:rsidR="006D42D2" w:rsidRPr="000C2DED" w:rsidRDefault="006D42D2" w:rsidP="000E68B9">
      <w:pPr>
        <w:spacing w:after="0" w:line="240" w:lineRule="auto"/>
        <w:rPr>
          <w:rFonts w:ascii="Times New Roman" w:hAnsi="Times New Roman" w:cs="Times New Roman"/>
          <w:b/>
          <w:bCs/>
        </w:rPr>
      </w:pPr>
      <w:r w:rsidRPr="000C2DED">
        <w:rPr>
          <w:rFonts w:ascii="Times New Roman" w:hAnsi="Times New Roman" w:cs="Times New Roman"/>
          <w:b/>
          <w:bCs/>
        </w:rPr>
        <w:t>5.1 Primary Result: CNY-CNH Spot Channel</w:t>
      </w:r>
      <w:r w:rsidR="000C2DED">
        <w:rPr>
          <w:rFonts w:ascii="Times New Roman" w:hAnsi="Times New Roman" w:cs="Times New Roman"/>
          <w:b/>
          <w:bCs/>
        </w:rPr>
        <w:t>:</w:t>
      </w:r>
      <w:r w:rsidRPr="000C2DED">
        <w:rPr>
          <w:rFonts w:ascii="Times New Roman" w:hAnsi="Times New Roman" w:cs="Times New Roman"/>
          <w:b/>
          <w:bCs/>
        </w:rPr>
        <w:t xml:space="preserve"> Dollar Dynamics, Not Sanctions</w:t>
      </w:r>
    </w:p>
    <w:p w14:paraId="35740762" w14:textId="77777777" w:rsidR="009B3CFB"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Table 1 presents the CNY-CNH results. </w:t>
      </w:r>
    </w:p>
    <w:p w14:paraId="546048A0" w14:textId="2774588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Neither shock dummy achieves statistical significance: the announcement coefficient is −1.65 bps (p = 0.505) and the implementation coefficient is −0.85 bps (p = 0.735). These results cannot be distinguished from zero.</w:t>
      </w:r>
    </w:p>
    <w:p w14:paraId="3176E1E5" w14:textId="77777777" w:rsidR="00D56075" w:rsidRDefault="00D56075" w:rsidP="000E68B9">
      <w:pPr>
        <w:spacing w:after="0" w:line="240" w:lineRule="auto"/>
        <w:rPr>
          <w:rFonts w:ascii="Times New Roman" w:hAnsi="Times New Roman" w:cs="Times New Roman"/>
        </w:rPr>
      </w:pPr>
    </w:p>
    <w:p w14:paraId="74C70F6C" w14:textId="77777777" w:rsidR="00D56075" w:rsidRDefault="006D42D2" w:rsidP="000E68B9">
      <w:pPr>
        <w:spacing w:after="0" w:line="240" w:lineRule="auto"/>
        <w:rPr>
          <w:rFonts w:ascii="Times New Roman" w:hAnsi="Times New Roman" w:cs="Times New Roman"/>
        </w:rPr>
      </w:pPr>
      <w:r w:rsidRPr="00962350">
        <w:rPr>
          <w:rFonts w:ascii="Times New Roman" w:hAnsi="Times New Roman" w:cs="Times New Roman"/>
        </w:rPr>
        <w:t>The dominant predictor of the CNY-CNH spread is the daily change in the DXY dollar index: β = −6.22 bps per unit (p &lt; 0.001). This coefficient has a straightforward interpretation. The 2022 dollar rally</w:t>
      </w:r>
      <w:r w:rsidR="0003540D">
        <w:rPr>
          <w:rFonts w:ascii="Times New Roman" w:hAnsi="Times New Roman" w:cs="Times New Roman"/>
        </w:rPr>
        <w:t>,</w:t>
      </w:r>
      <w:r w:rsidRPr="00962350">
        <w:rPr>
          <w:rFonts w:ascii="Times New Roman" w:hAnsi="Times New Roman" w:cs="Times New Roman"/>
        </w:rPr>
        <w:t xml:space="preserve"> driven by </w:t>
      </w:r>
      <w:r w:rsidRPr="0003540D">
        <w:rPr>
          <w:rFonts w:ascii="Times New Roman" w:hAnsi="Times New Roman" w:cs="Times New Roman"/>
          <w:b/>
          <w:bCs/>
        </w:rPr>
        <w:t>11 consecutive</w:t>
      </w:r>
      <w:r w:rsidRPr="00962350">
        <w:rPr>
          <w:rFonts w:ascii="Times New Roman" w:hAnsi="Times New Roman" w:cs="Times New Roman"/>
        </w:rPr>
        <w:t xml:space="preserve"> Federal Reserve rate increases from March 2022 to July 2023</w:t>
      </w:r>
      <w:r w:rsidR="0003540D">
        <w:rPr>
          <w:rFonts w:ascii="Times New Roman" w:hAnsi="Times New Roman" w:cs="Times New Roman"/>
        </w:rPr>
        <w:t>,</w:t>
      </w:r>
      <w:r w:rsidRPr="00962350">
        <w:rPr>
          <w:rFonts w:ascii="Times New Roman" w:hAnsi="Times New Roman" w:cs="Times New Roman"/>
        </w:rPr>
        <w:t xml:space="preserve"> was the primary force moving the CNY-CNH spot differential throughout the sample. </w:t>
      </w:r>
    </w:p>
    <w:p w14:paraId="1D551F5F" w14:textId="77777777" w:rsidR="00D56075" w:rsidRDefault="00D56075" w:rsidP="000E68B9">
      <w:pPr>
        <w:spacing w:after="0" w:line="240" w:lineRule="auto"/>
        <w:rPr>
          <w:rFonts w:ascii="Times New Roman" w:hAnsi="Times New Roman" w:cs="Times New Roman"/>
        </w:rPr>
      </w:pPr>
    </w:p>
    <w:p w14:paraId="0CCF1717" w14:textId="13A7899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Every one-point DXY appreciation compressed the spread by 6.22 basis points. Over the approximately 18-point DXY rally from January to September 2022, this accounts for over 110 basis points of spread movement, swamping any sanctions-specific component.</w:t>
      </w:r>
    </w:p>
    <w:p w14:paraId="45491787" w14:textId="77777777" w:rsidR="00970D9E"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result is not a failure. It is a finding. </w:t>
      </w:r>
    </w:p>
    <w:p w14:paraId="66F02718" w14:textId="77777777" w:rsidR="00970D9E" w:rsidRDefault="00970D9E" w:rsidP="000E68B9">
      <w:pPr>
        <w:spacing w:after="0" w:line="240" w:lineRule="auto"/>
        <w:rPr>
          <w:rFonts w:ascii="Times New Roman" w:hAnsi="Times New Roman" w:cs="Times New Roman"/>
        </w:rPr>
      </w:pPr>
    </w:p>
    <w:p w14:paraId="7FB59595" w14:textId="20187FEB"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naive pre-control result showing CNY-CNH compression after February 2022 was real in the raw data but confounded. Once the dollar cycle is properly absorbed, the sanctions component of spot RMB dynamics is indistinguishable from zero. Dollar monetary policy, not geopolitical demand for RMB, drove the 2022 spot exchange rate differential.</w:t>
      </w:r>
    </w:p>
    <w:p w14:paraId="5F6D91C2" w14:textId="77777777" w:rsidR="004B3E27" w:rsidRDefault="004B3E27" w:rsidP="000E68B9">
      <w:pPr>
        <w:spacing w:after="0" w:line="240" w:lineRule="auto"/>
        <w:rPr>
          <w:rStyle w:val="Strong"/>
          <w:rFonts w:ascii="Times New Roman" w:hAnsi="Times New Roman" w:cs="Times New Roman"/>
        </w:rPr>
      </w:pPr>
    </w:p>
    <w:p w14:paraId="5B7E8A9D" w14:textId="4FE19582" w:rsidR="536B1060" w:rsidRDefault="536B1060">
      <w:r>
        <w:br w:type="page"/>
      </w:r>
    </w:p>
    <w:p w14:paraId="039BDC12" w14:textId="186E1471" w:rsidR="536B1060" w:rsidRDefault="536B1060" w:rsidP="536B1060">
      <w:pPr>
        <w:spacing w:after="0" w:line="240" w:lineRule="auto"/>
        <w:rPr>
          <w:rStyle w:val="Strong"/>
          <w:rFonts w:ascii="Times New Roman" w:hAnsi="Times New Roman" w:cs="Times New Roman"/>
        </w:rPr>
      </w:pPr>
    </w:p>
    <w:p w14:paraId="7438793A" w14:textId="32DFA50E"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Table 1: CNY-CNH Spread (Levels) AR(1)-GARCH(1,1)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180"/>
        <w:gridCol w:w="1063"/>
        <w:gridCol w:w="1097"/>
        <w:gridCol w:w="1811"/>
      </w:tblGrid>
      <w:tr w:rsidR="006D42D2" w:rsidRPr="00962350" w14:paraId="6512C6DB" w14:textId="77777777">
        <w:trPr>
          <w:tblHeader/>
          <w:tblCellSpacing w:w="15" w:type="dxa"/>
        </w:trPr>
        <w:tc>
          <w:tcPr>
            <w:tcW w:w="0" w:type="auto"/>
            <w:vAlign w:val="center"/>
            <w:hideMark/>
          </w:tcPr>
          <w:p w14:paraId="358F88E7"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Variable</w:t>
            </w:r>
          </w:p>
        </w:tc>
        <w:tc>
          <w:tcPr>
            <w:tcW w:w="0" w:type="auto"/>
            <w:vAlign w:val="center"/>
            <w:hideMark/>
          </w:tcPr>
          <w:p w14:paraId="5E83CFDF"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Coefficient</w:t>
            </w:r>
          </w:p>
        </w:tc>
        <w:tc>
          <w:tcPr>
            <w:tcW w:w="0" w:type="auto"/>
            <w:vAlign w:val="center"/>
            <w:hideMark/>
          </w:tcPr>
          <w:p w14:paraId="01CA8292"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Std Error</w:t>
            </w:r>
          </w:p>
        </w:tc>
        <w:tc>
          <w:tcPr>
            <w:tcW w:w="0" w:type="auto"/>
            <w:vAlign w:val="center"/>
            <w:hideMark/>
          </w:tcPr>
          <w:p w14:paraId="50FFC55F"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p-value</w:t>
            </w:r>
          </w:p>
        </w:tc>
        <w:tc>
          <w:tcPr>
            <w:tcW w:w="0" w:type="auto"/>
            <w:vAlign w:val="center"/>
            <w:hideMark/>
          </w:tcPr>
          <w:p w14:paraId="7F43BF67"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95% CI</w:t>
            </w:r>
          </w:p>
        </w:tc>
      </w:tr>
      <w:tr w:rsidR="006D42D2" w:rsidRPr="00962350" w14:paraId="0B787757" w14:textId="77777777">
        <w:trPr>
          <w:tblCellSpacing w:w="15" w:type="dxa"/>
        </w:trPr>
        <w:tc>
          <w:tcPr>
            <w:tcW w:w="0" w:type="auto"/>
            <w:vAlign w:val="center"/>
            <w:hideMark/>
          </w:tcPr>
          <w:p w14:paraId="1C63A3E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Constant</w:t>
            </w:r>
          </w:p>
        </w:tc>
        <w:tc>
          <w:tcPr>
            <w:tcW w:w="0" w:type="auto"/>
            <w:vAlign w:val="center"/>
            <w:hideMark/>
          </w:tcPr>
          <w:p w14:paraId="35931D9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1.047</w:t>
            </w:r>
          </w:p>
        </w:tc>
        <w:tc>
          <w:tcPr>
            <w:tcW w:w="0" w:type="auto"/>
            <w:vAlign w:val="center"/>
            <w:hideMark/>
          </w:tcPr>
          <w:p w14:paraId="67E434A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1.332</w:t>
            </w:r>
          </w:p>
        </w:tc>
        <w:tc>
          <w:tcPr>
            <w:tcW w:w="0" w:type="auto"/>
            <w:vAlign w:val="center"/>
            <w:hideMark/>
          </w:tcPr>
          <w:p w14:paraId="38C4C6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0.432</w:t>
            </w:r>
          </w:p>
        </w:tc>
        <w:tc>
          <w:tcPr>
            <w:tcW w:w="0" w:type="auto"/>
            <w:vAlign w:val="center"/>
            <w:hideMark/>
          </w:tcPr>
          <w:p w14:paraId="70125CA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[−1.563, 3.658]</w:t>
            </w:r>
          </w:p>
        </w:tc>
      </w:tr>
      <w:tr w:rsidR="006D42D2" w:rsidRPr="00962350" w14:paraId="6D9B57C9" w14:textId="77777777">
        <w:trPr>
          <w:tblCellSpacing w:w="15" w:type="dxa"/>
        </w:trPr>
        <w:tc>
          <w:tcPr>
            <w:tcW w:w="0" w:type="auto"/>
            <w:vAlign w:val="center"/>
            <w:hideMark/>
          </w:tcPr>
          <w:p w14:paraId="2786F8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AR(1)</w:t>
            </w:r>
          </w:p>
        </w:tc>
        <w:tc>
          <w:tcPr>
            <w:tcW w:w="0" w:type="auto"/>
            <w:vAlign w:val="center"/>
            <w:hideMark/>
          </w:tcPr>
          <w:p w14:paraId="000A8DC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0.633</w:t>
            </w:r>
          </w:p>
        </w:tc>
        <w:tc>
          <w:tcPr>
            <w:tcW w:w="0" w:type="auto"/>
            <w:vAlign w:val="center"/>
            <w:hideMark/>
          </w:tcPr>
          <w:p w14:paraId="2FECCD0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0.029</w:t>
            </w:r>
          </w:p>
        </w:tc>
        <w:tc>
          <w:tcPr>
            <w:tcW w:w="0" w:type="auto"/>
            <w:vAlign w:val="center"/>
            <w:hideMark/>
          </w:tcPr>
          <w:p w14:paraId="2A833E7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07FF70E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[0.576, 0.690]</w:t>
            </w:r>
          </w:p>
        </w:tc>
      </w:tr>
      <w:tr w:rsidR="006D42D2" w:rsidRPr="00962350" w14:paraId="6C664D10" w14:textId="77777777">
        <w:trPr>
          <w:tblCellSpacing w:w="15" w:type="dxa"/>
        </w:trPr>
        <w:tc>
          <w:tcPr>
            <w:tcW w:w="0" w:type="auto"/>
            <w:vAlign w:val="center"/>
            <w:hideMark/>
          </w:tcPr>
          <w:p w14:paraId="7B839C3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Announce (step)</w:t>
            </w:r>
          </w:p>
        </w:tc>
        <w:tc>
          <w:tcPr>
            <w:tcW w:w="0" w:type="auto"/>
            <w:vAlign w:val="center"/>
            <w:hideMark/>
          </w:tcPr>
          <w:p w14:paraId="030E223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−1.652</w:t>
            </w:r>
          </w:p>
        </w:tc>
        <w:tc>
          <w:tcPr>
            <w:tcW w:w="0" w:type="auto"/>
            <w:vAlign w:val="center"/>
            <w:hideMark/>
          </w:tcPr>
          <w:p w14:paraId="5042444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2.479</w:t>
            </w:r>
          </w:p>
        </w:tc>
        <w:tc>
          <w:tcPr>
            <w:tcW w:w="0" w:type="auto"/>
            <w:vAlign w:val="center"/>
            <w:hideMark/>
          </w:tcPr>
          <w:p w14:paraId="19435F6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0.505</w:t>
            </w:r>
          </w:p>
        </w:tc>
        <w:tc>
          <w:tcPr>
            <w:tcW w:w="0" w:type="auto"/>
            <w:vAlign w:val="center"/>
            <w:hideMark/>
          </w:tcPr>
          <w:p w14:paraId="48AE93B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[−6.512, 3.207]</w:t>
            </w:r>
          </w:p>
        </w:tc>
      </w:tr>
      <w:tr w:rsidR="006D42D2" w:rsidRPr="00962350" w14:paraId="583F8D4B" w14:textId="77777777">
        <w:trPr>
          <w:tblCellSpacing w:w="15" w:type="dxa"/>
        </w:trPr>
        <w:tc>
          <w:tcPr>
            <w:tcW w:w="0" w:type="auto"/>
            <w:vAlign w:val="center"/>
            <w:hideMark/>
          </w:tcPr>
          <w:p w14:paraId="2BA760B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Implement (step)</w:t>
            </w:r>
          </w:p>
        </w:tc>
        <w:tc>
          <w:tcPr>
            <w:tcW w:w="0" w:type="auto"/>
            <w:vAlign w:val="center"/>
            <w:hideMark/>
          </w:tcPr>
          <w:p w14:paraId="4F370B4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−0.855</w:t>
            </w:r>
          </w:p>
        </w:tc>
        <w:tc>
          <w:tcPr>
            <w:tcW w:w="0" w:type="auto"/>
            <w:vAlign w:val="center"/>
            <w:hideMark/>
          </w:tcPr>
          <w:p w14:paraId="0DB95E3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2.525</w:t>
            </w:r>
          </w:p>
        </w:tc>
        <w:tc>
          <w:tcPr>
            <w:tcW w:w="0" w:type="auto"/>
            <w:vAlign w:val="center"/>
            <w:hideMark/>
          </w:tcPr>
          <w:p w14:paraId="1B613F2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0.735</w:t>
            </w:r>
          </w:p>
        </w:tc>
        <w:tc>
          <w:tcPr>
            <w:tcW w:w="0" w:type="auto"/>
            <w:vAlign w:val="center"/>
            <w:hideMark/>
          </w:tcPr>
          <w:p w14:paraId="7CBF76D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[−5.804, 4.095]</w:t>
            </w:r>
          </w:p>
        </w:tc>
      </w:tr>
      <w:tr w:rsidR="006D42D2" w:rsidRPr="00962350" w14:paraId="4A8C0809" w14:textId="77777777">
        <w:trPr>
          <w:tblCellSpacing w:w="15" w:type="dxa"/>
        </w:trPr>
        <w:tc>
          <w:tcPr>
            <w:tcW w:w="0" w:type="auto"/>
            <w:vAlign w:val="center"/>
            <w:hideMark/>
          </w:tcPr>
          <w:p w14:paraId="191C591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6F921E2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−0.072</w:t>
            </w:r>
          </w:p>
        </w:tc>
        <w:tc>
          <w:tcPr>
            <w:tcW w:w="0" w:type="auto"/>
            <w:vAlign w:val="center"/>
            <w:hideMark/>
          </w:tcPr>
          <w:p w14:paraId="539B4F0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0.061</w:t>
            </w:r>
          </w:p>
        </w:tc>
        <w:tc>
          <w:tcPr>
            <w:tcW w:w="0" w:type="auto"/>
            <w:vAlign w:val="center"/>
            <w:hideMark/>
          </w:tcPr>
          <w:p w14:paraId="0833947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0.235</w:t>
            </w:r>
          </w:p>
        </w:tc>
        <w:tc>
          <w:tcPr>
            <w:tcW w:w="0" w:type="auto"/>
            <w:vAlign w:val="center"/>
            <w:hideMark/>
          </w:tcPr>
          <w:p w14:paraId="3DD25EC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[−0.191, 0.047]</w:t>
            </w:r>
          </w:p>
        </w:tc>
      </w:tr>
      <w:tr w:rsidR="006D42D2" w:rsidRPr="00962350" w14:paraId="7A9A667E" w14:textId="77777777">
        <w:trPr>
          <w:tblCellSpacing w:w="15" w:type="dxa"/>
        </w:trPr>
        <w:tc>
          <w:tcPr>
            <w:tcW w:w="0" w:type="auto"/>
            <w:vAlign w:val="center"/>
            <w:hideMark/>
          </w:tcPr>
          <w:p w14:paraId="791D1D2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ΔDXY</w:t>
            </w:r>
          </w:p>
        </w:tc>
        <w:tc>
          <w:tcPr>
            <w:tcW w:w="0" w:type="auto"/>
            <w:vAlign w:val="center"/>
            <w:hideMark/>
          </w:tcPr>
          <w:p w14:paraId="6CF36F59"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−6.218</w:t>
            </w:r>
          </w:p>
        </w:tc>
        <w:tc>
          <w:tcPr>
            <w:tcW w:w="0" w:type="auto"/>
            <w:vAlign w:val="center"/>
            <w:hideMark/>
          </w:tcPr>
          <w:p w14:paraId="5203AC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0.777</w:t>
            </w:r>
          </w:p>
        </w:tc>
        <w:tc>
          <w:tcPr>
            <w:tcW w:w="0" w:type="auto"/>
            <w:vAlign w:val="center"/>
            <w:hideMark/>
          </w:tcPr>
          <w:p w14:paraId="720FF891" w14:textId="2C4265E5"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4B784D24" w:rsidRPr="2EE08F0B">
              <w:rPr>
                <w:rStyle w:val="Strong"/>
                <w:rFonts w:ascii="Times New Roman" w:hAnsi="Times New Roman" w:cs="Times New Roman"/>
              </w:rPr>
              <w:t>**</w:t>
            </w:r>
            <w:r w:rsidR="250D17F8" w:rsidRPr="2EE08F0B">
              <w:rPr>
                <w:rFonts w:ascii="Times New Roman" w:hAnsi="Times New Roman" w:cs="Times New Roman"/>
              </w:rPr>
              <w:t>*</w:t>
            </w:r>
          </w:p>
        </w:tc>
        <w:tc>
          <w:tcPr>
            <w:tcW w:w="0" w:type="auto"/>
            <w:vAlign w:val="center"/>
            <w:hideMark/>
          </w:tcPr>
          <w:p w14:paraId="69BFB54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[−7.741, −4.696]</w:t>
            </w:r>
          </w:p>
        </w:tc>
      </w:tr>
      <w:tr w:rsidR="006D42D2" w:rsidRPr="00962350" w14:paraId="6E51C6F9" w14:textId="77777777">
        <w:trPr>
          <w:tblCellSpacing w:w="15" w:type="dxa"/>
        </w:trPr>
        <w:tc>
          <w:tcPr>
            <w:tcW w:w="0" w:type="auto"/>
            <w:vAlign w:val="center"/>
            <w:hideMark/>
          </w:tcPr>
          <w:p w14:paraId="105AD9B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ΔUS3M</w:t>
            </w:r>
          </w:p>
        </w:tc>
        <w:tc>
          <w:tcPr>
            <w:tcW w:w="0" w:type="auto"/>
            <w:vAlign w:val="center"/>
            <w:hideMark/>
          </w:tcPr>
          <w:p w14:paraId="085F620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−0.625</w:t>
            </w:r>
          </w:p>
        </w:tc>
        <w:tc>
          <w:tcPr>
            <w:tcW w:w="0" w:type="auto"/>
            <w:vAlign w:val="center"/>
            <w:hideMark/>
          </w:tcPr>
          <w:p w14:paraId="4E41706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9.604</w:t>
            </w:r>
          </w:p>
        </w:tc>
        <w:tc>
          <w:tcPr>
            <w:tcW w:w="0" w:type="auto"/>
            <w:vAlign w:val="center"/>
            <w:hideMark/>
          </w:tcPr>
          <w:p w14:paraId="3F81030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0.948</w:t>
            </w:r>
          </w:p>
        </w:tc>
        <w:tc>
          <w:tcPr>
            <w:tcW w:w="0" w:type="auto"/>
            <w:vAlign w:val="center"/>
            <w:hideMark/>
          </w:tcPr>
          <w:p w14:paraId="535E939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[−19.448, 18.199]</w:t>
            </w:r>
          </w:p>
        </w:tc>
      </w:tr>
      <w:tr w:rsidR="006D42D2" w:rsidRPr="00962350" w14:paraId="03E119E1" w14:textId="77777777">
        <w:trPr>
          <w:tblCellSpacing w:w="15" w:type="dxa"/>
        </w:trPr>
        <w:tc>
          <w:tcPr>
            <w:tcW w:w="0" w:type="auto"/>
            <w:vAlign w:val="center"/>
            <w:hideMark/>
          </w:tcPr>
          <w:p w14:paraId="524B2F9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α</w:t>
            </w:r>
          </w:p>
        </w:tc>
        <w:tc>
          <w:tcPr>
            <w:tcW w:w="0" w:type="auto"/>
            <w:vAlign w:val="center"/>
            <w:hideMark/>
          </w:tcPr>
          <w:p w14:paraId="296DE53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0.143</w:t>
            </w:r>
          </w:p>
        </w:tc>
        <w:tc>
          <w:tcPr>
            <w:tcW w:w="0" w:type="auto"/>
            <w:vAlign w:val="center"/>
            <w:hideMark/>
          </w:tcPr>
          <w:p w14:paraId="77FF204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0.051</w:t>
            </w:r>
          </w:p>
        </w:tc>
        <w:tc>
          <w:tcPr>
            <w:tcW w:w="0" w:type="auto"/>
            <w:vAlign w:val="center"/>
            <w:hideMark/>
          </w:tcPr>
          <w:p w14:paraId="118657EE" w14:textId="5B35EC3D"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w:t>
            </w:r>
            <w:r w:rsidR="00770F9B">
              <w:rPr>
                <w:rFonts w:ascii="Times New Roman" w:hAnsi="Times New Roman" w:cs="Times New Roman"/>
              </w:rPr>
              <w:t>5</w:t>
            </w:r>
            <w:r w:rsidRPr="00962350">
              <w:rPr>
                <w:rFonts w:ascii="Times New Roman" w:hAnsi="Times New Roman" w:cs="Times New Roman"/>
              </w:rPr>
              <w:t>**</w:t>
            </w:r>
          </w:p>
        </w:tc>
        <w:tc>
          <w:tcPr>
            <w:tcW w:w="0" w:type="auto"/>
            <w:vAlign w:val="center"/>
            <w:hideMark/>
          </w:tcPr>
          <w:p w14:paraId="69E7FCFB" w14:textId="7FC001D5"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63B0C358" w14:textId="77777777">
        <w:trPr>
          <w:tblCellSpacing w:w="15" w:type="dxa"/>
        </w:trPr>
        <w:tc>
          <w:tcPr>
            <w:tcW w:w="0" w:type="auto"/>
            <w:vAlign w:val="center"/>
            <w:hideMark/>
          </w:tcPr>
          <w:p w14:paraId="6DAA876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β</w:t>
            </w:r>
          </w:p>
        </w:tc>
        <w:tc>
          <w:tcPr>
            <w:tcW w:w="0" w:type="auto"/>
            <w:vAlign w:val="center"/>
            <w:hideMark/>
          </w:tcPr>
          <w:p w14:paraId="4219833D"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0.850</w:t>
            </w:r>
          </w:p>
        </w:tc>
        <w:tc>
          <w:tcPr>
            <w:tcW w:w="0" w:type="auto"/>
            <w:vAlign w:val="center"/>
            <w:hideMark/>
          </w:tcPr>
          <w:p w14:paraId="67CC88B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0.055</w:t>
            </w:r>
          </w:p>
        </w:tc>
        <w:tc>
          <w:tcPr>
            <w:tcW w:w="0" w:type="auto"/>
            <w:vAlign w:val="center"/>
            <w:hideMark/>
          </w:tcPr>
          <w:p w14:paraId="2CA587E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655AB3CE" w14:textId="71EB786C"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03AC17B6" w14:textId="77777777">
        <w:trPr>
          <w:tblCellSpacing w:w="15" w:type="dxa"/>
        </w:trPr>
        <w:tc>
          <w:tcPr>
            <w:tcW w:w="0" w:type="auto"/>
            <w:vAlign w:val="center"/>
            <w:hideMark/>
          </w:tcPr>
          <w:p w14:paraId="0F42FB3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α + β</w:t>
            </w:r>
          </w:p>
        </w:tc>
        <w:tc>
          <w:tcPr>
            <w:tcW w:w="0" w:type="auto"/>
            <w:vAlign w:val="center"/>
            <w:hideMark/>
          </w:tcPr>
          <w:p w14:paraId="17AB095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0.993</w:t>
            </w:r>
          </w:p>
        </w:tc>
        <w:tc>
          <w:tcPr>
            <w:tcW w:w="0" w:type="auto"/>
            <w:vAlign w:val="center"/>
            <w:hideMark/>
          </w:tcPr>
          <w:p w14:paraId="17927BEB" w14:textId="27E90931"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69A89F04" w14:textId="07DFF474"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04E94296" w14:textId="1B788205"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7AD0063E" w14:textId="77777777">
        <w:trPr>
          <w:tblCellSpacing w:w="15" w:type="dxa"/>
        </w:trPr>
        <w:tc>
          <w:tcPr>
            <w:tcW w:w="0" w:type="auto"/>
            <w:vAlign w:val="center"/>
            <w:hideMark/>
          </w:tcPr>
          <w:p w14:paraId="7C1662D3"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ν (d.o.f.)</w:t>
            </w:r>
          </w:p>
        </w:tc>
        <w:tc>
          <w:tcPr>
            <w:tcW w:w="0" w:type="auto"/>
            <w:vAlign w:val="center"/>
            <w:hideMark/>
          </w:tcPr>
          <w:p w14:paraId="01DA4453"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4.239</w:t>
            </w:r>
          </w:p>
        </w:tc>
        <w:tc>
          <w:tcPr>
            <w:tcW w:w="0" w:type="auto"/>
            <w:vAlign w:val="center"/>
            <w:hideMark/>
          </w:tcPr>
          <w:p w14:paraId="2D7BC77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0.500</w:t>
            </w:r>
          </w:p>
        </w:tc>
        <w:tc>
          <w:tcPr>
            <w:tcW w:w="0" w:type="auto"/>
            <w:vAlign w:val="center"/>
            <w:hideMark/>
          </w:tcPr>
          <w:p w14:paraId="009F291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74F875E7" w14:textId="783FC9E9" w:rsidR="006D42D2" w:rsidRPr="00962350" w:rsidRDefault="004A5E10" w:rsidP="000E68B9">
            <w:pPr>
              <w:spacing w:after="0" w:line="240" w:lineRule="auto"/>
              <w:rPr>
                <w:rFonts w:ascii="Times New Roman" w:hAnsi="Times New Roman" w:cs="Times New Roman"/>
              </w:rPr>
            </w:pPr>
            <w:r>
              <w:rPr>
                <w:rFonts w:ascii="Times New Roman" w:hAnsi="Times New Roman" w:cs="Times New Roman"/>
              </w:rPr>
              <w:t>X</w:t>
            </w:r>
          </w:p>
        </w:tc>
      </w:tr>
    </w:tbl>
    <w:p w14:paraId="198C707C" w14:textId="77777777" w:rsidR="006D42D2" w:rsidRDefault="006D42D2" w:rsidP="000E68B9">
      <w:pPr>
        <w:spacing w:after="0" w:line="240" w:lineRule="auto"/>
        <w:rPr>
          <w:rStyle w:val="Emphasis"/>
          <w:rFonts w:ascii="Times New Roman" w:hAnsi="Times New Roman" w:cs="Times New Roman"/>
        </w:rPr>
      </w:pPr>
      <w:r w:rsidRPr="00962350">
        <w:rPr>
          <w:rStyle w:val="Emphasis"/>
          <w:rFonts w:ascii="Times New Roman" w:hAnsi="Times New Roman" w:cs="Times New Roman"/>
        </w:rPr>
        <w:t>N = 1,454. Log-likelihood = −5,554.28. AIC = 11,130.6. BIC = 11,188.6.</w:t>
      </w:r>
    </w:p>
    <w:p w14:paraId="10AD26F4" w14:textId="72057FAD" w:rsidR="00B34B3B" w:rsidRDefault="00B34B3B" w:rsidP="000E68B9">
      <w:pPr>
        <w:spacing w:after="0" w:line="240" w:lineRule="auto"/>
        <w:rPr>
          <w:rStyle w:val="Emphasis"/>
          <w:rFonts w:ascii="Times New Roman" w:hAnsi="Times New Roman" w:cs="Times New Roman"/>
        </w:rPr>
      </w:pPr>
      <w:r w:rsidRPr="00B34B3B">
        <w:rPr>
          <w:rStyle w:val="Emphasis"/>
          <w:rFonts w:ascii="Times New Roman" w:hAnsi="Times New Roman" w:cs="Times New Roman"/>
        </w:rPr>
        <w:t>Adj. R-squared:</w:t>
      </w:r>
      <w:r>
        <w:rPr>
          <w:rStyle w:val="Emphasis"/>
          <w:rFonts w:ascii="Times New Roman" w:hAnsi="Times New Roman" w:cs="Times New Roman"/>
        </w:rPr>
        <w:t xml:space="preserve"> </w:t>
      </w:r>
      <w:r w:rsidRPr="00B34B3B">
        <w:rPr>
          <w:rStyle w:val="Emphasis"/>
          <w:rFonts w:ascii="Times New Roman" w:hAnsi="Times New Roman" w:cs="Times New Roman"/>
        </w:rPr>
        <w:t>0.375</w:t>
      </w:r>
    </w:p>
    <w:p w14:paraId="6D1007D1" w14:textId="69AAFB57" w:rsidR="00414687" w:rsidRPr="00962350" w:rsidRDefault="00414687" w:rsidP="000E68B9">
      <w:pPr>
        <w:spacing w:after="0" w:line="240" w:lineRule="auto"/>
        <w:rPr>
          <w:rFonts w:ascii="Times New Roman" w:hAnsi="Times New Roman" w:cs="Times New Roman"/>
        </w:rPr>
      </w:pPr>
      <w:r w:rsidRPr="00414687">
        <w:rPr>
          <w:rFonts w:ascii="Times New Roman" w:hAnsi="Times New Roman" w:cs="Times New Roman"/>
        </w:rPr>
        <w:t>*** p&lt;.01  ** p&lt;.05  * p&lt;.10</w:t>
      </w:r>
    </w:p>
    <w:p w14:paraId="2C19C824" w14:textId="0AF5C86D" w:rsidR="56B90C70" w:rsidRDefault="56B90C70" w:rsidP="56B90C70">
      <w:pPr>
        <w:spacing w:after="0" w:line="240" w:lineRule="auto"/>
        <w:rPr>
          <w:rFonts w:ascii="Times New Roman" w:hAnsi="Times New Roman" w:cs="Times New Roman"/>
          <w:b/>
          <w:bCs/>
        </w:rPr>
      </w:pPr>
    </w:p>
    <w:p w14:paraId="3BC4178B" w14:textId="49D4B53A" w:rsidR="006D42D2" w:rsidRPr="009B14FC" w:rsidRDefault="006D42D2" w:rsidP="000E68B9">
      <w:pPr>
        <w:spacing w:after="0" w:line="240" w:lineRule="auto"/>
        <w:rPr>
          <w:rFonts w:ascii="Times New Roman" w:hAnsi="Times New Roman" w:cs="Times New Roman"/>
          <w:b/>
          <w:bCs/>
        </w:rPr>
      </w:pPr>
      <w:r w:rsidRPr="009B14FC">
        <w:rPr>
          <w:rFonts w:ascii="Times New Roman" w:hAnsi="Times New Roman" w:cs="Times New Roman"/>
          <w:b/>
          <w:bCs/>
        </w:rPr>
        <w:t>5.2 Secondary Result: SHIBOR-HIBOR Interbank Channel</w:t>
      </w:r>
      <w:r w:rsidR="00566025">
        <w:rPr>
          <w:rFonts w:ascii="Times New Roman" w:hAnsi="Times New Roman" w:cs="Times New Roman"/>
          <w:b/>
          <w:bCs/>
        </w:rPr>
        <w:t xml:space="preserve">: </w:t>
      </w:r>
      <w:r w:rsidRPr="009B14FC">
        <w:rPr>
          <w:rFonts w:ascii="Times New Roman" w:hAnsi="Times New Roman" w:cs="Times New Roman"/>
          <w:b/>
          <w:bCs/>
        </w:rPr>
        <w:t>Robust Sanctions Effect</w:t>
      </w:r>
    </w:p>
    <w:p w14:paraId="3EC87593" w14:textId="77777777" w:rsidR="009B3CFB"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Table 2 presents the SHIBOR-HIBOR results and this is where the story lives. </w:t>
      </w:r>
    </w:p>
    <w:p w14:paraId="372F2A3E" w14:textId="77777777" w:rsidR="009B3CFB" w:rsidRDefault="009B3CFB" w:rsidP="000E68B9">
      <w:pPr>
        <w:spacing w:after="0" w:line="240" w:lineRule="auto"/>
        <w:rPr>
          <w:rFonts w:ascii="Times New Roman" w:hAnsi="Times New Roman" w:cs="Times New Roman"/>
        </w:rPr>
      </w:pPr>
    </w:p>
    <w:p w14:paraId="6CC808CF" w14:textId="2B5356A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Both impulse dummies are highly statistically significant. The announcement shock generates a permanent compression of 1.02 basis points (p &lt; 0.001, 95% CI [−1.24, −0.79]). The implementation shock generates an additional compression of 0.78 basis points (p &lt; 0.001, 95% CI [−1.02, −0.54]).</w:t>
      </w:r>
    </w:p>
    <w:p w14:paraId="2390F878" w14:textId="77777777" w:rsidR="00873820" w:rsidRDefault="00873820" w:rsidP="000E68B9">
      <w:pPr>
        <w:spacing w:after="0" w:line="240" w:lineRule="auto"/>
        <w:rPr>
          <w:rFonts w:ascii="Times New Roman" w:hAnsi="Times New Roman" w:cs="Times New Roman"/>
        </w:rPr>
      </w:pPr>
    </w:p>
    <w:p w14:paraId="5106DAD2" w14:textId="51F0F26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Critically, DXY changes play no role here: β = −0.047 (p = 0.615). The force that dominated the spot FX channel is irrelevant in the interbank funding channel. This contrast across the two models is the core empirical contribution of this paper. It demonstrates that the mechanisms are distinct</w:t>
      </w:r>
      <w:r w:rsidR="00220A56">
        <w:rPr>
          <w:rFonts w:ascii="Times New Roman" w:hAnsi="Times New Roman" w:cs="Times New Roman"/>
        </w:rPr>
        <w:t>,</w:t>
      </w:r>
      <w:r w:rsidRPr="00962350">
        <w:rPr>
          <w:rFonts w:ascii="Times New Roman" w:hAnsi="Times New Roman" w:cs="Times New Roman"/>
        </w:rPr>
        <w:t xml:space="preserve"> the interbank market responded to something other than dollar appreciation.</w:t>
      </w:r>
    </w:p>
    <w:p w14:paraId="6507B3F2" w14:textId="77777777" w:rsidR="00873820" w:rsidRDefault="00873820" w:rsidP="000E68B9">
      <w:pPr>
        <w:spacing w:after="0" w:line="240" w:lineRule="auto"/>
        <w:rPr>
          <w:rFonts w:ascii="Times New Roman" w:hAnsi="Times New Roman" w:cs="Times New Roman"/>
        </w:rPr>
      </w:pPr>
    </w:p>
    <w:p w14:paraId="0F057A3E" w14:textId="1283CAC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 is modestly significant (β = −0.017, p = 0.048). Higher global risk aversion is associated with modest SHIBOR-HIBOR compression</w:t>
      </w:r>
      <w:r w:rsidR="00220A56">
        <w:rPr>
          <w:rFonts w:ascii="Times New Roman" w:hAnsi="Times New Roman" w:cs="Times New Roman"/>
        </w:rPr>
        <w:t>,</w:t>
      </w:r>
      <w:r w:rsidRPr="00962350">
        <w:rPr>
          <w:rFonts w:ascii="Times New Roman" w:hAnsi="Times New Roman" w:cs="Times New Roman"/>
        </w:rPr>
        <w:t xml:space="preserve"> during broad risk-off episodes, offshore RMB borrowing demand declines as institutions de-risk, reducing HIBOR pressure. This directionally coherent control coefficient increases confidence in the specification.</w:t>
      </w:r>
    </w:p>
    <w:p w14:paraId="1FE28141" w14:textId="77777777" w:rsidR="00B94D3B" w:rsidRDefault="00B94D3B" w:rsidP="000E68B9">
      <w:pPr>
        <w:spacing w:after="0" w:line="240" w:lineRule="auto"/>
        <w:rPr>
          <w:rFonts w:ascii="Times New Roman" w:hAnsi="Times New Roman" w:cs="Times New Roman"/>
        </w:rPr>
      </w:pPr>
    </w:p>
    <w:p w14:paraId="1D7BC0BF" w14:textId="4D9C8A99" w:rsidR="00355CC0" w:rsidRDefault="006D42D2" w:rsidP="000E68B9">
      <w:pPr>
        <w:spacing w:after="0" w:line="240" w:lineRule="auto"/>
        <w:rPr>
          <w:rFonts w:ascii="Times New Roman" w:hAnsi="Times New Roman" w:cs="Times New Roman"/>
        </w:rPr>
      </w:pPr>
      <w:r w:rsidRPr="00962350">
        <w:rPr>
          <w:rFonts w:ascii="Times New Roman" w:hAnsi="Times New Roman" w:cs="Times New Roman"/>
        </w:rPr>
        <w:t>The GARCH persistence sum of exactly 1.000 indicates that volatility shocks to the SHIBOR-HIBOR differential are permanent within the sample</w:t>
      </w:r>
      <w:r w:rsidR="00355CC0">
        <w:rPr>
          <w:rFonts w:ascii="Times New Roman" w:hAnsi="Times New Roman" w:cs="Times New Roman"/>
        </w:rPr>
        <w:t xml:space="preserve"> </w:t>
      </w:r>
      <w:r w:rsidR="00355CC0" w:rsidRPr="00962350">
        <w:rPr>
          <w:rFonts w:ascii="Times New Roman" w:hAnsi="Times New Roman" w:cs="Times New Roman"/>
        </w:rPr>
        <w:t>(α + β</w:t>
      </w:r>
      <w:r w:rsidR="00355CC0">
        <w:rPr>
          <w:rFonts w:ascii="Times New Roman" w:hAnsi="Times New Roman" w:cs="Times New Roman"/>
        </w:rPr>
        <w:t xml:space="preserve"> where GARCH </w:t>
      </w:r>
      <w:r w:rsidR="00355CC0" w:rsidRPr="00962350">
        <w:rPr>
          <w:rFonts w:ascii="Times New Roman" w:hAnsi="Times New Roman" w:cs="Times New Roman"/>
        </w:rPr>
        <w:t xml:space="preserve">α </w:t>
      </w:r>
      <w:r w:rsidR="00355CC0">
        <w:rPr>
          <w:rFonts w:ascii="Times New Roman" w:hAnsi="Times New Roman" w:cs="Times New Roman"/>
        </w:rPr>
        <w:t>is a measure of yesterday’s shock expands today’s volatility and GARCH</w:t>
      </w:r>
      <w:r w:rsidR="00355CC0" w:rsidRPr="00962350">
        <w:rPr>
          <w:rFonts w:ascii="Times New Roman" w:hAnsi="Times New Roman" w:cs="Times New Roman"/>
        </w:rPr>
        <w:t xml:space="preserve"> β</w:t>
      </w:r>
      <w:r w:rsidR="00355CC0">
        <w:rPr>
          <w:rFonts w:ascii="Times New Roman" w:hAnsi="Times New Roman" w:cs="Times New Roman"/>
        </w:rPr>
        <w:t xml:space="preserve"> measures how much of yesterday’s overall volatility carries forward into today)</w:t>
      </w:r>
      <w:r w:rsidRPr="00962350">
        <w:rPr>
          <w:rFonts w:ascii="Times New Roman" w:hAnsi="Times New Roman" w:cs="Times New Roman"/>
        </w:rPr>
        <w:t xml:space="preserve">. </w:t>
      </w:r>
    </w:p>
    <w:p w14:paraId="603D8353" w14:textId="77777777" w:rsidR="00355CC0" w:rsidRDefault="00355CC0" w:rsidP="000E68B9">
      <w:pPr>
        <w:spacing w:after="0" w:line="240" w:lineRule="auto"/>
        <w:rPr>
          <w:rFonts w:ascii="Times New Roman" w:hAnsi="Times New Roman" w:cs="Times New Roman"/>
        </w:rPr>
      </w:pPr>
    </w:p>
    <w:p w14:paraId="35A2BFC9" w14:textId="2481C376" w:rsidR="00873820" w:rsidRDefault="006D42D2" w:rsidP="000E68B9">
      <w:pPr>
        <w:spacing w:after="0" w:line="240" w:lineRule="auto"/>
      </w:pPr>
      <w:r w:rsidRPr="00962350">
        <w:rPr>
          <w:rFonts w:ascii="Times New Roman" w:hAnsi="Times New Roman" w:cs="Times New Roman"/>
        </w:rPr>
        <w:t>The estimated degrees of freedom of 2.97</w:t>
      </w:r>
      <w:r w:rsidR="00220A56">
        <w:rPr>
          <w:rFonts w:ascii="Times New Roman" w:hAnsi="Times New Roman" w:cs="Times New Roman"/>
        </w:rPr>
        <w:t>,</w:t>
      </w:r>
      <w:r w:rsidRPr="00962350">
        <w:rPr>
          <w:rFonts w:ascii="Times New Roman" w:hAnsi="Times New Roman" w:cs="Times New Roman"/>
        </w:rPr>
        <w:t xml:space="preserve"> near the theoretical minimum of 2 for finite variance</w:t>
      </w:r>
      <w:r w:rsidR="00220A56">
        <w:rPr>
          <w:rFonts w:ascii="Times New Roman" w:hAnsi="Times New Roman" w:cs="Times New Roman"/>
        </w:rPr>
        <w:t>,</w:t>
      </w:r>
      <w:r w:rsidRPr="00962350">
        <w:rPr>
          <w:rFonts w:ascii="Times New Roman" w:hAnsi="Times New Roman" w:cs="Times New Roman"/>
        </w:rPr>
        <w:t xml:space="preserve"> confirms extreme fat-tailed behavior, validating the Student-t specification and ensuring that standard errors are not artificially compressed by distributional misspecification.</w:t>
      </w:r>
    </w:p>
    <w:p w14:paraId="639FD378" w14:textId="39B97BC2" w:rsidR="006D42D2" w:rsidRPr="00962350" w:rsidRDefault="006D42D2" w:rsidP="1ED89C6F">
      <w:pPr>
        <w:spacing w:after="0" w:line="240" w:lineRule="auto"/>
        <w:rPr>
          <w:rFonts w:ascii="Times New Roman" w:hAnsi="Times New Roman" w:cs="Times New Roman"/>
        </w:rPr>
      </w:pPr>
    </w:p>
    <w:p w14:paraId="11060E38" w14:textId="7979D8D2"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Table 2: SHIBOR-HIBOR Spread (First Difference) — AR(1)-GARCH(1,1)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180"/>
        <w:gridCol w:w="1063"/>
        <w:gridCol w:w="1097"/>
        <w:gridCol w:w="1706"/>
      </w:tblGrid>
      <w:tr w:rsidR="006D42D2" w:rsidRPr="00962350" w14:paraId="669137DD" w14:textId="77777777">
        <w:trPr>
          <w:tblHeader/>
          <w:tblCellSpacing w:w="15" w:type="dxa"/>
        </w:trPr>
        <w:tc>
          <w:tcPr>
            <w:tcW w:w="0" w:type="auto"/>
            <w:vAlign w:val="center"/>
            <w:hideMark/>
          </w:tcPr>
          <w:p w14:paraId="305C3D7B"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Variable</w:t>
            </w:r>
          </w:p>
        </w:tc>
        <w:tc>
          <w:tcPr>
            <w:tcW w:w="0" w:type="auto"/>
            <w:vAlign w:val="center"/>
            <w:hideMark/>
          </w:tcPr>
          <w:p w14:paraId="5DAF67EE"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Coefficient</w:t>
            </w:r>
          </w:p>
        </w:tc>
        <w:tc>
          <w:tcPr>
            <w:tcW w:w="0" w:type="auto"/>
            <w:vAlign w:val="center"/>
            <w:hideMark/>
          </w:tcPr>
          <w:p w14:paraId="2D3303E8"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Std Error</w:t>
            </w:r>
          </w:p>
        </w:tc>
        <w:tc>
          <w:tcPr>
            <w:tcW w:w="0" w:type="auto"/>
            <w:vAlign w:val="center"/>
            <w:hideMark/>
          </w:tcPr>
          <w:p w14:paraId="1929AB15"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p-value</w:t>
            </w:r>
          </w:p>
        </w:tc>
        <w:tc>
          <w:tcPr>
            <w:tcW w:w="0" w:type="auto"/>
            <w:vAlign w:val="center"/>
            <w:hideMark/>
          </w:tcPr>
          <w:p w14:paraId="6E950943" w14:textId="77777777" w:rsidR="006D42D2" w:rsidRPr="00962350" w:rsidRDefault="006D42D2" w:rsidP="000E68B9">
            <w:pPr>
              <w:spacing w:after="0" w:line="240" w:lineRule="auto"/>
              <w:rPr>
                <w:rFonts w:ascii="Times New Roman" w:hAnsi="Times New Roman" w:cs="Times New Roman"/>
                <w:b/>
                <w:bCs/>
              </w:rPr>
            </w:pPr>
            <w:r w:rsidRPr="00962350">
              <w:rPr>
                <w:rFonts w:ascii="Times New Roman" w:hAnsi="Times New Roman" w:cs="Times New Roman"/>
                <w:b/>
                <w:bCs/>
              </w:rPr>
              <w:t>95% CI</w:t>
            </w:r>
          </w:p>
        </w:tc>
      </w:tr>
      <w:tr w:rsidR="006D42D2" w:rsidRPr="00962350" w14:paraId="393D6F53" w14:textId="77777777">
        <w:trPr>
          <w:tblCellSpacing w:w="15" w:type="dxa"/>
        </w:trPr>
        <w:tc>
          <w:tcPr>
            <w:tcW w:w="0" w:type="auto"/>
            <w:vAlign w:val="center"/>
            <w:hideMark/>
          </w:tcPr>
          <w:p w14:paraId="6C19021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Constant</w:t>
            </w:r>
          </w:p>
        </w:tc>
        <w:tc>
          <w:tcPr>
            <w:tcW w:w="0" w:type="auto"/>
            <w:vAlign w:val="center"/>
            <w:hideMark/>
          </w:tcPr>
          <w:p w14:paraId="1672CA6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0.284</w:t>
            </w:r>
          </w:p>
        </w:tc>
        <w:tc>
          <w:tcPr>
            <w:tcW w:w="0" w:type="auto"/>
            <w:vAlign w:val="center"/>
            <w:hideMark/>
          </w:tcPr>
          <w:p w14:paraId="4CCCCB4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0.157</w:t>
            </w:r>
          </w:p>
        </w:tc>
        <w:tc>
          <w:tcPr>
            <w:tcW w:w="0" w:type="auto"/>
            <w:vAlign w:val="center"/>
            <w:hideMark/>
          </w:tcPr>
          <w:p w14:paraId="679F638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0.071</w:t>
            </w:r>
          </w:p>
        </w:tc>
        <w:tc>
          <w:tcPr>
            <w:tcW w:w="0" w:type="auto"/>
            <w:vAlign w:val="center"/>
            <w:hideMark/>
          </w:tcPr>
          <w:p w14:paraId="68B9C16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[−0.024, 0.592]</w:t>
            </w:r>
          </w:p>
        </w:tc>
      </w:tr>
      <w:tr w:rsidR="006D42D2" w:rsidRPr="00962350" w14:paraId="0B007762" w14:textId="77777777">
        <w:trPr>
          <w:tblCellSpacing w:w="15" w:type="dxa"/>
        </w:trPr>
        <w:tc>
          <w:tcPr>
            <w:tcW w:w="0" w:type="auto"/>
            <w:vAlign w:val="center"/>
            <w:hideMark/>
          </w:tcPr>
          <w:p w14:paraId="04E4940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AR(1)</w:t>
            </w:r>
          </w:p>
        </w:tc>
        <w:tc>
          <w:tcPr>
            <w:tcW w:w="0" w:type="auto"/>
            <w:vAlign w:val="center"/>
            <w:hideMark/>
          </w:tcPr>
          <w:p w14:paraId="500E9D7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0.414</w:t>
            </w:r>
          </w:p>
        </w:tc>
        <w:tc>
          <w:tcPr>
            <w:tcW w:w="0" w:type="auto"/>
            <w:vAlign w:val="center"/>
            <w:hideMark/>
          </w:tcPr>
          <w:p w14:paraId="5BBBB36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0.027</w:t>
            </w:r>
          </w:p>
        </w:tc>
        <w:tc>
          <w:tcPr>
            <w:tcW w:w="0" w:type="auto"/>
            <w:vAlign w:val="center"/>
            <w:hideMark/>
          </w:tcPr>
          <w:p w14:paraId="4ADF243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6D7DB7C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[0.361, 0.468]</w:t>
            </w:r>
          </w:p>
        </w:tc>
      </w:tr>
      <w:tr w:rsidR="006D42D2" w:rsidRPr="00962350" w14:paraId="47E8E5CD" w14:textId="77777777">
        <w:trPr>
          <w:tblCellSpacing w:w="15" w:type="dxa"/>
        </w:trPr>
        <w:tc>
          <w:tcPr>
            <w:tcW w:w="0" w:type="auto"/>
            <w:vAlign w:val="center"/>
            <w:hideMark/>
          </w:tcPr>
          <w:p w14:paraId="2BF0AAA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Announce (impulse)</w:t>
            </w:r>
          </w:p>
        </w:tc>
        <w:tc>
          <w:tcPr>
            <w:tcW w:w="0" w:type="auto"/>
            <w:vAlign w:val="center"/>
            <w:hideMark/>
          </w:tcPr>
          <w:p w14:paraId="4AD02136"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−1.018</w:t>
            </w:r>
          </w:p>
        </w:tc>
        <w:tc>
          <w:tcPr>
            <w:tcW w:w="0" w:type="auto"/>
            <w:vAlign w:val="center"/>
            <w:hideMark/>
          </w:tcPr>
          <w:p w14:paraId="2D96EC3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0.114</w:t>
            </w:r>
          </w:p>
        </w:tc>
        <w:tc>
          <w:tcPr>
            <w:tcW w:w="0" w:type="auto"/>
            <w:vAlign w:val="center"/>
            <w:hideMark/>
          </w:tcPr>
          <w:p w14:paraId="11F0940F" w14:textId="09E5BB72"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1A6C160C" w:rsidRPr="0AEF911A">
              <w:rPr>
                <w:rStyle w:val="Strong"/>
                <w:rFonts w:ascii="Times New Roman" w:hAnsi="Times New Roman" w:cs="Times New Roman"/>
              </w:rPr>
              <w:t>**</w:t>
            </w:r>
            <w:r w:rsidRPr="0AEF911A">
              <w:rPr>
                <w:rFonts w:ascii="Times New Roman" w:hAnsi="Times New Roman" w:cs="Times New Roman"/>
              </w:rPr>
              <w:t>*</w:t>
            </w:r>
          </w:p>
        </w:tc>
        <w:tc>
          <w:tcPr>
            <w:tcW w:w="0" w:type="auto"/>
            <w:vAlign w:val="center"/>
            <w:hideMark/>
          </w:tcPr>
          <w:p w14:paraId="556CBF0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[−1.242, −0.795]</w:t>
            </w:r>
          </w:p>
        </w:tc>
      </w:tr>
      <w:tr w:rsidR="006D42D2" w:rsidRPr="00962350" w14:paraId="7E710548" w14:textId="77777777">
        <w:trPr>
          <w:tblCellSpacing w:w="15" w:type="dxa"/>
        </w:trPr>
        <w:tc>
          <w:tcPr>
            <w:tcW w:w="0" w:type="auto"/>
            <w:vAlign w:val="center"/>
            <w:hideMark/>
          </w:tcPr>
          <w:p w14:paraId="4CC4D226"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Implement (impulse)</w:t>
            </w:r>
          </w:p>
        </w:tc>
        <w:tc>
          <w:tcPr>
            <w:tcW w:w="0" w:type="auto"/>
            <w:vAlign w:val="center"/>
            <w:hideMark/>
          </w:tcPr>
          <w:p w14:paraId="35BECC21" w14:textId="77777777"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−0.779</w:t>
            </w:r>
          </w:p>
        </w:tc>
        <w:tc>
          <w:tcPr>
            <w:tcW w:w="0" w:type="auto"/>
            <w:vAlign w:val="center"/>
            <w:hideMark/>
          </w:tcPr>
          <w:p w14:paraId="73A9DD0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0.121</w:t>
            </w:r>
          </w:p>
        </w:tc>
        <w:tc>
          <w:tcPr>
            <w:tcW w:w="0" w:type="auto"/>
            <w:vAlign w:val="center"/>
            <w:hideMark/>
          </w:tcPr>
          <w:p w14:paraId="5691944F" w14:textId="63AEFD73" w:rsidR="006D42D2" w:rsidRPr="00962350"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&lt;0.001</w:t>
            </w:r>
            <w:r w:rsidRPr="127B31BF">
              <w:rPr>
                <w:rFonts w:ascii="Times New Roman" w:hAnsi="Times New Roman" w:cs="Times New Roman"/>
              </w:rPr>
              <w:t>*</w:t>
            </w:r>
            <w:r w:rsidR="3EDA82F9" w:rsidRPr="127B31BF">
              <w:rPr>
                <w:rFonts w:ascii="Times New Roman" w:hAnsi="Times New Roman" w:cs="Times New Roman"/>
              </w:rPr>
              <w:t>**</w:t>
            </w:r>
          </w:p>
        </w:tc>
        <w:tc>
          <w:tcPr>
            <w:tcW w:w="0" w:type="auto"/>
            <w:vAlign w:val="center"/>
            <w:hideMark/>
          </w:tcPr>
          <w:p w14:paraId="29F3863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[−1.015, −0.542]</w:t>
            </w:r>
          </w:p>
        </w:tc>
      </w:tr>
      <w:tr w:rsidR="006D42D2" w:rsidRPr="00962350" w14:paraId="03F393F4" w14:textId="77777777">
        <w:trPr>
          <w:tblCellSpacing w:w="15" w:type="dxa"/>
        </w:trPr>
        <w:tc>
          <w:tcPr>
            <w:tcW w:w="0" w:type="auto"/>
            <w:vAlign w:val="center"/>
            <w:hideMark/>
          </w:tcPr>
          <w:p w14:paraId="50E48D6C"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VIX</w:t>
            </w:r>
          </w:p>
        </w:tc>
        <w:tc>
          <w:tcPr>
            <w:tcW w:w="0" w:type="auto"/>
            <w:vAlign w:val="center"/>
            <w:hideMark/>
          </w:tcPr>
          <w:p w14:paraId="6B12423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−0.017</w:t>
            </w:r>
          </w:p>
        </w:tc>
        <w:tc>
          <w:tcPr>
            <w:tcW w:w="0" w:type="auto"/>
            <w:vAlign w:val="center"/>
            <w:hideMark/>
          </w:tcPr>
          <w:p w14:paraId="3683645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0.008</w:t>
            </w:r>
          </w:p>
        </w:tc>
        <w:tc>
          <w:tcPr>
            <w:tcW w:w="0" w:type="auto"/>
            <w:vAlign w:val="center"/>
            <w:hideMark/>
          </w:tcPr>
          <w:p w14:paraId="69AC489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0.048**</w:t>
            </w:r>
          </w:p>
        </w:tc>
        <w:tc>
          <w:tcPr>
            <w:tcW w:w="0" w:type="auto"/>
            <w:vAlign w:val="center"/>
            <w:hideMark/>
          </w:tcPr>
          <w:p w14:paraId="1168FE6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[−0.033, 0.000]</w:t>
            </w:r>
          </w:p>
        </w:tc>
      </w:tr>
      <w:tr w:rsidR="006D42D2" w:rsidRPr="00962350" w14:paraId="3A89FF83" w14:textId="77777777">
        <w:trPr>
          <w:tblCellSpacing w:w="15" w:type="dxa"/>
        </w:trPr>
        <w:tc>
          <w:tcPr>
            <w:tcW w:w="0" w:type="auto"/>
            <w:vAlign w:val="center"/>
            <w:hideMark/>
          </w:tcPr>
          <w:p w14:paraId="327F9A6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ΔDXY</w:t>
            </w:r>
          </w:p>
        </w:tc>
        <w:tc>
          <w:tcPr>
            <w:tcW w:w="0" w:type="auto"/>
            <w:vAlign w:val="center"/>
            <w:hideMark/>
          </w:tcPr>
          <w:p w14:paraId="64536C6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−0.047</w:t>
            </w:r>
          </w:p>
        </w:tc>
        <w:tc>
          <w:tcPr>
            <w:tcW w:w="0" w:type="auto"/>
            <w:vAlign w:val="center"/>
            <w:hideMark/>
          </w:tcPr>
          <w:p w14:paraId="6F72CFC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0.093</w:t>
            </w:r>
          </w:p>
        </w:tc>
        <w:tc>
          <w:tcPr>
            <w:tcW w:w="0" w:type="auto"/>
            <w:vAlign w:val="center"/>
            <w:hideMark/>
          </w:tcPr>
          <w:p w14:paraId="229B25F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0.615</w:t>
            </w:r>
          </w:p>
        </w:tc>
        <w:tc>
          <w:tcPr>
            <w:tcW w:w="0" w:type="auto"/>
            <w:vAlign w:val="center"/>
            <w:hideMark/>
          </w:tcPr>
          <w:p w14:paraId="350C78F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[−0.228, 0.135]</w:t>
            </w:r>
          </w:p>
        </w:tc>
      </w:tr>
      <w:tr w:rsidR="006D42D2" w:rsidRPr="00962350" w14:paraId="1FD9FFDC" w14:textId="77777777">
        <w:trPr>
          <w:tblCellSpacing w:w="15" w:type="dxa"/>
        </w:trPr>
        <w:tc>
          <w:tcPr>
            <w:tcW w:w="0" w:type="auto"/>
            <w:vAlign w:val="center"/>
            <w:hideMark/>
          </w:tcPr>
          <w:p w14:paraId="5B1C259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ΔUS3M</w:t>
            </w:r>
          </w:p>
        </w:tc>
        <w:tc>
          <w:tcPr>
            <w:tcW w:w="0" w:type="auto"/>
            <w:vAlign w:val="center"/>
            <w:hideMark/>
          </w:tcPr>
          <w:p w14:paraId="61DC273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−1.170</w:t>
            </w:r>
          </w:p>
        </w:tc>
        <w:tc>
          <w:tcPr>
            <w:tcW w:w="0" w:type="auto"/>
            <w:vAlign w:val="center"/>
            <w:hideMark/>
          </w:tcPr>
          <w:p w14:paraId="55D95CB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4.385</w:t>
            </w:r>
          </w:p>
        </w:tc>
        <w:tc>
          <w:tcPr>
            <w:tcW w:w="0" w:type="auto"/>
            <w:vAlign w:val="center"/>
            <w:hideMark/>
          </w:tcPr>
          <w:p w14:paraId="0EC7D738"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0.790</w:t>
            </w:r>
          </w:p>
        </w:tc>
        <w:tc>
          <w:tcPr>
            <w:tcW w:w="0" w:type="auto"/>
            <w:vAlign w:val="center"/>
            <w:hideMark/>
          </w:tcPr>
          <w:p w14:paraId="23982BEE"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[−9.764, 7.424]</w:t>
            </w:r>
          </w:p>
        </w:tc>
      </w:tr>
      <w:tr w:rsidR="006D42D2" w:rsidRPr="00962350" w14:paraId="3CC24B8B" w14:textId="77777777">
        <w:trPr>
          <w:tblCellSpacing w:w="15" w:type="dxa"/>
        </w:trPr>
        <w:tc>
          <w:tcPr>
            <w:tcW w:w="0" w:type="auto"/>
            <w:vAlign w:val="center"/>
            <w:hideMark/>
          </w:tcPr>
          <w:p w14:paraId="09396FD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α</w:t>
            </w:r>
          </w:p>
        </w:tc>
        <w:tc>
          <w:tcPr>
            <w:tcW w:w="0" w:type="auto"/>
            <w:vAlign w:val="center"/>
            <w:hideMark/>
          </w:tcPr>
          <w:p w14:paraId="7B83770B"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0.104</w:t>
            </w:r>
          </w:p>
        </w:tc>
        <w:tc>
          <w:tcPr>
            <w:tcW w:w="0" w:type="auto"/>
            <w:vAlign w:val="center"/>
            <w:hideMark/>
          </w:tcPr>
          <w:p w14:paraId="7D7AE43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0.038</w:t>
            </w:r>
          </w:p>
        </w:tc>
        <w:tc>
          <w:tcPr>
            <w:tcW w:w="0" w:type="auto"/>
            <w:vAlign w:val="center"/>
            <w:hideMark/>
          </w:tcPr>
          <w:p w14:paraId="6E912E19"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0.006**</w:t>
            </w:r>
          </w:p>
        </w:tc>
        <w:tc>
          <w:tcPr>
            <w:tcW w:w="0" w:type="auto"/>
            <w:vAlign w:val="center"/>
            <w:hideMark/>
          </w:tcPr>
          <w:p w14:paraId="52A2707D" w14:textId="2ECD1438"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5021B857" w14:textId="77777777">
        <w:trPr>
          <w:tblCellSpacing w:w="15" w:type="dxa"/>
        </w:trPr>
        <w:tc>
          <w:tcPr>
            <w:tcW w:w="0" w:type="auto"/>
            <w:vAlign w:val="center"/>
            <w:hideMark/>
          </w:tcPr>
          <w:p w14:paraId="04D8EF10"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GARCH β</w:t>
            </w:r>
          </w:p>
        </w:tc>
        <w:tc>
          <w:tcPr>
            <w:tcW w:w="0" w:type="auto"/>
            <w:vAlign w:val="center"/>
            <w:hideMark/>
          </w:tcPr>
          <w:p w14:paraId="1157EAF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0.896</w:t>
            </w:r>
          </w:p>
        </w:tc>
        <w:tc>
          <w:tcPr>
            <w:tcW w:w="0" w:type="auto"/>
            <w:vAlign w:val="center"/>
            <w:hideMark/>
          </w:tcPr>
          <w:p w14:paraId="74DCE6E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0.043</w:t>
            </w:r>
          </w:p>
        </w:tc>
        <w:tc>
          <w:tcPr>
            <w:tcW w:w="0" w:type="auto"/>
            <w:vAlign w:val="center"/>
            <w:hideMark/>
          </w:tcPr>
          <w:p w14:paraId="599242F1"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5B1F0578" w14:textId="369FB00B"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2A60DE01" w14:textId="77777777">
        <w:trPr>
          <w:tblCellSpacing w:w="15" w:type="dxa"/>
        </w:trPr>
        <w:tc>
          <w:tcPr>
            <w:tcW w:w="0" w:type="auto"/>
            <w:vAlign w:val="center"/>
            <w:hideMark/>
          </w:tcPr>
          <w:p w14:paraId="38A9C317"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α + β</w:t>
            </w:r>
          </w:p>
        </w:tc>
        <w:tc>
          <w:tcPr>
            <w:tcW w:w="0" w:type="auto"/>
            <w:vAlign w:val="center"/>
            <w:hideMark/>
          </w:tcPr>
          <w:p w14:paraId="63AE08E5"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1.000</w:t>
            </w:r>
          </w:p>
        </w:tc>
        <w:tc>
          <w:tcPr>
            <w:tcW w:w="0" w:type="auto"/>
            <w:vAlign w:val="center"/>
            <w:hideMark/>
          </w:tcPr>
          <w:p w14:paraId="2698143B" w14:textId="6DAD46B0"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334CE983" w14:textId="109FB7C4"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c>
          <w:tcPr>
            <w:tcW w:w="0" w:type="auto"/>
            <w:vAlign w:val="center"/>
            <w:hideMark/>
          </w:tcPr>
          <w:p w14:paraId="28A70468" w14:textId="37A8C8E0"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r w:rsidR="006D42D2" w:rsidRPr="00962350" w14:paraId="6EC12743" w14:textId="77777777">
        <w:trPr>
          <w:tblCellSpacing w:w="15" w:type="dxa"/>
        </w:trPr>
        <w:tc>
          <w:tcPr>
            <w:tcW w:w="0" w:type="auto"/>
            <w:vAlign w:val="center"/>
            <w:hideMark/>
          </w:tcPr>
          <w:p w14:paraId="61318622"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ν (</w:t>
            </w:r>
            <w:bookmarkStart w:id="0" w:name="_Int_wEpxAQep"/>
            <w:r w:rsidRPr="00962350">
              <w:rPr>
                <w:rFonts w:ascii="Times New Roman" w:hAnsi="Times New Roman" w:cs="Times New Roman"/>
              </w:rPr>
              <w:t>d.o.f.</w:t>
            </w:r>
            <w:bookmarkEnd w:id="0"/>
            <w:r w:rsidRPr="00962350">
              <w:rPr>
                <w:rFonts w:ascii="Times New Roman" w:hAnsi="Times New Roman" w:cs="Times New Roman"/>
              </w:rPr>
              <w:t>)</w:t>
            </w:r>
          </w:p>
        </w:tc>
        <w:tc>
          <w:tcPr>
            <w:tcW w:w="0" w:type="auto"/>
            <w:vAlign w:val="center"/>
            <w:hideMark/>
          </w:tcPr>
          <w:p w14:paraId="43F3A1E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2.973</w:t>
            </w:r>
          </w:p>
        </w:tc>
        <w:tc>
          <w:tcPr>
            <w:tcW w:w="0" w:type="auto"/>
            <w:vAlign w:val="center"/>
            <w:hideMark/>
          </w:tcPr>
          <w:p w14:paraId="7497667F"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0.194</w:t>
            </w:r>
          </w:p>
        </w:tc>
        <w:tc>
          <w:tcPr>
            <w:tcW w:w="0" w:type="auto"/>
            <w:vAlign w:val="center"/>
            <w:hideMark/>
          </w:tcPr>
          <w:p w14:paraId="6F4403D4"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&lt;0.001***</w:t>
            </w:r>
          </w:p>
        </w:tc>
        <w:tc>
          <w:tcPr>
            <w:tcW w:w="0" w:type="auto"/>
            <w:vAlign w:val="center"/>
            <w:hideMark/>
          </w:tcPr>
          <w:p w14:paraId="1F53D939" w14:textId="66B04EC3" w:rsidR="006D42D2" w:rsidRPr="00962350" w:rsidRDefault="00EA0A21" w:rsidP="000E68B9">
            <w:pPr>
              <w:spacing w:after="0" w:line="240" w:lineRule="auto"/>
              <w:rPr>
                <w:rFonts w:ascii="Times New Roman" w:hAnsi="Times New Roman" w:cs="Times New Roman"/>
              </w:rPr>
            </w:pPr>
            <w:r>
              <w:rPr>
                <w:rFonts w:ascii="Times New Roman" w:hAnsi="Times New Roman" w:cs="Times New Roman"/>
              </w:rPr>
              <w:t>X</w:t>
            </w:r>
          </w:p>
        </w:tc>
      </w:tr>
    </w:tbl>
    <w:p w14:paraId="030C2117" w14:textId="77777777" w:rsidR="006D42D2" w:rsidRDefault="006D42D2" w:rsidP="000E68B9">
      <w:pPr>
        <w:spacing w:after="0" w:line="240" w:lineRule="auto"/>
        <w:rPr>
          <w:rStyle w:val="Emphasis"/>
          <w:rFonts w:ascii="Times New Roman" w:hAnsi="Times New Roman" w:cs="Times New Roman"/>
        </w:rPr>
      </w:pPr>
      <w:r w:rsidRPr="00962350">
        <w:rPr>
          <w:rStyle w:val="Emphasis"/>
          <w:rFonts w:ascii="Times New Roman" w:hAnsi="Times New Roman" w:cs="Times New Roman"/>
        </w:rPr>
        <w:t>N = 1,454. Log-likelihood = −4,009.86. AIC = 8,041.71. BIC = 8,099.81.</w:t>
      </w:r>
    </w:p>
    <w:p w14:paraId="11A9002F" w14:textId="26C290B4" w:rsidR="00B34B3B" w:rsidRDefault="00E57E7C" w:rsidP="000E68B9">
      <w:pPr>
        <w:spacing w:after="0" w:line="240" w:lineRule="auto"/>
        <w:rPr>
          <w:rStyle w:val="Emphasis"/>
          <w:rFonts w:ascii="Times New Roman" w:hAnsi="Times New Roman" w:cs="Times New Roman"/>
        </w:rPr>
      </w:pPr>
      <w:r w:rsidRPr="00E57E7C">
        <w:rPr>
          <w:rStyle w:val="Emphasis"/>
          <w:rFonts w:ascii="Times New Roman" w:hAnsi="Times New Roman" w:cs="Times New Roman"/>
        </w:rPr>
        <w:t>Adj. R-squared</w:t>
      </w:r>
      <w:r>
        <w:rPr>
          <w:rStyle w:val="Emphasis"/>
          <w:rFonts w:ascii="Times New Roman" w:hAnsi="Times New Roman" w:cs="Times New Roman"/>
        </w:rPr>
        <w:t xml:space="preserve">: </w:t>
      </w:r>
      <w:r w:rsidRPr="00E57E7C">
        <w:rPr>
          <w:rStyle w:val="Emphasis"/>
          <w:rFonts w:ascii="Times New Roman" w:hAnsi="Times New Roman" w:cs="Times New Roman"/>
        </w:rPr>
        <w:t>0.184</w:t>
      </w:r>
    </w:p>
    <w:p w14:paraId="43A2C721" w14:textId="37DCFEA4" w:rsidR="00414687" w:rsidRPr="00962350" w:rsidRDefault="00414687" w:rsidP="000E68B9">
      <w:pPr>
        <w:spacing w:after="0" w:line="240" w:lineRule="auto"/>
        <w:rPr>
          <w:rFonts w:ascii="Times New Roman" w:hAnsi="Times New Roman" w:cs="Times New Roman"/>
        </w:rPr>
      </w:pPr>
      <w:r w:rsidRPr="00414687">
        <w:rPr>
          <w:rFonts w:ascii="Times New Roman" w:hAnsi="Times New Roman" w:cs="Times New Roman"/>
        </w:rPr>
        <w:t>*** p&lt;.01  ** p&lt;.05  * p&lt;.10</w:t>
      </w:r>
    </w:p>
    <w:p w14:paraId="1F145C38" w14:textId="77777777" w:rsidR="00873820" w:rsidRDefault="00873820" w:rsidP="000E68B9">
      <w:pPr>
        <w:spacing w:after="0" w:line="240" w:lineRule="auto"/>
        <w:rPr>
          <w:rFonts w:ascii="Times New Roman" w:hAnsi="Times New Roman" w:cs="Times New Roman"/>
          <w:b/>
          <w:bCs/>
        </w:rPr>
      </w:pPr>
    </w:p>
    <w:p w14:paraId="035E2AA1" w14:textId="3FA459C3" w:rsidR="006D42D2" w:rsidRPr="008D2B85" w:rsidRDefault="006D42D2" w:rsidP="000E68B9">
      <w:pPr>
        <w:spacing w:after="0" w:line="240" w:lineRule="auto"/>
        <w:rPr>
          <w:rFonts w:ascii="Times New Roman" w:hAnsi="Times New Roman" w:cs="Times New Roman"/>
          <w:b/>
          <w:bCs/>
        </w:rPr>
      </w:pPr>
      <w:r w:rsidRPr="008D2B85">
        <w:rPr>
          <w:rFonts w:ascii="Times New Roman" w:hAnsi="Times New Roman" w:cs="Times New Roman"/>
          <w:b/>
          <w:bCs/>
        </w:rPr>
        <w:t xml:space="preserve">5.3 Interpreting the </w:t>
      </w:r>
      <w:r w:rsidR="00065F6E">
        <w:rPr>
          <w:rFonts w:ascii="Times New Roman" w:hAnsi="Times New Roman" w:cs="Times New Roman"/>
          <w:b/>
          <w:bCs/>
        </w:rPr>
        <w:t>Findings</w:t>
      </w:r>
    </w:p>
    <w:p w14:paraId="4E96099A" w14:textId="77777777"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contrast between the two models deserves explicit discussion because it is the substantive finding of this paper.</w:t>
      </w:r>
    </w:p>
    <w:p w14:paraId="0F8FD2E7" w14:textId="77777777" w:rsidR="004A088A" w:rsidRDefault="004A088A" w:rsidP="000E68B9">
      <w:pPr>
        <w:spacing w:after="0" w:line="240" w:lineRule="auto"/>
        <w:rPr>
          <w:rFonts w:ascii="Times New Roman" w:hAnsi="Times New Roman" w:cs="Times New Roman"/>
        </w:rPr>
      </w:pPr>
    </w:p>
    <w:p w14:paraId="6CFB42BB" w14:textId="22114932"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CNY-</w:t>
      </w:r>
      <w:r w:rsidR="004A088A" w:rsidRPr="00962350">
        <w:rPr>
          <w:rFonts w:ascii="Times New Roman" w:hAnsi="Times New Roman" w:cs="Times New Roman"/>
        </w:rPr>
        <w:t>CNH</w:t>
      </w:r>
      <w:r w:rsidRPr="00962350">
        <w:rPr>
          <w:rFonts w:ascii="Times New Roman" w:hAnsi="Times New Roman" w:cs="Times New Roman"/>
        </w:rPr>
        <w:t xml:space="preserve"> spread is the most visible and widely cited measure of onshore-offshore RMB divergence. It is what traders watch in real time and what journalists cite when discussing de-dollarization. Its behavior in 2022 was driven almost entirely by the Federal Reserve. This is actually important information: the widely discussed narrative that 2022 spot RMB dynamics reflected geopolitical demand shifts was primarily a dollar story in disguise.</w:t>
      </w:r>
    </w:p>
    <w:p w14:paraId="151485B2" w14:textId="77777777" w:rsidR="004A088A" w:rsidRDefault="004A088A" w:rsidP="000E68B9">
      <w:pPr>
        <w:spacing w:after="0" w:line="240" w:lineRule="auto"/>
        <w:rPr>
          <w:rFonts w:ascii="Times New Roman" w:hAnsi="Times New Roman" w:cs="Times New Roman"/>
        </w:rPr>
      </w:pPr>
    </w:p>
    <w:p w14:paraId="3E7A88EC" w14:textId="77777777" w:rsidR="004A088A" w:rsidRDefault="004A088A" w:rsidP="000E68B9">
      <w:pPr>
        <w:spacing w:after="0" w:line="240" w:lineRule="auto"/>
        <w:rPr>
          <w:rFonts w:ascii="Times New Roman" w:hAnsi="Times New Roman" w:cs="Times New Roman"/>
        </w:rPr>
      </w:pPr>
    </w:p>
    <w:p w14:paraId="7E3C0321" w14:textId="4F59AE2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SHIBOR-HIBOR interbank differential is less visible but more fundamental. It measures the actual cost of accessing and holding offshore RMB liquidity</w:t>
      </w:r>
      <w:r w:rsidR="00055F9D">
        <w:rPr>
          <w:rFonts w:ascii="Times New Roman" w:hAnsi="Times New Roman" w:cs="Times New Roman"/>
        </w:rPr>
        <w:t>,</w:t>
      </w:r>
      <w:r w:rsidRPr="00962350">
        <w:rPr>
          <w:rFonts w:ascii="Times New Roman" w:hAnsi="Times New Roman" w:cs="Times New Roman"/>
        </w:rPr>
        <w:t xml:space="preserve"> the mechanism Bahaj and Reis (2026) identify as central to how PBOC swap lines function. When this spread compresses permanently after the sanctions shock, and when that compression survives controls for dollar dynamics, it indicates that something changed in the underlying demand for offshore RMB funding that was not driven by dollar monetary policy.</w:t>
      </w:r>
    </w:p>
    <w:p w14:paraId="6BF8EF13" w14:textId="77777777" w:rsidR="004A088A" w:rsidRDefault="004A088A" w:rsidP="000E68B9">
      <w:pPr>
        <w:spacing w:after="0" w:line="240" w:lineRule="auto"/>
        <w:rPr>
          <w:rFonts w:ascii="Times New Roman" w:hAnsi="Times New Roman" w:cs="Times New Roman"/>
        </w:rPr>
      </w:pPr>
    </w:p>
    <w:p w14:paraId="41A939BA" w14:textId="77777777"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Economically, the permanent HIBOR elevation relative to SHIBOR is consistent with global institutions</w:t>
      </w:r>
      <w:r w:rsidR="005E052C">
        <w:rPr>
          <w:rFonts w:ascii="Times New Roman" w:hAnsi="Times New Roman" w:cs="Times New Roman"/>
        </w:rPr>
        <w:t>,</w:t>
      </w:r>
      <w:r w:rsidRPr="00962350">
        <w:rPr>
          <w:rFonts w:ascii="Times New Roman" w:hAnsi="Times New Roman" w:cs="Times New Roman"/>
        </w:rPr>
        <w:t xml:space="preserve"> central banks, commercial banks, sovereign wealth funds</w:t>
      </w:r>
      <w:r w:rsidR="005E052C">
        <w:rPr>
          <w:rFonts w:ascii="Times New Roman" w:hAnsi="Times New Roman" w:cs="Times New Roman"/>
        </w:rPr>
        <w:t>,</w:t>
      </w:r>
      <w:r w:rsidRPr="00962350">
        <w:rPr>
          <w:rFonts w:ascii="Times New Roman" w:hAnsi="Times New Roman" w:cs="Times New Roman"/>
        </w:rPr>
        <w:t xml:space="preserve"> shifting some portion of their dollar-adjacent liquidity needs toward offshore RMB after observing Russian reserves frozen. </w:t>
      </w:r>
    </w:p>
    <w:p w14:paraId="0622DCE9" w14:textId="77777777" w:rsidR="003B53D7" w:rsidRDefault="003B53D7" w:rsidP="000E68B9">
      <w:pPr>
        <w:spacing w:after="0" w:line="240" w:lineRule="auto"/>
        <w:rPr>
          <w:rFonts w:ascii="Times New Roman" w:hAnsi="Times New Roman" w:cs="Times New Roman"/>
        </w:rPr>
      </w:pPr>
    </w:p>
    <w:p w14:paraId="3D9FA451" w14:textId="77777777"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This would increase demand for offshore RMB in the Hong Kong interbank market, drive up HIBOR, and compress the SHIBOR-HIBOR spread. </w:t>
      </w:r>
    </w:p>
    <w:p w14:paraId="5F510B49" w14:textId="02818388"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lastRenderedPageBreak/>
        <w:t>The effect is small in absolute basis point terms (1.80 bps combined) but statistically unambiguous and economically meaningful given the near-unit-root persistence</w:t>
      </w:r>
      <w:r w:rsidR="005E052C">
        <w:rPr>
          <w:rFonts w:ascii="Times New Roman" w:hAnsi="Times New Roman" w:cs="Times New Roman"/>
        </w:rPr>
        <w:t>:</w:t>
      </w:r>
      <w:r w:rsidRPr="00962350">
        <w:rPr>
          <w:rFonts w:ascii="Times New Roman" w:hAnsi="Times New Roman" w:cs="Times New Roman"/>
        </w:rPr>
        <w:t xml:space="preserve"> </w:t>
      </w:r>
      <w:r w:rsidRPr="005E052C">
        <w:rPr>
          <w:rFonts w:ascii="Times New Roman" w:hAnsi="Times New Roman" w:cs="Times New Roman"/>
          <w:b/>
          <w:bCs/>
        </w:rPr>
        <w:t>it does not decay.</w:t>
      </w:r>
    </w:p>
    <w:p w14:paraId="7F1BD915" w14:textId="77777777" w:rsidR="005E052C" w:rsidRPr="00962350" w:rsidRDefault="005E052C" w:rsidP="000E68B9">
      <w:pPr>
        <w:spacing w:after="0" w:line="240" w:lineRule="auto"/>
        <w:rPr>
          <w:rFonts w:ascii="Times New Roman" w:hAnsi="Times New Roman" w:cs="Times New Roman"/>
        </w:rPr>
      </w:pPr>
    </w:p>
    <w:p w14:paraId="60836627" w14:textId="77777777" w:rsidR="006D42D2" w:rsidRPr="005E052C" w:rsidRDefault="006D42D2" w:rsidP="000E68B9">
      <w:pPr>
        <w:spacing w:after="0" w:line="240" w:lineRule="auto"/>
        <w:rPr>
          <w:rFonts w:ascii="Times New Roman" w:hAnsi="Times New Roman" w:cs="Times New Roman"/>
          <w:b/>
          <w:bCs/>
        </w:rPr>
      </w:pPr>
      <w:r w:rsidRPr="005E052C">
        <w:rPr>
          <w:rFonts w:ascii="Times New Roman" w:hAnsi="Times New Roman" w:cs="Times New Roman"/>
          <w:b/>
          <w:bCs/>
        </w:rPr>
        <w:t>6. Limitations</w:t>
      </w:r>
    </w:p>
    <w:p w14:paraId="7703ED31" w14:textId="77777777" w:rsidR="000B6714"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Identification.</w:t>
      </w:r>
      <w:r w:rsidRPr="00962350">
        <w:rPr>
          <w:rFonts w:ascii="Times New Roman" w:hAnsi="Times New Roman" w:cs="Times New Roman"/>
        </w:rPr>
        <w:t xml:space="preserve"> </w:t>
      </w:r>
    </w:p>
    <w:p w14:paraId="457B39B1" w14:textId="34533423" w:rsidR="00181851"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identifies the sanctions effect using before-after variation in a single aggregate time series. It cannot rule out all contemporaneous confounders</w:t>
      </w:r>
      <w:r w:rsidR="00FB3BB4">
        <w:rPr>
          <w:rFonts w:ascii="Times New Roman" w:hAnsi="Times New Roman" w:cs="Times New Roman"/>
        </w:rPr>
        <w:t>,</w:t>
      </w:r>
      <w:r w:rsidRPr="00962350">
        <w:rPr>
          <w:rFonts w:ascii="Times New Roman" w:hAnsi="Times New Roman" w:cs="Times New Roman"/>
        </w:rPr>
        <w:t xml:space="preserve"> </w:t>
      </w:r>
      <w:r w:rsidR="003B53D7">
        <w:rPr>
          <w:rFonts w:ascii="Times New Roman" w:hAnsi="Times New Roman" w:cs="Times New Roman"/>
        </w:rPr>
        <w:t>including any</w:t>
      </w:r>
      <w:r w:rsidRPr="00962350">
        <w:rPr>
          <w:rFonts w:ascii="Times New Roman" w:hAnsi="Times New Roman" w:cs="Times New Roman"/>
        </w:rPr>
        <w:t xml:space="preserve"> PBOC intervention in offshore markets during 2022, which could have independently affected HIBOR dynamics.</w:t>
      </w:r>
    </w:p>
    <w:p w14:paraId="6026E438" w14:textId="77777777" w:rsidR="00181851" w:rsidRDefault="00181851" w:rsidP="000E68B9">
      <w:pPr>
        <w:spacing w:after="0" w:line="240" w:lineRule="auto"/>
        <w:rPr>
          <w:rFonts w:ascii="Times New Roman" w:hAnsi="Times New Roman" w:cs="Times New Roman"/>
        </w:rPr>
      </w:pPr>
    </w:p>
    <w:p w14:paraId="2BF2E120" w14:textId="1A3521E0" w:rsidR="006D42D2" w:rsidRPr="00962350" w:rsidRDefault="003B53D7" w:rsidP="000E68B9">
      <w:pPr>
        <w:spacing w:after="0" w:line="240" w:lineRule="auto"/>
        <w:rPr>
          <w:rFonts w:ascii="Times New Roman" w:hAnsi="Times New Roman" w:cs="Times New Roman"/>
        </w:rPr>
      </w:pPr>
      <w:r>
        <w:rPr>
          <w:rFonts w:ascii="Times New Roman" w:hAnsi="Times New Roman" w:cs="Times New Roman"/>
        </w:rPr>
        <w:t>This limitation is precisely the driving factor in the</w:t>
      </w:r>
      <w:r w:rsidR="00181851">
        <w:rPr>
          <w:rFonts w:ascii="Times New Roman" w:hAnsi="Times New Roman" w:cs="Times New Roman"/>
        </w:rPr>
        <w:t xml:space="preserve"> second</w:t>
      </w:r>
      <w:r>
        <w:rPr>
          <w:rFonts w:ascii="Times New Roman" w:hAnsi="Times New Roman" w:cs="Times New Roman"/>
        </w:rPr>
        <w:t xml:space="preserve"> </w:t>
      </w:r>
      <w:r w:rsidR="00181851">
        <w:rPr>
          <w:rFonts w:ascii="Times New Roman" w:hAnsi="Times New Roman" w:cs="Times New Roman"/>
        </w:rPr>
        <w:t>part</w:t>
      </w:r>
      <w:r>
        <w:rPr>
          <w:rFonts w:ascii="Times New Roman" w:hAnsi="Times New Roman" w:cs="Times New Roman"/>
        </w:rPr>
        <w:t xml:space="preserve"> of this research</w:t>
      </w:r>
      <w:r w:rsidR="00E01C4F">
        <w:rPr>
          <w:rFonts w:ascii="Times New Roman" w:hAnsi="Times New Roman" w:cs="Times New Roman"/>
        </w:rPr>
        <w:t>.</w:t>
      </w:r>
      <w:r>
        <w:rPr>
          <w:rFonts w:ascii="Times New Roman" w:hAnsi="Times New Roman" w:cs="Times New Roman"/>
        </w:rPr>
        <w:t xml:space="preserve"> </w:t>
      </w:r>
      <w:r w:rsidR="00E01C4F">
        <w:rPr>
          <w:rFonts w:ascii="Times New Roman" w:hAnsi="Times New Roman" w:cs="Times New Roman"/>
        </w:rPr>
        <w:t>B</w:t>
      </w:r>
      <w:r>
        <w:rPr>
          <w:rFonts w:ascii="Times New Roman" w:hAnsi="Times New Roman" w:cs="Times New Roman"/>
        </w:rPr>
        <w:t>y taking individual countries with established swap lines with China</w:t>
      </w:r>
      <w:r w:rsidR="00E01C4F">
        <w:rPr>
          <w:rFonts w:ascii="Times New Roman" w:hAnsi="Times New Roman" w:cs="Times New Roman"/>
        </w:rPr>
        <w:t xml:space="preserve">, we can use the non-swap line countries as </w:t>
      </w:r>
      <w:r w:rsidR="00E01C4F" w:rsidRPr="0682E37D">
        <w:rPr>
          <w:rFonts w:ascii="Times New Roman" w:hAnsi="Times New Roman" w:cs="Times New Roman"/>
        </w:rPr>
        <w:t>counterfactuals</w:t>
      </w:r>
      <w:r w:rsidR="00E01C4F">
        <w:rPr>
          <w:rFonts w:ascii="Times New Roman" w:hAnsi="Times New Roman" w:cs="Times New Roman"/>
        </w:rPr>
        <w:t xml:space="preserve"> </w:t>
      </w:r>
      <w:r w:rsidR="000971FA" w:rsidRPr="14BACF95">
        <w:rPr>
          <w:rFonts w:ascii="Times New Roman" w:hAnsi="Times New Roman" w:cs="Times New Roman"/>
        </w:rPr>
        <w:t>to</w:t>
      </w:r>
      <w:r w:rsidR="00E01C4F" w:rsidRPr="14BACF95">
        <w:rPr>
          <w:rFonts w:ascii="Times New Roman" w:hAnsi="Times New Roman" w:cs="Times New Roman"/>
        </w:rPr>
        <w:t xml:space="preserve"> </w:t>
      </w:r>
      <w:r w:rsidR="00E01C4F">
        <w:rPr>
          <w:rFonts w:ascii="Times New Roman" w:hAnsi="Times New Roman" w:cs="Times New Roman"/>
        </w:rPr>
        <w:t xml:space="preserve">demonstrate the effectiveness of </w:t>
      </w:r>
      <w:r w:rsidR="006A5D4A">
        <w:rPr>
          <w:rFonts w:ascii="Times New Roman" w:hAnsi="Times New Roman" w:cs="Times New Roman"/>
        </w:rPr>
        <w:t xml:space="preserve">swap lines mitigating the impact of sudden strong RMB demand from the 2022 Russian sanction shock. </w:t>
      </w:r>
    </w:p>
    <w:p w14:paraId="3FEEAB5E" w14:textId="77777777" w:rsidR="003B53D7" w:rsidRDefault="003B53D7" w:rsidP="000E68B9">
      <w:pPr>
        <w:spacing w:after="0" w:line="240" w:lineRule="auto"/>
        <w:rPr>
          <w:rStyle w:val="Strong"/>
          <w:rFonts w:ascii="Times New Roman" w:hAnsi="Times New Roman" w:cs="Times New Roman"/>
        </w:rPr>
      </w:pPr>
    </w:p>
    <w:p w14:paraId="1EF9E2DB" w14:textId="77777777" w:rsidR="000B6714" w:rsidRDefault="006D42D2" w:rsidP="000E68B9">
      <w:pPr>
        <w:spacing w:after="0" w:line="240" w:lineRule="auto"/>
        <w:rPr>
          <w:rFonts w:ascii="Times New Roman" w:hAnsi="Times New Roman" w:cs="Times New Roman"/>
        </w:rPr>
      </w:pPr>
      <w:r w:rsidRPr="00962350">
        <w:rPr>
          <w:rStyle w:val="Strong"/>
          <w:rFonts w:ascii="Times New Roman" w:hAnsi="Times New Roman" w:cs="Times New Roman"/>
        </w:rPr>
        <w:t>Data constraints.</w:t>
      </w:r>
      <w:r w:rsidRPr="00962350">
        <w:rPr>
          <w:rFonts w:ascii="Times New Roman" w:hAnsi="Times New Roman" w:cs="Times New Roman"/>
        </w:rPr>
        <w:t xml:space="preserve"> </w:t>
      </w:r>
    </w:p>
    <w:p w14:paraId="3D59AD1E" w14:textId="6CAF5FC4" w:rsidR="000B6714" w:rsidRDefault="006D42D2" w:rsidP="000E68B9">
      <w:pPr>
        <w:spacing w:after="0" w:line="240" w:lineRule="auto"/>
        <w:rPr>
          <w:rFonts w:ascii="Times New Roman" w:hAnsi="Times New Roman" w:cs="Times New Roman"/>
        </w:rPr>
      </w:pPr>
      <w:r w:rsidRPr="00962350">
        <w:rPr>
          <w:rFonts w:ascii="Times New Roman" w:hAnsi="Times New Roman" w:cs="Times New Roman"/>
        </w:rPr>
        <w:t>The SWIFT microdata underlying Bahaj and Reis (2026)</w:t>
      </w:r>
      <w:r w:rsidR="00FB3BB4">
        <w:rPr>
          <w:rFonts w:ascii="Times New Roman" w:hAnsi="Times New Roman" w:cs="Times New Roman"/>
        </w:rPr>
        <w:t>,</w:t>
      </w:r>
      <w:r w:rsidRPr="00962350">
        <w:rPr>
          <w:rFonts w:ascii="Times New Roman" w:hAnsi="Times New Roman" w:cs="Times New Roman"/>
        </w:rPr>
        <w:t xml:space="preserve"> bilateral country-level RMB payment flows</w:t>
      </w:r>
      <w:r w:rsidR="00FB3BB4">
        <w:rPr>
          <w:rFonts w:ascii="Times New Roman" w:hAnsi="Times New Roman" w:cs="Times New Roman"/>
        </w:rPr>
        <w:t>,</w:t>
      </w:r>
      <w:r w:rsidRPr="00962350">
        <w:rPr>
          <w:rFonts w:ascii="Times New Roman" w:hAnsi="Times New Roman" w:cs="Times New Roman"/>
        </w:rPr>
        <w:t xml:space="preserve"> is proprietary and unavailable for this analysis. </w:t>
      </w:r>
    </w:p>
    <w:p w14:paraId="2D6F73BF" w14:textId="77777777" w:rsidR="000B6714" w:rsidRDefault="000B6714" w:rsidP="000E68B9">
      <w:pPr>
        <w:spacing w:after="0" w:line="240" w:lineRule="auto"/>
        <w:rPr>
          <w:rFonts w:ascii="Times New Roman" w:hAnsi="Times New Roman" w:cs="Times New Roman"/>
        </w:rPr>
      </w:pPr>
    </w:p>
    <w:p w14:paraId="1FB3653D" w14:textId="69F9C4AB"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SHIBOR-HIBOR differential measures interbank funding conditions in existing offshore markets rather than the adoption of RMB in new payment relationships.</w:t>
      </w:r>
    </w:p>
    <w:p w14:paraId="6C13945E" w14:textId="77777777" w:rsidR="003B53D7" w:rsidRDefault="003B53D7" w:rsidP="000E68B9">
      <w:pPr>
        <w:spacing w:after="0" w:line="240" w:lineRule="auto"/>
        <w:rPr>
          <w:rStyle w:val="Strong"/>
          <w:rFonts w:ascii="Times New Roman" w:hAnsi="Times New Roman" w:cs="Times New Roman"/>
        </w:rPr>
      </w:pPr>
    </w:p>
    <w:p w14:paraId="060FFB1C" w14:textId="77777777" w:rsidR="00CE6506" w:rsidRDefault="006D42D2" w:rsidP="000E68B9">
      <w:pPr>
        <w:spacing w:after="0" w:line="240" w:lineRule="auto"/>
        <w:rPr>
          <w:rStyle w:val="Strong"/>
          <w:rFonts w:ascii="Times New Roman" w:hAnsi="Times New Roman" w:cs="Times New Roman"/>
        </w:rPr>
      </w:pPr>
      <w:r w:rsidRPr="00962350">
        <w:rPr>
          <w:rStyle w:val="Strong"/>
          <w:rFonts w:ascii="Times New Roman" w:hAnsi="Times New Roman" w:cs="Times New Roman"/>
        </w:rPr>
        <w:t>Near-unit-root SHIBOR-HIBOR.</w:t>
      </w:r>
    </w:p>
    <w:p w14:paraId="63550543" w14:textId="2DFAB57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 The SHIBOR-HIBOR series is nonstationary in levels and is modeled in first differences. While the impulse dummy approach recovers the permanent level shift interpretation, inference in near-unit-root processes carries inherent uncertainty. Readers should treat the interbank result as strongly suggestive rather than definitive.</w:t>
      </w:r>
    </w:p>
    <w:p w14:paraId="015B3E99" w14:textId="0554FD6B" w:rsidR="00C40718" w:rsidRDefault="00C40718" w:rsidP="000E68B9">
      <w:pPr>
        <w:spacing w:after="0" w:line="240" w:lineRule="auto"/>
        <w:rPr>
          <w:rFonts w:ascii="Times New Roman" w:hAnsi="Times New Roman" w:cs="Times New Roman"/>
          <w:b/>
          <w:bCs/>
        </w:rPr>
      </w:pPr>
    </w:p>
    <w:p w14:paraId="4FB7B76D" w14:textId="7870257E" w:rsidR="006D42D2" w:rsidRPr="00FB3BB4" w:rsidRDefault="006D42D2" w:rsidP="000E68B9">
      <w:pPr>
        <w:spacing w:after="0" w:line="240" w:lineRule="auto"/>
        <w:rPr>
          <w:rFonts w:ascii="Times New Roman" w:hAnsi="Times New Roman" w:cs="Times New Roman"/>
          <w:b/>
          <w:bCs/>
        </w:rPr>
      </w:pPr>
      <w:r w:rsidRPr="00FB3BB4">
        <w:rPr>
          <w:rFonts w:ascii="Times New Roman" w:hAnsi="Times New Roman" w:cs="Times New Roman"/>
          <w:b/>
          <w:bCs/>
        </w:rPr>
        <w:t>7. Conclusion</w:t>
      </w:r>
    </w:p>
    <w:p w14:paraId="30B62B5F" w14:textId="72C3F88A" w:rsidR="003B53D7" w:rsidRDefault="006D42D2" w:rsidP="000E68B9">
      <w:pPr>
        <w:spacing w:after="0" w:line="240" w:lineRule="auto"/>
        <w:rPr>
          <w:rFonts w:ascii="Times New Roman" w:hAnsi="Times New Roman" w:cs="Times New Roman"/>
        </w:rPr>
      </w:pPr>
      <w:r w:rsidRPr="00962350">
        <w:rPr>
          <w:rFonts w:ascii="Times New Roman" w:hAnsi="Times New Roman" w:cs="Times New Roman"/>
        </w:rPr>
        <w:t>This paper asks whether the 2022 Russia sanctions shock created a detectable and permanent shift in offshore RMB market conditions. Using AR(1)-GARCH(1,1) models on two distinct financial instruments over a 2020-2025 daily sample, I find that the answer depends entirely on which market you look at.</w:t>
      </w:r>
    </w:p>
    <w:p w14:paraId="4819509B" w14:textId="77777777" w:rsidR="003B53D7" w:rsidRDefault="003B53D7" w:rsidP="000E68B9">
      <w:pPr>
        <w:spacing w:after="0" w:line="240" w:lineRule="auto"/>
        <w:rPr>
          <w:rFonts w:ascii="Times New Roman" w:hAnsi="Times New Roman" w:cs="Times New Roman"/>
        </w:rPr>
      </w:pPr>
    </w:p>
    <w:p w14:paraId="483943FC" w14:textId="77777777" w:rsidR="005926E6" w:rsidRDefault="006D42D2" w:rsidP="000E68B9">
      <w:pPr>
        <w:spacing w:after="0" w:line="240" w:lineRule="auto"/>
        <w:rPr>
          <w:rFonts w:ascii="Times New Roman" w:hAnsi="Times New Roman" w:cs="Times New Roman"/>
        </w:rPr>
      </w:pPr>
      <w:r w:rsidRPr="00962350">
        <w:rPr>
          <w:rFonts w:ascii="Times New Roman" w:hAnsi="Times New Roman" w:cs="Times New Roman"/>
        </w:rPr>
        <w:t>The spot FX channel</w:t>
      </w:r>
      <w:r w:rsidR="009B383A">
        <w:rPr>
          <w:rFonts w:ascii="Times New Roman" w:hAnsi="Times New Roman" w:cs="Times New Roman"/>
        </w:rPr>
        <w:t>,</w:t>
      </w:r>
      <w:r w:rsidRPr="00962350">
        <w:rPr>
          <w:rFonts w:ascii="Times New Roman" w:hAnsi="Times New Roman" w:cs="Times New Roman"/>
        </w:rPr>
        <w:t xml:space="preserve"> CNY-CNH</w:t>
      </w:r>
      <w:r w:rsidR="009B383A">
        <w:rPr>
          <w:rFonts w:ascii="Times New Roman" w:hAnsi="Times New Roman" w:cs="Times New Roman"/>
        </w:rPr>
        <w:t>,</w:t>
      </w:r>
      <w:r w:rsidRPr="00962350">
        <w:rPr>
          <w:rFonts w:ascii="Times New Roman" w:hAnsi="Times New Roman" w:cs="Times New Roman"/>
        </w:rPr>
        <w:t xml:space="preserve"> shows no sanctions effect once dollar strength is controlled for. The 2022 spot RMB dynamics were a dollar story driven by Federal Reserve tightening. </w:t>
      </w:r>
    </w:p>
    <w:p w14:paraId="762B434D" w14:textId="77777777" w:rsidR="005926E6" w:rsidRDefault="005926E6" w:rsidP="000E68B9">
      <w:pPr>
        <w:spacing w:after="0" w:line="240" w:lineRule="auto"/>
        <w:rPr>
          <w:rFonts w:ascii="Times New Roman" w:hAnsi="Times New Roman" w:cs="Times New Roman"/>
        </w:rPr>
      </w:pPr>
    </w:p>
    <w:p w14:paraId="0D672CB7" w14:textId="57F1E6A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Claims that spot RMB appreciation in 2022 reflected geopolitical demand are not supported by the data once concurrent monetary policy is properly absorbed.</w:t>
      </w:r>
    </w:p>
    <w:p w14:paraId="4AE00494" w14:textId="77777777" w:rsidR="005926E6" w:rsidRDefault="005926E6" w:rsidP="000E68B9">
      <w:pPr>
        <w:spacing w:after="0" w:line="240" w:lineRule="auto"/>
        <w:rPr>
          <w:rFonts w:ascii="Times New Roman" w:hAnsi="Times New Roman" w:cs="Times New Roman"/>
        </w:rPr>
      </w:pPr>
    </w:p>
    <w:p w14:paraId="4A2B1B95" w14:textId="74C1D39C"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interbank funding channel</w:t>
      </w:r>
      <w:r w:rsidR="00B70CF4">
        <w:rPr>
          <w:rFonts w:ascii="Times New Roman" w:hAnsi="Times New Roman" w:cs="Times New Roman"/>
        </w:rPr>
        <w:t>,</w:t>
      </w:r>
      <w:r w:rsidRPr="00962350">
        <w:rPr>
          <w:rFonts w:ascii="Times New Roman" w:hAnsi="Times New Roman" w:cs="Times New Roman"/>
        </w:rPr>
        <w:t xml:space="preserve"> SHIBOR-HIBOR</w:t>
      </w:r>
      <w:r w:rsidR="00B70CF4">
        <w:rPr>
          <w:rFonts w:ascii="Times New Roman" w:hAnsi="Times New Roman" w:cs="Times New Roman"/>
        </w:rPr>
        <w:t xml:space="preserve">, </w:t>
      </w:r>
      <w:r w:rsidRPr="00962350">
        <w:rPr>
          <w:rFonts w:ascii="Times New Roman" w:hAnsi="Times New Roman" w:cs="Times New Roman"/>
        </w:rPr>
        <w:t xml:space="preserve">shows a robust and permanent sanctions effect that survives all controls. The announcement and implementation of the Russia sanctions each generated a statistically significant permanent compression of the offshore-onshore RMB interbank rate differential, with dollar dynamics playing no role. This indicates that global institutions adjusted their offshore RMB liquidity exposures in response to the demonstration of </w:t>
      </w:r>
      <w:r w:rsidRPr="00962350">
        <w:rPr>
          <w:rFonts w:ascii="Times New Roman" w:hAnsi="Times New Roman" w:cs="Times New Roman"/>
        </w:rPr>
        <w:lastRenderedPageBreak/>
        <w:t>dollar weaponization, specifically in the interbank funding market where such adjustments would first appear.</w:t>
      </w:r>
    </w:p>
    <w:p w14:paraId="5193C86E" w14:textId="77777777" w:rsidR="005926E6" w:rsidRDefault="005926E6" w:rsidP="000E68B9">
      <w:pPr>
        <w:spacing w:after="0" w:line="240" w:lineRule="auto"/>
        <w:rPr>
          <w:rFonts w:ascii="Times New Roman" w:hAnsi="Times New Roman" w:cs="Times New Roman"/>
        </w:rPr>
      </w:pPr>
    </w:p>
    <w:p w14:paraId="72CDF852" w14:textId="0F1C73D1"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The volatility findings reinforce this interpretation. Near-unit-root GARCH persistence in both models indicates that pricing uncertainty in offshore RMB markets became structurally elevated after the shock and did not dissipate. The sanctions created not just a level shift but a volatility regime change.</w:t>
      </w:r>
    </w:p>
    <w:p w14:paraId="300D288B" w14:textId="77777777" w:rsidR="005926E6" w:rsidRDefault="005926E6" w:rsidP="000E68B9">
      <w:pPr>
        <w:spacing w:after="0" w:line="240" w:lineRule="auto"/>
        <w:rPr>
          <w:rFonts w:ascii="Times New Roman" w:hAnsi="Times New Roman" w:cs="Times New Roman"/>
        </w:rPr>
      </w:pPr>
    </w:p>
    <w:p w14:paraId="62BC4FC8" w14:textId="5C6A9394"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Taken together, these results provide high-frequency financial market evidence consistent with the broader RMB internationalization narrative in Bahaj and Reis (2026) and Chupilkin et al. (2023), while adding a channel decomposition that the existing literature</w:t>
      </w:r>
      <w:r w:rsidR="00294868">
        <w:rPr>
          <w:rFonts w:ascii="Times New Roman" w:hAnsi="Times New Roman" w:cs="Times New Roman"/>
        </w:rPr>
        <w:t>,</w:t>
      </w:r>
      <w:r w:rsidRPr="00962350">
        <w:rPr>
          <w:rFonts w:ascii="Times New Roman" w:hAnsi="Times New Roman" w:cs="Times New Roman"/>
        </w:rPr>
        <w:t xml:space="preserve"> constrained to lower-frequency payment data</w:t>
      </w:r>
      <w:r w:rsidR="00294868">
        <w:rPr>
          <w:rFonts w:ascii="Times New Roman" w:hAnsi="Times New Roman" w:cs="Times New Roman"/>
        </w:rPr>
        <w:t>,</w:t>
      </w:r>
      <w:r w:rsidRPr="00962350">
        <w:rPr>
          <w:rFonts w:ascii="Times New Roman" w:hAnsi="Times New Roman" w:cs="Times New Roman"/>
        </w:rPr>
        <w:t xml:space="preserve"> cannot provide. The 2022 shock worked through offshore RMB liquidity, not spot exchange rates, and the mechanism is detectable in daily market prices years after the event.</w:t>
      </w:r>
    </w:p>
    <w:p w14:paraId="6D4D9E5E" w14:textId="18D3B90C" w:rsidR="00E93049" w:rsidRDefault="00E93049" w:rsidP="000E68B9">
      <w:pPr>
        <w:spacing w:after="0" w:line="240" w:lineRule="auto"/>
        <w:rPr>
          <w:rFonts w:ascii="Times New Roman" w:hAnsi="Times New Roman" w:cs="Times New Roman"/>
        </w:rPr>
      </w:pPr>
      <w:r>
        <w:rPr>
          <w:rFonts w:ascii="Times New Roman" w:hAnsi="Times New Roman" w:cs="Times New Roman"/>
        </w:rPr>
        <w:br w:type="page"/>
      </w:r>
    </w:p>
    <w:p w14:paraId="0D6EB224" w14:textId="77777777" w:rsidR="006D42D2" w:rsidRPr="00962350" w:rsidRDefault="006D42D2" w:rsidP="000E68B9">
      <w:pPr>
        <w:spacing w:after="0" w:line="240" w:lineRule="auto"/>
        <w:rPr>
          <w:rFonts w:ascii="Times New Roman" w:hAnsi="Times New Roman" w:cs="Times New Roman"/>
        </w:rPr>
      </w:pPr>
    </w:p>
    <w:p w14:paraId="55C17FDF" w14:textId="77777777" w:rsidR="006D42D2" w:rsidRPr="00E93049" w:rsidRDefault="006D42D2" w:rsidP="000E68B9">
      <w:pPr>
        <w:spacing w:after="0" w:line="240" w:lineRule="auto"/>
        <w:rPr>
          <w:rFonts w:ascii="Times New Roman" w:hAnsi="Times New Roman" w:cs="Times New Roman"/>
          <w:b/>
          <w:bCs/>
        </w:rPr>
      </w:pPr>
      <w:r w:rsidRPr="00E93049">
        <w:rPr>
          <w:rFonts w:ascii="Times New Roman" w:hAnsi="Times New Roman" w:cs="Times New Roman"/>
          <w:b/>
          <w:bCs/>
        </w:rPr>
        <w:t>References</w:t>
      </w:r>
    </w:p>
    <w:p w14:paraId="178A996C" w14:textId="77777777" w:rsidR="00A144A6" w:rsidRDefault="00A144A6" w:rsidP="000E68B9">
      <w:pPr>
        <w:spacing w:after="0" w:line="240" w:lineRule="auto"/>
        <w:rPr>
          <w:rFonts w:ascii="Times New Roman" w:hAnsi="Times New Roman" w:cs="Times New Roman"/>
        </w:rPr>
      </w:pPr>
    </w:p>
    <w:p w14:paraId="7B53746F" w14:textId="2BA25540"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Bahaj, S. and Reis, R. (2026). "Jumpstarting an International Currency." </w:t>
      </w:r>
      <w:r w:rsidRPr="00962350">
        <w:rPr>
          <w:rStyle w:val="Emphasis"/>
          <w:rFonts w:ascii="Times New Roman" w:hAnsi="Times New Roman" w:cs="Times New Roman"/>
        </w:rPr>
        <w:t>Review of Economic Studies</w:t>
      </w:r>
      <w:r w:rsidR="6EEA13E7" w:rsidRPr="6E2B0685">
        <w:rPr>
          <w:rStyle w:val="Emphasis"/>
          <w:rFonts w:ascii="Times New Roman" w:hAnsi="Times New Roman" w:cs="Times New Roman"/>
        </w:rPr>
        <w:t xml:space="preserve">, </w:t>
      </w:r>
      <w:r w:rsidR="6EEA13E7" w:rsidRPr="6E2B0685">
        <w:rPr>
          <w:rStyle w:val="Emphasis"/>
          <w:rFonts w:ascii="Times New Roman" w:hAnsi="Times New Roman" w:cs="Times New Roman"/>
          <w:i w:val="0"/>
          <w:iCs w:val="0"/>
        </w:rPr>
        <w:t>00, 1-32.</w:t>
      </w:r>
    </w:p>
    <w:p w14:paraId="250ECBEC" w14:textId="77777777" w:rsidR="00A144A6" w:rsidRDefault="00A144A6" w:rsidP="000E68B9">
      <w:pPr>
        <w:spacing w:after="0" w:line="240" w:lineRule="auto"/>
        <w:rPr>
          <w:rFonts w:ascii="Times New Roman" w:hAnsi="Times New Roman" w:cs="Times New Roman"/>
        </w:rPr>
      </w:pPr>
    </w:p>
    <w:p w14:paraId="4BA6D224" w14:textId="772834EE" w:rsidR="00A144A6" w:rsidRDefault="006D42D2" w:rsidP="00A144A6">
      <w:pPr>
        <w:spacing w:after="0" w:line="240" w:lineRule="auto"/>
        <w:rPr>
          <w:rFonts w:ascii="Times New Roman" w:hAnsi="Times New Roman" w:cs="Times New Roman"/>
        </w:rPr>
      </w:pPr>
      <w:r w:rsidRPr="00962350">
        <w:rPr>
          <w:rFonts w:ascii="Times New Roman" w:hAnsi="Times New Roman" w:cs="Times New Roman"/>
        </w:rPr>
        <w:t xml:space="preserve">Box, G.E.P. and Tiao, G.C. (1975). "Intervention Analysis with Applications to Economic and Environmental Problems." </w:t>
      </w:r>
      <w:r w:rsidRPr="00962350">
        <w:rPr>
          <w:rStyle w:val="Emphasis"/>
          <w:rFonts w:ascii="Times New Roman" w:hAnsi="Times New Roman" w:cs="Times New Roman"/>
        </w:rPr>
        <w:t>Journal of the American Statistical Association</w:t>
      </w:r>
      <w:r w:rsidR="2BF56546" w:rsidRPr="17FD2654">
        <w:rPr>
          <w:rStyle w:val="Emphasis"/>
          <w:rFonts w:ascii="Times New Roman" w:hAnsi="Times New Roman" w:cs="Times New Roman"/>
        </w:rPr>
        <w:t xml:space="preserve">, </w:t>
      </w:r>
      <w:r w:rsidR="2BF56546" w:rsidRPr="17FD2654">
        <w:rPr>
          <w:rStyle w:val="Emphasis"/>
          <w:rFonts w:ascii="Times New Roman" w:hAnsi="Times New Roman" w:cs="Times New Roman"/>
          <w:i w:val="0"/>
          <w:iCs w:val="0"/>
        </w:rPr>
        <w:t>70(349), 70-</w:t>
      </w:r>
      <w:r w:rsidR="2BF56546" w:rsidRPr="50FCFFB2">
        <w:rPr>
          <w:rStyle w:val="Emphasis"/>
          <w:rFonts w:ascii="Times New Roman" w:hAnsi="Times New Roman" w:cs="Times New Roman"/>
          <w:i w:val="0"/>
          <w:iCs w:val="0"/>
        </w:rPr>
        <w:t>79</w:t>
      </w:r>
    </w:p>
    <w:p w14:paraId="616E0A57" w14:textId="6D072E64" w:rsidR="00D56075" w:rsidRDefault="00A144A6" w:rsidP="007815D5">
      <w:pPr>
        <w:pStyle w:val="NormalWeb"/>
      </w:pPr>
      <w:r>
        <w:t xml:space="preserve">Lütkepohl, H. (2004). Vector autoregressive and vector error correction models. </w:t>
      </w:r>
      <w:r>
        <w:rPr>
          <w:i/>
          <w:iCs/>
        </w:rPr>
        <w:t>Applied Time Series Econometrics</w:t>
      </w:r>
      <w:r>
        <w:t>, Cambridge University Press.</w:t>
      </w:r>
    </w:p>
    <w:p w14:paraId="7E837222" w14:textId="6CD31180" w:rsidR="00D56075" w:rsidRDefault="00D56075" w:rsidP="00A144A6">
      <w:pPr>
        <w:pStyle w:val="NormalWeb"/>
      </w:pPr>
      <w:r>
        <w:t xml:space="preserve">Perron, P. (1989). The Great Crash, the Oil Price Shock, and the Unit Root Hypothesis. </w:t>
      </w:r>
      <w:r>
        <w:rPr>
          <w:i/>
          <w:iCs/>
        </w:rPr>
        <w:t>Econometrica</w:t>
      </w:r>
      <w:r w:rsidR="101405F5" w:rsidRPr="37F15C6D">
        <w:rPr>
          <w:i/>
          <w:iCs/>
        </w:rPr>
        <w:t>,</w:t>
      </w:r>
      <w:r w:rsidR="101405F5" w:rsidRPr="5DC55987">
        <w:rPr>
          <w:i/>
          <w:iCs/>
        </w:rPr>
        <w:t xml:space="preserve"> </w:t>
      </w:r>
      <w:r w:rsidR="101405F5" w:rsidRPr="5DC55987">
        <w:t>57(6), 1361-1401</w:t>
      </w:r>
    </w:p>
    <w:p w14:paraId="59D886D1" w14:textId="3B2C7B62"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Chupilkin, M., Javorcik, B., Peeva, A. and Plekhanov, A. (2023). "Exorbitant Privilege and Economic Sanctions." EBRD Working Paper No. 281.</w:t>
      </w:r>
    </w:p>
    <w:p w14:paraId="102F1C18" w14:textId="77777777" w:rsidR="00A144A6" w:rsidRDefault="00A144A6" w:rsidP="000E68B9">
      <w:pPr>
        <w:spacing w:after="0" w:line="240" w:lineRule="auto"/>
        <w:rPr>
          <w:rFonts w:ascii="Times New Roman" w:hAnsi="Times New Roman" w:cs="Times New Roman"/>
        </w:rPr>
      </w:pPr>
    </w:p>
    <w:p w14:paraId="62B8F4AA" w14:textId="2436D62F" w:rsidR="006D42D2" w:rsidRPr="00962350" w:rsidRDefault="006D42D2" w:rsidP="216FB06C">
      <w:pPr>
        <w:spacing w:after="0" w:line="240" w:lineRule="auto"/>
        <w:rPr>
          <w:rStyle w:val="Emphasis"/>
          <w:rFonts w:ascii="Times New Roman" w:hAnsi="Times New Roman" w:cs="Times New Roman"/>
          <w:i w:val="0"/>
        </w:rPr>
      </w:pPr>
      <w:r w:rsidRPr="00962350">
        <w:rPr>
          <w:rFonts w:ascii="Times New Roman" w:hAnsi="Times New Roman" w:cs="Times New Roman"/>
        </w:rPr>
        <w:t xml:space="preserve">Engle, R.F. (1982). "Autoregressive Conditional Heteroscedasticity with Estimates of the Variance of United Kingdom Inflation." </w:t>
      </w:r>
      <w:r w:rsidRPr="00962350">
        <w:rPr>
          <w:rStyle w:val="Emphasis"/>
          <w:rFonts w:ascii="Times New Roman" w:hAnsi="Times New Roman" w:cs="Times New Roman"/>
        </w:rPr>
        <w:t>Econometrica</w:t>
      </w:r>
      <w:r w:rsidR="2ECD8B64" w:rsidRPr="344E35B2">
        <w:rPr>
          <w:rStyle w:val="Emphasis"/>
          <w:rFonts w:ascii="Times New Roman" w:hAnsi="Times New Roman" w:cs="Times New Roman"/>
        </w:rPr>
        <w:t xml:space="preserve"> </w:t>
      </w:r>
      <w:r w:rsidR="2ECD8B64" w:rsidRPr="344E35B2">
        <w:rPr>
          <w:rStyle w:val="Emphasis"/>
          <w:rFonts w:ascii="Times New Roman" w:hAnsi="Times New Roman" w:cs="Times New Roman"/>
          <w:i w:val="0"/>
          <w:iCs w:val="0"/>
        </w:rPr>
        <w:t>50(4),</w:t>
      </w:r>
      <w:r w:rsidR="2ECD8B64" w:rsidRPr="216FB06C">
        <w:rPr>
          <w:rStyle w:val="Emphasis"/>
          <w:rFonts w:ascii="Times New Roman" w:hAnsi="Times New Roman" w:cs="Times New Roman"/>
          <w:i w:val="0"/>
          <w:iCs w:val="0"/>
        </w:rPr>
        <w:t xml:space="preserve"> 987-1007</w:t>
      </w:r>
    </w:p>
    <w:p w14:paraId="7F78E0D0" w14:textId="09B6D8AD" w:rsidR="30687F57" w:rsidRDefault="30687F57" w:rsidP="30687F57">
      <w:pPr>
        <w:spacing w:after="0" w:line="240" w:lineRule="auto"/>
        <w:rPr>
          <w:rStyle w:val="Emphasis"/>
          <w:rFonts w:ascii="Times New Roman" w:hAnsi="Times New Roman" w:cs="Times New Roman"/>
        </w:rPr>
      </w:pPr>
    </w:p>
    <w:p w14:paraId="0CC56C3A" w14:textId="117455FE" w:rsidR="23730387" w:rsidRDefault="23730387" w:rsidP="71BCAC3C">
      <w:pPr>
        <w:spacing w:after="0" w:line="240" w:lineRule="auto"/>
        <w:rPr>
          <w:rStyle w:val="Emphasis"/>
          <w:rFonts w:ascii="Times New Roman" w:hAnsi="Times New Roman" w:cs="Times New Roman"/>
          <w:i w:val="0"/>
        </w:rPr>
      </w:pPr>
      <w:r w:rsidRPr="1E952ED1">
        <w:rPr>
          <w:rStyle w:val="Emphasis"/>
          <w:rFonts w:ascii="Times New Roman" w:hAnsi="Times New Roman" w:cs="Times New Roman"/>
          <w:i w:val="0"/>
        </w:rPr>
        <w:t>Tim Bollerslev, (</w:t>
      </w:r>
      <w:r w:rsidRPr="22961786">
        <w:rPr>
          <w:rStyle w:val="Emphasis"/>
          <w:rFonts w:ascii="Times New Roman" w:hAnsi="Times New Roman" w:cs="Times New Roman"/>
          <w:i w:val="0"/>
          <w:iCs w:val="0"/>
        </w:rPr>
        <w:t>198</w:t>
      </w:r>
      <w:r w:rsidR="5BB76625" w:rsidRPr="22961786">
        <w:rPr>
          <w:rStyle w:val="Emphasis"/>
          <w:rFonts w:ascii="Times New Roman" w:hAnsi="Times New Roman" w:cs="Times New Roman"/>
          <w:i w:val="0"/>
          <w:iCs w:val="0"/>
        </w:rPr>
        <w:t>6</w:t>
      </w:r>
      <w:r w:rsidRPr="1E952ED1">
        <w:rPr>
          <w:rStyle w:val="Emphasis"/>
          <w:rFonts w:ascii="Times New Roman" w:hAnsi="Times New Roman" w:cs="Times New Roman"/>
          <w:i w:val="0"/>
        </w:rPr>
        <w:t xml:space="preserve">). “Generalized autoregressive conditional heteroskedasticity.” Journal of Econometrics, </w:t>
      </w:r>
      <w:r w:rsidRPr="1E952ED1">
        <w:rPr>
          <w:rStyle w:val="Emphasis"/>
          <w:rFonts w:ascii="Times New Roman" w:hAnsi="Times New Roman" w:cs="Times New Roman"/>
          <w:i w:val="0"/>
          <w:iCs w:val="0"/>
        </w:rPr>
        <w:t>31(</w:t>
      </w:r>
      <w:r w:rsidRPr="1E952ED1">
        <w:rPr>
          <w:rStyle w:val="Emphasis"/>
          <w:rFonts w:ascii="Times New Roman" w:hAnsi="Times New Roman" w:cs="Times New Roman"/>
          <w:i w:val="0"/>
        </w:rPr>
        <w:t>3</w:t>
      </w:r>
      <w:r w:rsidRPr="1E952ED1">
        <w:rPr>
          <w:rStyle w:val="Emphasis"/>
          <w:rFonts w:ascii="Times New Roman" w:hAnsi="Times New Roman" w:cs="Times New Roman"/>
          <w:i w:val="0"/>
          <w:iCs w:val="0"/>
        </w:rPr>
        <w:t>),</w:t>
      </w:r>
      <w:r w:rsidRPr="1E952ED1">
        <w:rPr>
          <w:rStyle w:val="Emphasis"/>
          <w:rFonts w:ascii="Times New Roman" w:hAnsi="Times New Roman" w:cs="Times New Roman"/>
          <w:i w:val="0"/>
        </w:rPr>
        <w:t xml:space="preserve"> 307-327,</w:t>
      </w:r>
    </w:p>
    <w:p w14:paraId="0B274B2F" w14:textId="02893102" w:rsidR="07AE5F6F" w:rsidRDefault="07AE5F6F" w:rsidP="07AE5F6F">
      <w:pPr>
        <w:spacing w:after="0" w:line="240" w:lineRule="auto"/>
        <w:rPr>
          <w:rFonts w:ascii="Times New Roman" w:hAnsi="Times New Roman" w:cs="Times New Roman"/>
        </w:rPr>
      </w:pPr>
    </w:p>
    <w:p w14:paraId="7A7B1538" w14:textId="5CF560A9" w:rsidR="006D42D2" w:rsidRPr="00962350" w:rsidRDefault="006D42D2" w:rsidP="000E68B9">
      <w:pPr>
        <w:spacing w:after="0" w:line="240" w:lineRule="auto"/>
        <w:rPr>
          <w:rFonts w:ascii="Times New Roman" w:hAnsi="Times New Roman" w:cs="Times New Roman"/>
        </w:rPr>
      </w:pPr>
      <w:r w:rsidRPr="00962350">
        <w:rPr>
          <w:rFonts w:ascii="Times New Roman" w:hAnsi="Times New Roman" w:cs="Times New Roman"/>
        </w:rPr>
        <w:t xml:space="preserve">Zivot, E. and Andrews, D.W.K. (1992). "Further Evidence on the Great Crash, the Oil-Price Shock, and the Unit-Root Hypothesis." </w:t>
      </w:r>
      <w:r w:rsidRPr="00962350">
        <w:rPr>
          <w:rStyle w:val="Emphasis"/>
          <w:rFonts w:ascii="Times New Roman" w:hAnsi="Times New Roman" w:cs="Times New Roman"/>
        </w:rPr>
        <w:t>Journal of Business and Economic Statistics</w:t>
      </w:r>
      <w:r w:rsidRPr="00962350">
        <w:rPr>
          <w:rFonts w:ascii="Times New Roman" w:hAnsi="Times New Roman" w:cs="Times New Roman"/>
        </w:rPr>
        <w:t>, 10(3), 251–270.</w:t>
      </w:r>
    </w:p>
    <w:p w14:paraId="4D994C0A" w14:textId="77777777" w:rsidR="00A144A6" w:rsidRDefault="00A144A6" w:rsidP="000E68B9">
      <w:pPr>
        <w:spacing w:after="0" w:line="240" w:lineRule="auto"/>
        <w:rPr>
          <w:rStyle w:val="Emphasis"/>
          <w:rFonts w:ascii="Times New Roman" w:hAnsi="Times New Roman" w:cs="Times New Roman"/>
        </w:rPr>
      </w:pPr>
    </w:p>
    <w:p w14:paraId="5EE9F92E" w14:textId="1C3C2AE5" w:rsidR="006D42D2" w:rsidRPr="00962350" w:rsidRDefault="006D42D2" w:rsidP="000E68B9">
      <w:pPr>
        <w:spacing w:after="0" w:line="240" w:lineRule="auto"/>
        <w:rPr>
          <w:rFonts w:ascii="Times New Roman" w:hAnsi="Times New Roman" w:cs="Times New Roman"/>
        </w:rPr>
      </w:pPr>
      <w:r w:rsidRPr="00962350">
        <w:rPr>
          <w:rStyle w:val="Emphasis"/>
          <w:rFonts w:ascii="Times New Roman" w:hAnsi="Times New Roman" w:cs="Times New Roman"/>
        </w:rPr>
        <w:t xml:space="preserve">Replication code available at github.com/spm01. </w:t>
      </w:r>
      <w:r w:rsidR="005926E6">
        <w:rPr>
          <w:rStyle w:val="Emphasis"/>
          <w:rFonts w:ascii="Times New Roman" w:hAnsi="Times New Roman" w:cs="Times New Roman"/>
        </w:rPr>
        <w:t>Contact the author for data availability.</w:t>
      </w:r>
      <w:r w:rsidRPr="00962350">
        <w:rPr>
          <w:rStyle w:val="Emphasis"/>
          <w:rFonts w:ascii="Times New Roman" w:hAnsi="Times New Roman" w:cs="Times New Roman"/>
        </w:rPr>
        <w:t xml:space="preserve"> All analysis conducted in Python 3.13 using the arch, statsmodels, and pandas libraries.</w:t>
      </w:r>
    </w:p>
    <w:p w14:paraId="483C329A" w14:textId="77777777" w:rsidR="006E677C" w:rsidRPr="00962350" w:rsidRDefault="006E677C" w:rsidP="000E68B9">
      <w:pPr>
        <w:spacing w:after="0" w:line="240" w:lineRule="auto"/>
        <w:rPr>
          <w:rFonts w:ascii="Times New Roman" w:hAnsi="Times New Roman" w:cs="Times New Roman"/>
        </w:rPr>
      </w:pPr>
    </w:p>
    <w:sectPr w:rsidR="006E677C" w:rsidRPr="00962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wEpxAQep" int2:invalidationBookmarkName="" int2:hashCode="aHaW57cZY1qvZO" int2:id="doFt2VID">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10BB"/>
    <w:multiLevelType w:val="hybridMultilevel"/>
    <w:tmpl w:val="FFFFFFFF"/>
    <w:lvl w:ilvl="0" w:tplc="FA426B46">
      <w:start w:val="1"/>
      <w:numFmt w:val="bullet"/>
      <w:lvlText w:val=""/>
      <w:lvlJc w:val="left"/>
      <w:pPr>
        <w:ind w:left="720" w:hanging="360"/>
      </w:pPr>
      <w:rPr>
        <w:rFonts w:ascii="Wingdings" w:hAnsi="Wingdings" w:hint="default"/>
      </w:rPr>
    </w:lvl>
    <w:lvl w:ilvl="1" w:tplc="D158AAE8">
      <w:start w:val="1"/>
      <w:numFmt w:val="bullet"/>
      <w:lvlText w:val=""/>
      <w:lvlJc w:val="left"/>
      <w:pPr>
        <w:ind w:left="1440" w:hanging="360"/>
      </w:pPr>
      <w:rPr>
        <w:rFonts w:ascii="Wingdings" w:hAnsi="Wingdings" w:hint="default"/>
      </w:rPr>
    </w:lvl>
    <w:lvl w:ilvl="2" w:tplc="39C6E7B6">
      <w:start w:val="1"/>
      <w:numFmt w:val="bullet"/>
      <w:lvlText w:val=""/>
      <w:lvlJc w:val="left"/>
      <w:pPr>
        <w:ind w:left="2160" w:hanging="360"/>
      </w:pPr>
      <w:rPr>
        <w:rFonts w:ascii="Wingdings" w:hAnsi="Wingdings" w:hint="default"/>
      </w:rPr>
    </w:lvl>
    <w:lvl w:ilvl="3" w:tplc="CCB6FFDC">
      <w:start w:val="1"/>
      <w:numFmt w:val="bullet"/>
      <w:lvlText w:val=""/>
      <w:lvlJc w:val="left"/>
      <w:pPr>
        <w:ind w:left="2880" w:hanging="360"/>
      </w:pPr>
      <w:rPr>
        <w:rFonts w:ascii="Wingdings" w:hAnsi="Wingdings" w:hint="default"/>
      </w:rPr>
    </w:lvl>
    <w:lvl w:ilvl="4" w:tplc="3A9E504C">
      <w:start w:val="1"/>
      <w:numFmt w:val="bullet"/>
      <w:lvlText w:val=""/>
      <w:lvlJc w:val="left"/>
      <w:pPr>
        <w:ind w:left="3600" w:hanging="360"/>
      </w:pPr>
      <w:rPr>
        <w:rFonts w:ascii="Wingdings" w:hAnsi="Wingdings" w:hint="default"/>
      </w:rPr>
    </w:lvl>
    <w:lvl w:ilvl="5" w:tplc="DB0C036A">
      <w:start w:val="1"/>
      <w:numFmt w:val="bullet"/>
      <w:lvlText w:val=""/>
      <w:lvlJc w:val="left"/>
      <w:pPr>
        <w:ind w:left="4320" w:hanging="360"/>
      </w:pPr>
      <w:rPr>
        <w:rFonts w:ascii="Wingdings" w:hAnsi="Wingdings" w:hint="default"/>
      </w:rPr>
    </w:lvl>
    <w:lvl w:ilvl="6" w:tplc="570A7F68">
      <w:start w:val="1"/>
      <w:numFmt w:val="bullet"/>
      <w:lvlText w:val=""/>
      <w:lvlJc w:val="left"/>
      <w:pPr>
        <w:ind w:left="5040" w:hanging="360"/>
      </w:pPr>
      <w:rPr>
        <w:rFonts w:ascii="Wingdings" w:hAnsi="Wingdings" w:hint="default"/>
      </w:rPr>
    </w:lvl>
    <w:lvl w:ilvl="7" w:tplc="4C0E2F22">
      <w:start w:val="1"/>
      <w:numFmt w:val="bullet"/>
      <w:lvlText w:val=""/>
      <w:lvlJc w:val="left"/>
      <w:pPr>
        <w:ind w:left="5760" w:hanging="360"/>
      </w:pPr>
      <w:rPr>
        <w:rFonts w:ascii="Wingdings" w:hAnsi="Wingdings" w:hint="default"/>
      </w:rPr>
    </w:lvl>
    <w:lvl w:ilvl="8" w:tplc="AD564C72">
      <w:start w:val="1"/>
      <w:numFmt w:val="bullet"/>
      <w:lvlText w:val=""/>
      <w:lvlJc w:val="left"/>
      <w:pPr>
        <w:ind w:left="6480" w:hanging="360"/>
      </w:pPr>
      <w:rPr>
        <w:rFonts w:ascii="Wingdings" w:hAnsi="Wingdings" w:hint="default"/>
      </w:rPr>
    </w:lvl>
  </w:abstractNum>
  <w:abstractNum w:abstractNumId="1" w15:restartNumberingAfterBreak="0">
    <w:nsid w:val="3EEF078D"/>
    <w:multiLevelType w:val="multilevel"/>
    <w:tmpl w:val="EF9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211205">
    <w:abstractNumId w:val="1"/>
  </w:num>
  <w:num w:numId="2" w16cid:durableId="1791892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77C"/>
    <w:rsid w:val="00005E3A"/>
    <w:rsid w:val="0003540D"/>
    <w:rsid w:val="00035AA2"/>
    <w:rsid w:val="00055F9D"/>
    <w:rsid w:val="00065F6E"/>
    <w:rsid w:val="00074978"/>
    <w:rsid w:val="000971FA"/>
    <w:rsid w:val="000A33D7"/>
    <w:rsid w:val="000B6714"/>
    <w:rsid w:val="000C2DED"/>
    <w:rsid w:val="000C70D1"/>
    <w:rsid w:val="000D5B91"/>
    <w:rsid w:val="000D6D50"/>
    <w:rsid w:val="000E0AE7"/>
    <w:rsid w:val="000E68B9"/>
    <w:rsid w:val="00101540"/>
    <w:rsid w:val="00113F6B"/>
    <w:rsid w:val="0017734E"/>
    <w:rsid w:val="00181165"/>
    <w:rsid w:val="00181851"/>
    <w:rsid w:val="00184B9A"/>
    <w:rsid w:val="00194593"/>
    <w:rsid w:val="0019529A"/>
    <w:rsid w:val="001B2AE6"/>
    <w:rsid w:val="001B77C0"/>
    <w:rsid w:val="001C27F6"/>
    <w:rsid w:val="001C499F"/>
    <w:rsid w:val="001D762B"/>
    <w:rsid w:val="001F56B0"/>
    <w:rsid w:val="00220A56"/>
    <w:rsid w:val="00233011"/>
    <w:rsid w:val="0024590C"/>
    <w:rsid w:val="002636A5"/>
    <w:rsid w:val="00291550"/>
    <w:rsid w:val="00294868"/>
    <w:rsid w:val="002A6E47"/>
    <w:rsid w:val="002C19F2"/>
    <w:rsid w:val="002C61EF"/>
    <w:rsid w:val="002D06B1"/>
    <w:rsid w:val="002D1787"/>
    <w:rsid w:val="0030618D"/>
    <w:rsid w:val="003148EC"/>
    <w:rsid w:val="00344ACC"/>
    <w:rsid w:val="00347AA5"/>
    <w:rsid w:val="00355CC0"/>
    <w:rsid w:val="00372297"/>
    <w:rsid w:val="0038734F"/>
    <w:rsid w:val="00387722"/>
    <w:rsid w:val="00391FCC"/>
    <w:rsid w:val="003B1081"/>
    <w:rsid w:val="003B53D7"/>
    <w:rsid w:val="003C129A"/>
    <w:rsid w:val="003D162A"/>
    <w:rsid w:val="003D6F30"/>
    <w:rsid w:val="003D7174"/>
    <w:rsid w:val="003F1157"/>
    <w:rsid w:val="00404F3F"/>
    <w:rsid w:val="00414687"/>
    <w:rsid w:val="00415B3D"/>
    <w:rsid w:val="0042111B"/>
    <w:rsid w:val="004277A7"/>
    <w:rsid w:val="00431155"/>
    <w:rsid w:val="00472511"/>
    <w:rsid w:val="00474FA4"/>
    <w:rsid w:val="00480381"/>
    <w:rsid w:val="004A088A"/>
    <w:rsid w:val="004A16DB"/>
    <w:rsid w:val="004A5E10"/>
    <w:rsid w:val="004B0304"/>
    <w:rsid w:val="004B3E27"/>
    <w:rsid w:val="004B4A38"/>
    <w:rsid w:val="004C090A"/>
    <w:rsid w:val="004D0BFB"/>
    <w:rsid w:val="004D20AF"/>
    <w:rsid w:val="004D3DB6"/>
    <w:rsid w:val="00501CB4"/>
    <w:rsid w:val="00504A40"/>
    <w:rsid w:val="00505061"/>
    <w:rsid w:val="0053029F"/>
    <w:rsid w:val="00550436"/>
    <w:rsid w:val="00550D8E"/>
    <w:rsid w:val="005540EA"/>
    <w:rsid w:val="00566025"/>
    <w:rsid w:val="00573C91"/>
    <w:rsid w:val="005926E6"/>
    <w:rsid w:val="005A0942"/>
    <w:rsid w:val="005A6401"/>
    <w:rsid w:val="005C5496"/>
    <w:rsid w:val="005E052C"/>
    <w:rsid w:val="005F5C25"/>
    <w:rsid w:val="005F7E5A"/>
    <w:rsid w:val="00606A19"/>
    <w:rsid w:val="00622AA3"/>
    <w:rsid w:val="00630074"/>
    <w:rsid w:val="00631716"/>
    <w:rsid w:val="00633BE2"/>
    <w:rsid w:val="00637797"/>
    <w:rsid w:val="00644E15"/>
    <w:rsid w:val="00651333"/>
    <w:rsid w:val="0065488A"/>
    <w:rsid w:val="006707BC"/>
    <w:rsid w:val="00676753"/>
    <w:rsid w:val="006A5D4A"/>
    <w:rsid w:val="006C2302"/>
    <w:rsid w:val="006C2B9D"/>
    <w:rsid w:val="006D42D2"/>
    <w:rsid w:val="006D4F6C"/>
    <w:rsid w:val="006E5F3B"/>
    <w:rsid w:val="006E677C"/>
    <w:rsid w:val="006F414C"/>
    <w:rsid w:val="007126E6"/>
    <w:rsid w:val="007328F4"/>
    <w:rsid w:val="00743141"/>
    <w:rsid w:val="00745298"/>
    <w:rsid w:val="00770F9B"/>
    <w:rsid w:val="00771794"/>
    <w:rsid w:val="00772CF3"/>
    <w:rsid w:val="00776F23"/>
    <w:rsid w:val="00780B69"/>
    <w:rsid w:val="007815D5"/>
    <w:rsid w:val="007A0A40"/>
    <w:rsid w:val="007A7D16"/>
    <w:rsid w:val="007B3986"/>
    <w:rsid w:val="007D1B38"/>
    <w:rsid w:val="00801C59"/>
    <w:rsid w:val="00830DAA"/>
    <w:rsid w:val="00832D0F"/>
    <w:rsid w:val="00864BD8"/>
    <w:rsid w:val="00865B8F"/>
    <w:rsid w:val="00873820"/>
    <w:rsid w:val="008877CB"/>
    <w:rsid w:val="008A7F88"/>
    <w:rsid w:val="008C22D6"/>
    <w:rsid w:val="008C75C1"/>
    <w:rsid w:val="008D2B85"/>
    <w:rsid w:val="008E2D11"/>
    <w:rsid w:val="008F1B1B"/>
    <w:rsid w:val="008F2CEF"/>
    <w:rsid w:val="00962350"/>
    <w:rsid w:val="00970D9E"/>
    <w:rsid w:val="00971B7A"/>
    <w:rsid w:val="00974E0A"/>
    <w:rsid w:val="009818BA"/>
    <w:rsid w:val="00994BE7"/>
    <w:rsid w:val="009A0206"/>
    <w:rsid w:val="009B14FC"/>
    <w:rsid w:val="009B383A"/>
    <w:rsid w:val="009B3CFB"/>
    <w:rsid w:val="009B5E4C"/>
    <w:rsid w:val="00A110CD"/>
    <w:rsid w:val="00A144A6"/>
    <w:rsid w:val="00A31F3C"/>
    <w:rsid w:val="00A60543"/>
    <w:rsid w:val="00A62FEB"/>
    <w:rsid w:val="00A67D63"/>
    <w:rsid w:val="00A80D38"/>
    <w:rsid w:val="00A97FF0"/>
    <w:rsid w:val="00AC25F5"/>
    <w:rsid w:val="00AD5C68"/>
    <w:rsid w:val="00B34B3B"/>
    <w:rsid w:val="00B50467"/>
    <w:rsid w:val="00B6640C"/>
    <w:rsid w:val="00B70CF4"/>
    <w:rsid w:val="00B73C6D"/>
    <w:rsid w:val="00B83DAE"/>
    <w:rsid w:val="00B94D3B"/>
    <w:rsid w:val="00BC4BE0"/>
    <w:rsid w:val="00BC56E2"/>
    <w:rsid w:val="00BD35CC"/>
    <w:rsid w:val="00C0423E"/>
    <w:rsid w:val="00C05106"/>
    <w:rsid w:val="00C11C69"/>
    <w:rsid w:val="00C13D7E"/>
    <w:rsid w:val="00C258C1"/>
    <w:rsid w:val="00C27E87"/>
    <w:rsid w:val="00C3402E"/>
    <w:rsid w:val="00C40718"/>
    <w:rsid w:val="00C4200B"/>
    <w:rsid w:val="00C54046"/>
    <w:rsid w:val="00C6069F"/>
    <w:rsid w:val="00C65120"/>
    <w:rsid w:val="00CA05AC"/>
    <w:rsid w:val="00CA1FFC"/>
    <w:rsid w:val="00CC0374"/>
    <w:rsid w:val="00CC13DE"/>
    <w:rsid w:val="00CD0A75"/>
    <w:rsid w:val="00CE27C9"/>
    <w:rsid w:val="00CE6506"/>
    <w:rsid w:val="00CF4F85"/>
    <w:rsid w:val="00D161DC"/>
    <w:rsid w:val="00D17109"/>
    <w:rsid w:val="00D3708E"/>
    <w:rsid w:val="00D56075"/>
    <w:rsid w:val="00D6296D"/>
    <w:rsid w:val="00D70004"/>
    <w:rsid w:val="00D74C92"/>
    <w:rsid w:val="00D768D1"/>
    <w:rsid w:val="00DA1D8A"/>
    <w:rsid w:val="00DF6573"/>
    <w:rsid w:val="00E015BA"/>
    <w:rsid w:val="00E01C4F"/>
    <w:rsid w:val="00E02174"/>
    <w:rsid w:val="00E102AB"/>
    <w:rsid w:val="00E31E78"/>
    <w:rsid w:val="00E37993"/>
    <w:rsid w:val="00E46723"/>
    <w:rsid w:val="00E51DBC"/>
    <w:rsid w:val="00E57E7C"/>
    <w:rsid w:val="00E773A5"/>
    <w:rsid w:val="00E93049"/>
    <w:rsid w:val="00E933AD"/>
    <w:rsid w:val="00E972E5"/>
    <w:rsid w:val="00EA0A21"/>
    <w:rsid w:val="00EA2D00"/>
    <w:rsid w:val="00EA2D36"/>
    <w:rsid w:val="00EA5227"/>
    <w:rsid w:val="00EB12DE"/>
    <w:rsid w:val="00EB506E"/>
    <w:rsid w:val="00ED6324"/>
    <w:rsid w:val="00EE225F"/>
    <w:rsid w:val="00F07D04"/>
    <w:rsid w:val="00F23208"/>
    <w:rsid w:val="00F23675"/>
    <w:rsid w:val="00F2793E"/>
    <w:rsid w:val="00F3645E"/>
    <w:rsid w:val="00F56387"/>
    <w:rsid w:val="00F60F64"/>
    <w:rsid w:val="00F700E1"/>
    <w:rsid w:val="00F8726E"/>
    <w:rsid w:val="00FA625A"/>
    <w:rsid w:val="00FB3BB4"/>
    <w:rsid w:val="00FF6A2F"/>
    <w:rsid w:val="02128706"/>
    <w:rsid w:val="03B12444"/>
    <w:rsid w:val="04633B15"/>
    <w:rsid w:val="057D9D44"/>
    <w:rsid w:val="0682E37D"/>
    <w:rsid w:val="072C4FEC"/>
    <w:rsid w:val="07AE5F6F"/>
    <w:rsid w:val="07D11BB0"/>
    <w:rsid w:val="085C1D4C"/>
    <w:rsid w:val="092AFCD8"/>
    <w:rsid w:val="0931C404"/>
    <w:rsid w:val="09F00772"/>
    <w:rsid w:val="0AEF911A"/>
    <w:rsid w:val="0C40E62F"/>
    <w:rsid w:val="0C82A2A0"/>
    <w:rsid w:val="0D0EECFE"/>
    <w:rsid w:val="0D91DD1A"/>
    <w:rsid w:val="0DFFEB3C"/>
    <w:rsid w:val="0E6FCC61"/>
    <w:rsid w:val="101405F5"/>
    <w:rsid w:val="1065B0EE"/>
    <w:rsid w:val="11AC9030"/>
    <w:rsid w:val="127B31BF"/>
    <w:rsid w:val="14BACF95"/>
    <w:rsid w:val="1629A3EE"/>
    <w:rsid w:val="1752CC69"/>
    <w:rsid w:val="17FD2654"/>
    <w:rsid w:val="18496F0C"/>
    <w:rsid w:val="18A94A89"/>
    <w:rsid w:val="1995B446"/>
    <w:rsid w:val="1A3387DA"/>
    <w:rsid w:val="1A69AC26"/>
    <w:rsid w:val="1A6C160C"/>
    <w:rsid w:val="1BCD89EE"/>
    <w:rsid w:val="1BEE625A"/>
    <w:rsid w:val="1DD71216"/>
    <w:rsid w:val="1E03D8FB"/>
    <w:rsid w:val="1E5BACE6"/>
    <w:rsid w:val="1E952ED1"/>
    <w:rsid w:val="1ED89C6F"/>
    <w:rsid w:val="1F8A27E5"/>
    <w:rsid w:val="1FD828D2"/>
    <w:rsid w:val="21346B9B"/>
    <w:rsid w:val="21579704"/>
    <w:rsid w:val="216FB06C"/>
    <w:rsid w:val="22570CF3"/>
    <w:rsid w:val="22961786"/>
    <w:rsid w:val="23730387"/>
    <w:rsid w:val="250D17F8"/>
    <w:rsid w:val="2593737C"/>
    <w:rsid w:val="2604331E"/>
    <w:rsid w:val="265958E0"/>
    <w:rsid w:val="2A2F0FF5"/>
    <w:rsid w:val="2BF56546"/>
    <w:rsid w:val="2CCB9132"/>
    <w:rsid w:val="2D71B2D9"/>
    <w:rsid w:val="2DF4B9AA"/>
    <w:rsid w:val="2E446316"/>
    <w:rsid w:val="2ECD8B64"/>
    <w:rsid w:val="2EE08F0B"/>
    <w:rsid w:val="30687F57"/>
    <w:rsid w:val="33688EAC"/>
    <w:rsid w:val="344E35B2"/>
    <w:rsid w:val="34FE25E7"/>
    <w:rsid w:val="3559AB2A"/>
    <w:rsid w:val="37F15C6D"/>
    <w:rsid w:val="3843C968"/>
    <w:rsid w:val="391074A4"/>
    <w:rsid w:val="3AA80CA7"/>
    <w:rsid w:val="3AA9E49F"/>
    <w:rsid w:val="3AC2D692"/>
    <w:rsid w:val="3AF19D5B"/>
    <w:rsid w:val="3EA0E17F"/>
    <w:rsid w:val="3EDA82F9"/>
    <w:rsid w:val="3F238330"/>
    <w:rsid w:val="3FC86E10"/>
    <w:rsid w:val="417058FB"/>
    <w:rsid w:val="41A3FC74"/>
    <w:rsid w:val="433ED3C2"/>
    <w:rsid w:val="4411179B"/>
    <w:rsid w:val="441E7D51"/>
    <w:rsid w:val="4617F9D2"/>
    <w:rsid w:val="46C390A2"/>
    <w:rsid w:val="4930A84C"/>
    <w:rsid w:val="4A08DF87"/>
    <w:rsid w:val="4A1B4BB6"/>
    <w:rsid w:val="4AAB2E7B"/>
    <w:rsid w:val="4B784D24"/>
    <w:rsid w:val="4BA50DC5"/>
    <w:rsid w:val="4D740FD5"/>
    <w:rsid w:val="5092DF3F"/>
    <w:rsid w:val="509C5940"/>
    <w:rsid w:val="50FCFFB2"/>
    <w:rsid w:val="515AE4E3"/>
    <w:rsid w:val="517E487A"/>
    <w:rsid w:val="536B1060"/>
    <w:rsid w:val="5509B347"/>
    <w:rsid w:val="552E83EE"/>
    <w:rsid w:val="5547D625"/>
    <w:rsid w:val="55C2391D"/>
    <w:rsid w:val="56B90C70"/>
    <w:rsid w:val="58221387"/>
    <w:rsid w:val="5AFB5027"/>
    <w:rsid w:val="5BB76625"/>
    <w:rsid w:val="5C816EEF"/>
    <w:rsid w:val="5CEEE506"/>
    <w:rsid w:val="5DB5AC94"/>
    <w:rsid w:val="5DB6812C"/>
    <w:rsid w:val="5DC55987"/>
    <w:rsid w:val="5E2B4178"/>
    <w:rsid w:val="5E6DA973"/>
    <w:rsid w:val="62B9D1E1"/>
    <w:rsid w:val="636CB5B5"/>
    <w:rsid w:val="6648490E"/>
    <w:rsid w:val="6770D224"/>
    <w:rsid w:val="67BEDF7F"/>
    <w:rsid w:val="692FE215"/>
    <w:rsid w:val="6AEB6F2C"/>
    <w:rsid w:val="6B51CDEB"/>
    <w:rsid w:val="6B65A55B"/>
    <w:rsid w:val="6CD52838"/>
    <w:rsid w:val="6E2B0685"/>
    <w:rsid w:val="6EEA13E7"/>
    <w:rsid w:val="6FDC641C"/>
    <w:rsid w:val="70BC083E"/>
    <w:rsid w:val="714FB77C"/>
    <w:rsid w:val="71B97C5C"/>
    <w:rsid w:val="71BCAC3C"/>
    <w:rsid w:val="72A5C93F"/>
    <w:rsid w:val="74BCFB9A"/>
    <w:rsid w:val="753F2DCA"/>
    <w:rsid w:val="75A1AD97"/>
    <w:rsid w:val="75CDC9B3"/>
    <w:rsid w:val="7630FF98"/>
    <w:rsid w:val="765E0F86"/>
    <w:rsid w:val="767990E9"/>
    <w:rsid w:val="76F3D5A4"/>
    <w:rsid w:val="78D6108C"/>
    <w:rsid w:val="7969877E"/>
    <w:rsid w:val="7ABBCA67"/>
    <w:rsid w:val="7B470F42"/>
    <w:rsid w:val="7BBFE2A3"/>
    <w:rsid w:val="7D169880"/>
    <w:rsid w:val="7D47A58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B849"/>
  <w15:chartTrackingRefBased/>
  <w15:docId w15:val="{B0BB84D9-7FBC-444D-BB7F-7396D5765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6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6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77C"/>
    <w:rPr>
      <w:rFonts w:eastAsiaTheme="majorEastAsia" w:cstheme="majorBidi"/>
      <w:color w:val="272727" w:themeColor="text1" w:themeTint="D8"/>
    </w:rPr>
  </w:style>
  <w:style w:type="paragraph" w:styleId="Title">
    <w:name w:val="Title"/>
    <w:basedOn w:val="Normal"/>
    <w:next w:val="Normal"/>
    <w:link w:val="TitleChar"/>
    <w:uiPriority w:val="10"/>
    <w:qFormat/>
    <w:rsid w:val="006E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77C"/>
    <w:pPr>
      <w:spacing w:before="160"/>
      <w:jc w:val="center"/>
    </w:pPr>
    <w:rPr>
      <w:i/>
      <w:iCs/>
      <w:color w:val="404040" w:themeColor="text1" w:themeTint="BF"/>
    </w:rPr>
  </w:style>
  <w:style w:type="character" w:customStyle="1" w:styleId="QuoteChar">
    <w:name w:val="Quote Char"/>
    <w:basedOn w:val="DefaultParagraphFont"/>
    <w:link w:val="Quote"/>
    <w:uiPriority w:val="29"/>
    <w:rsid w:val="006E677C"/>
    <w:rPr>
      <w:i/>
      <w:iCs/>
      <w:color w:val="404040" w:themeColor="text1" w:themeTint="BF"/>
    </w:rPr>
  </w:style>
  <w:style w:type="paragraph" w:styleId="ListParagraph">
    <w:name w:val="List Paragraph"/>
    <w:basedOn w:val="Normal"/>
    <w:uiPriority w:val="34"/>
    <w:qFormat/>
    <w:rsid w:val="006E677C"/>
    <w:pPr>
      <w:ind w:left="720"/>
      <w:contextualSpacing/>
    </w:pPr>
  </w:style>
  <w:style w:type="character" w:styleId="IntenseEmphasis">
    <w:name w:val="Intense Emphasis"/>
    <w:basedOn w:val="DefaultParagraphFont"/>
    <w:uiPriority w:val="21"/>
    <w:qFormat/>
    <w:rsid w:val="006E677C"/>
    <w:rPr>
      <w:i/>
      <w:iCs/>
      <w:color w:val="0F4761" w:themeColor="accent1" w:themeShade="BF"/>
    </w:rPr>
  </w:style>
  <w:style w:type="paragraph" w:styleId="IntenseQuote">
    <w:name w:val="Intense Quote"/>
    <w:basedOn w:val="Normal"/>
    <w:next w:val="Normal"/>
    <w:link w:val="IntenseQuoteChar"/>
    <w:uiPriority w:val="30"/>
    <w:qFormat/>
    <w:rsid w:val="006E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77C"/>
    <w:rPr>
      <w:i/>
      <w:iCs/>
      <w:color w:val="0F4761" w:themeColor="accent1" w:themeShade="BF"/>
    </w:rPr>
  </w:style>
  <w:style w:type="character" w:styleId="IntenseReference">
    <w:name w:val="Intense Reference"/>
    <w:basedOn w:val="DefaultParagraphFont"/>
    <w:uiPriority w:val="32"/>
    <w:qFormat/>
    <w:rsid w:val="006E677C"/>
    <w:rPr>
      <w:b/>
      <w:bCs/>
      <w:smallCaps/>
      <w:color w:val="0F4761" w:themeColor="accent1" w:themeShade="BF"/>
      <w:spacing w:val="5"/>
    </w:rPr>
  </w:style>
  <w:style w:type="paragraph" w:customStyle="1" w:styleId="font-claude-response-body">
    <w:name w:val="font-claude-response-body"/>
    <w:basedOn w:val="Normal"/>
    <w:rsid w:val="006D42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D42D2"/>
    <w:rPr>
      <w:b/>
      <w:bCs/>
    </w:rPr>
  </w:style>
  <w:style w:type="character" w:styleId="Emphasis">
    <w:name w:val="Emphasis"/>
    <w:basedOn w:val="DefaultParagraphFont"/>
    <w:uiPriority w:val="20"/>
    <w:qFormat/>
    <w:rsid w:val="006D42D2"/>
    <w:rPr>
      <w:i/>
      <w:iCs/>
    </w:rPr>
  </w:style>
  <w:style w:type="paragraph" w:styleId="HTMLPreformatted">
    <w:name w:val="HTML Preformatted"/>
    <w:basedOn w:val="Normal"/>
    <w:link w:val="HTMLPreformattedChar"/>
    <w:uiPriority w:val="99"/>
    <w:semiHidden/>
    <w:unhideWhenUsed/>
    <w:rsid w:val="006D4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42D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D42D2"/>
    <w:rPr>
      <w:rFonts w:ascii="Courier New" w:eastAsia="Times New Roman" w:hAnsi="Courier New" w:cs="Courier New"/>
      <w:sz w:val="20"/>
      <w:szCs w:val="20"/>
    </w:rPr>
  </w:style>
  <w:style w:type="paragraph" w:styleId="NormalWeb">
    <w:name w:val="Normal (Web)"/>
    <w:basedOn w:val="Normal"/>
    <w:uiPriority w:val="99"/>
    <w:unhideWhenUsed/>
    <w:rsid w:val="00A144A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13</Pages>
  <Words>4145</Words>
  <Characters>23632</Characters>
  <Application>Microsoft Office Word</Application>
  <DocSecurity>0</DocSecurity>
  <Lines>196</Lines>
  <Paragraphs>55</Paragraphs>
  <ScaleCrop>false</ScaleCrop>
  <Company/>
  <LinksUpToDate>false</LinksUpToDate>
  <CharactersWithSpaces>27722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Sean</cp:lastModifiedBy>
  <cp:revision>226</cp:revision>
  <dcterms:created xsi:type="dcterms:W3CDTF">2026-07-26T00:15:00Z</dcterms:created>
  <dcterms:modified xsi:type="dcterms:W3CDTF">2026-07-31T01:28:00Z</dcterms:modified>
</cp:coreProperties>
</file>