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4B4E69" w:rsidRPr="00F92C4A" w:rsidRDefault="004B4E69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4B4E69" w:rsidRPr="00F92C4A" w:rsidRDefault="004B4E69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4B4E69" w:rsidRPr="00F92C4A" w:rsidRDefault="004B4E69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4B4E69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4B4E69" w:rsidRPr="001A207F" w:rsidRDefault="004B4E69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Повременно-премиальная система представляет собой сочетание простой повременной оплаты с премированием за выполнение количественных и качественных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CD7A71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>
        <w:rPr>
          <w:rStyle w:val="aff9"/>
          <w:b w:val="0"/>
          <w:sz w:val="24"/>
          <w:szCs w:val="24"/>
          <w:lang w:val="en-US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84532E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>11538,912</w:t>
      </w:r>
      <w:r w:rsidR="0084532E" w:rsidRPr="0084532E">
        <w:rPr>
          <w:rStyle w:val="aff9"/>
          <w:b w:val="0"/>
          <w:sz w:val="24"/>
          <w:szCs w:val="24"/>
        </w:rPr>
        <w:t xml:space="preserve"> + </w:t>
      </w:r>
      <w:r w:rsidR="0084532E" w:rsidRPr="0084532E">
        <w:rPr>
          <w:sz w:val="24"/>
          <w:szCs w:val="24"/>
        </w:rPr>
        <w:t>3461,6736</w:t>
      </w:r>
      <w:r w:rsidR="0084532E" w:rsidRPr="0084532E">
        <w:rPr>
          <w:sz w:val="24"/>
          <w:szCs w:val="24"/>
        </w:rPr>
        <w:t xml:space="preserve"> = 15000</w:t>
      </w:r>
      <w:r w:rsidR="0084532E">
        <w:rPr>
          <w:sz w:val="24"/>
          <w:szCs w:val="24"/>
          <w:lang w:val="en-US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>,5856</w:t>
      </w:r>
      <w:r w:rsidR="004A078C">
        <w:rPr>
          <w:sz w:val="24"/>
          <w:szCs w:val="24"/>
          <w:lang w:val="en-US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</w:t>
      </w:r>
      <w:r w:rsidR="00A156DC" w:rsidRPr="00A156DC">
        <w:rPr>
          <w:sz w:val="24"/>
          <w:szCs w:val="24"/>
        </w:rPr>
        <w:t>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х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х (1 + 50/100) х 12 = 630 000 руб.</w:t>
      </w:r>
    </w:p>
    <w:p w:rsidR="003D3D15" w:rsidRPr="00003C0F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х (1 + 50/100) х 12 х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х (1 + 50/100) х 12 х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w:proofErr w:type="gramStart"/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  <w:proofErr w:type="gramEnd"/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х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 х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х 25 000 + 32,4 х 18 000 + 81 х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х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x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10303200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кИнтернет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>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</w:t>
      </w:r>
      <w:proofErr w:type="gramStart"/>
      <w:r w:rsidR="00465293">
        <w:rPr>
          <w:sz w:val="24"/>
          <w:szCs w:val="24"/>
        </w:rPr>
        <w:t>)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</w:t>
      </w:r>
      <w:proofErr w:type="gramStart"/>
      <w:r w:rsidR="003D3D15" w:rsidRPr="003D3D15">
        <w:rPr>
          <w:sz w:val="24"/>
          <w:szCs w:val="24"/>
        </w:rPr>
        <w:t>и</w:t>
      </w:r>
      <w:r w:rsidR="00112448" w:rsidRPr="00112448">
        <w:rPr>
          <w:color w:val="FF0000"/>
          <w:sz w:val="24"/>
          <w:szCs w:val="24"/>
        </w:rPr>
        <w:t>(</w:t>
      </w:r>
      <w:proofErr w:type="gramEnd"/>
      <w:r w:rsidR="00112448" w:rsidRPr="00112448">
        <w:rPr>
          <w:color w:val="FF0000"/>
          <w:sz w:val="24"/>
          <w:szCs w:val="24"/>
        </w:rPr>
        <w:t>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C3CC6"/>
    <w:rsid w:val="00112448"/>
    <w:rsid w:val="001A28D8"/>
    <w:rsid w:val="001F2DDE"/>
    <w:rsid w:val="003D3D15"/>
    <w:rsid w:val="003F7D3E"/>
    <w:rsid w:val="004479A4"/>
    <w:rsid w:val="00465293"/>
    <w:rsid w:val="00482DCB"/>
    <w:rsid w:val="004A078C"/>
    <w:rsid w:val="004B4E69"/>
    <w:rsid w:val="00551A2A"/>
    <w:rsid w:val="005C3847"/>
    <w:rsid w:val="00643B00"/>
    <w:rsid w:val="006733BF"/>
    <w:rsid w:val="006814CE"/>
    <w:rsid w:val="00690559"/>
    <w:rsid w:val="006955D6"/>
    <w:rsid w:val="006A292F"/>
    <w:rsid w:val="006B4F96"/>
    <w:rsid w:val="007718FF"/>
    <w:rsid w:val="00782344"/>
    <w:rsid w:val="007A772B"/>
    <w:rsid w:val="007C7B91"/>
    <w:rsid w:val="008011F5"/>
    <w:rsid w:val="00815AB9"/>
    <w:rsid w:val="0084532E"/>
    <w:rsid w:val="00877A60"/>
    <w:rsid w:val="009D0D70"/>
    <w:rsid w:val="00A156DC"/>
    <w:rsid w:val="00A54A3B"/>
    <w:rsid w:val="00A75AB6"/>
    <w:rsid w:val="00AA52E9"/>
    <w:rsid w:val="00AB2CC3"/>
    <w:rsid w:val="00AC7635"/>
    <w:rsid w:val="00B250B4"/>
    <w:rsid w:val="00B947E7"/>
    <w:rsid w:val="00BD18BC"/>
    <w:rsid w:val="00BF07B4"/>
    <w:rsid w:val="00C8182B"/>
    <w:rsid w:val="00CD7A71"/>
    <w:rsid w:val="00DA0D3B"/>
    <w:rsid w:val="00DB4B79"/>
    <w:rsid w:val="00E553D7"/>
    <w:rsid w:val="00E55AB8"/>
    <w:rsid w:val="00F3504B"/>
    <w:rsid w:val="00F50E25"/>
    <w:rsid w:val="00FA64C2"/>
    <w:rsid w:val="00FA6F3F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47"/>
        <o:r id="V:Rule3" type="connector" idref="#_x0000_s1033"/>
        <o:r id="V:Rule4" type="connector" idref="#_x0000_s1029"/>
        <o:r id="V:Rule5" type="connector" idref="#_x0000_s1046"/>
        <o:r id="V:Rule6" type="connector" idref="#_x0000_s1037"/>
        <o:r id="V:Rule7" type="connector" idref="#_x0000_s1045"/>
        <o:r id="V:Rule8" type="connector" idref="#_x0000_s1028"/>
        <o:r id="V:Rule9" type="connector" idref="#_x0000_s1039"/>
        <o:r id="V:Rule10" type="connector" idref="#_x0000_s1038"/>
        <o:r id="V:Rule11" type="connector" idref="#_x0000_s1048"/>
        <o:r id="V:Rule12" type="connector" idref="#_x0000_s1050"/>
        <o:r id="V:Rule13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28</Pages>
  <Words>4676</Words>
  <Characters>26659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15</cp:revision>
  <dcterms:created xsi:type="dcterms:W3CDTF">2017-01-27T11:11:00Z</dcterms:created>
  <dcterms:modified xsi:type="dcterms:W3CDTF">2017-02-27T11:13:00Z</dcterms:modified>
</cp:coreProperties>
</file>