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ICSR Case Examples for Training &amp; Interview Preparation</w:t>
      </w:r>
    </w:p>
    <w:p>
      <w:pPr>
        <w:spacing w:after="100"/>
        <w:jc w:val="center"/>
      </w:pPr>
      <w:r>
        <w:rPr>
          <w:i/>
          <w:iCs/>
          <w:sz w:val="22"/>
          <w:szCs w:val="22"/>
        </w:rPr>
        <w:t xml:space="preserve">10 Individual Case Safety Report (ICSR) Narratives Across Common Pharmacovigilance Scenarios</w:t>
      </w:r>
    </w:p>
    <w:p>
      <w:pPr>
        <w:spacing w:after="300"/>
        <w:jc w:val="center"/>
      </w:pPr>
      <w:r>
        <w:rPr>
          <w:color w:val="808080"/>
          <w:sz w:val="18"/>
          <w:szCs w:val="18"/>
        </w:rPr>
        <w:t xml:space="preserve">Illustrative/fictional cases for study purposes — not real patient data</w:t>
      </w:r>
    </w:p>
    <w:p>
      <w:pPr>
        <w:pStyle w:val="Heading1"/>
        <w:spacing w:after="150" w:before="300"/>
      </w:pPr>
      <w:r>
        <w:t xml:space="preserve">Case 1: Serious Hepatotoxicity — Statin Therapy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ICSR-2026-000101</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Physician (Hepatologist)</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United States</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62-year-old male</w:t>
            </w:r>
          </w:p>
        </w:tc>
      </w:tr>
      <w:tr>
        <w:tc>
          <w:tcPr>
            <w:tcW w:type="dxa" w:w="2600"/>
            <w:shd w:fill="EDEDED" w:val="clear"/>
            <w:tcMar>
              <w:top w:type="dxa" w:w="80"/>
              <w:left w:type="dxa" w:w="100"/>
              <w:bottom w:type="dxa" w:w="80"/>
              <w:right w:type="dxa" w:w="100"/>
            </w:tcMar>
          </w:tcPr>
          <w:p>
            <w:r>
              <w:rPr>
                <w:b/>
                <w:bCs/>
                <w:sz w:val="20"/>
                <w:szCs w:val="20"/>
              </w:rPr>
              <w:t xml:space="preserve">Suspect Drug</w:t>
            </w:r>
          </w:p>
        </w:tc>
        <w:tc>
          <w:tcPr>
            <w:tcW w:type="dxa" w:w="7000"/>
            <w:tcMar>
              <w:top w:type="dxa" w:w="80"/>
              <w:left w:type="dxa" w:w="100"/>
              <w:bottom w:type="dxa" w:w="80"/>
              <w:right w:type="dxa" w:w="100"/>
            </w:tcMar>
          </w:tcPr>
          <w:p>
            <w:r>
              <w:rPr>
                <w:sz w:val="20"/>
                <w:szCs w:val="20"/>
              </w:rPr>
              <w:t xml:space="preserve">Atorvastatin 40 mg once daily, oral</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Hyperlipidaemia, type 2 diabetes mellitus</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Metformin 1000 mg BID; Amlodipine 5 mg OD</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Drug-induced liver injury (elevated ALT/AST, jaundice)</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8 weeks after treatment initiation</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Hospitalization (initial or prolonged)</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Drug withdrawn</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Recovering/resolving at time of report</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Probable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Dechallenge positive; rechallenge not attempted</w:t>
            </w:r>
          </w:p>
        </w:tc>
      </w:tr>
    </w:tbl>
    <w:p>
      <w:pPr>
        <w:pStyle w:val="Heading3"/>
        <w:spacing w:after="100" w:before="200"/>
      </w:pPr>
      <w:r>
        <w:t xml:space="preserve">Case Narrative</w:t>
      </w:r>
    </w:p>
    <w:p>
      <w:pPr>
        <w:spacing w:after="200"/>
        <w:jc w:val="both"/>
      </w:pPr>
      <w:r>
        <w:rPr>
          <w:sz w:val="20"/>
          <w:szCs w:val="20"/>
        </w:rPr>
        <w:t xml:space="preserve">A 62-year-old male with a history of type 2 diabetes mellitus and hyperlipidaemia was started on atorvastatin 40 mg once daily. Approximately eight weeks after initiation, the patient presented to his physician with fatigue, dark urine, and scleral icterus. Liver function tests revealed ALT 420 U/L (baseline 22 U/L), AST 380 U/L, and total bilirubin 3.8 mg/dL. Viral hepatitis serology, autoimmune markers, and abdominal ultrasound were unremarkable, and no other new medications or supplements were reported. Atorvastatin was discontinued and the patient was admitted for monitoring. Liver enzymes trended downward over the following two weeks. The reporting physician assessed the reaction as probably related to atorvastatin based on the temporal relationship, exclusion of alternative causes, and known hepatotoxic potential of statins.</w:t>
      </w:r>
    </w:p>
    <w:p>
      <w:r>
        <w:br w:type="page"/>
      </w:r>
    </w:p>
    <w:p>
      <w:pPr>
        <w:pStyle w:val="Heading1"/>
        <w:spacing w:after="150" w:before="300"/>
      </w:pPr>
      <w:r>
        <w:t xml:space="preserve">Case 2: Non-Serious Cutaneous Reaction — Amoxicillin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ICSR-2026-000102</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Patient (via consumer hotline)</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India</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29-year-old female</w:t>
            </w:r>
          </w:p>
        </w:tc>
      </w:tr>
      <w:tr>
        <w:tc>
          <w:tcPr>
            <w:tcW w:type="dxa" w:w="2600"/>
            <w:shd w:fill="EDEDED" w:val="clear"/>
            <w:tcMar>
              <w:top w:type="dxa" w:w="80"/>
              <w:left w:type="dxa" w:w="100"/>
              <w:bottom w:type="dxa" w:w="80"/>
              <w:right w:type="dxa" w:w="100"/>
            </w:tcMar>
          </w:tcPr>
          <w:p>
            <w:r>
              <w:rPr>
                <w:b/>
                <w:bCs/>
                <w:sz w:val="20"/>
                <w:szCs w:val="20"/>
              </w:rPr>
              <w:t xml:space="preserve">Suspect Drug</w:t>
            </w:r>
          </w:p>
        </w:tc>
        <w:tc>
          <w:tcPr>
            <w:tcW w:type="dxa" w:w="7000"/>
            <w:tcMar>
              <w:top w:type="dxa" w:w="80"/>
              <w:left w:type="dxa" w:w="100"/>
              <w:bottom w:type="dxa" w:w="80"/>
              <w:right w:type="dxa" w:w="100"/>
            </w:tcMar>
          </w:tcPr>
          <w:p>
            <w:r>
              <w:rPr>
                <w:sz w:val="20"/>
                <w:szCs w:val="20"/>
              </w:rPr>
              <w:t xml:space="preserve">Amoxicillin 500 mg three times daily, oral</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Acute bacterial sinusitis</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None reported</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Maculopapular rash, pruritus</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4 days after starting therapy</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Non-serious</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Drug withdrawn</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Recovered/resolved</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Probable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Dechallenge positive; rechallenge not performed</w:t>
            </w:r>
          </w:p>
        </w:tc>
      </w:tr>
    </w:tbl>
    <w:p>
      <w:pPr>
        <w:pStyle w:val="Heading3"/>
        <w:spacing w:after="100" w:before="200"/>
      </w:pPr>
      <w:r>
        <w:t xml:space="preserve">Case Narrative</w:t>
      </w:r>
    </w:p>
    <w:p>
      <w:pPr>
        <w:spacing w:after="200"/>
        <w:jc w:val="both"/>
      </w:pPr>
      <w:r>
        <w:rPr>
          <w:sz w:val="20"/>
          <w:szCs w:val="20"/>
        </w:rPr>
        <w:t xml:space="preserve">A 29-year-old female with no known drug allergies was prescribed amoxicillin for acute sinusitis. On day four of treatment she developed a generalized maculopapular rash with associated itching, without fever, mucosal involvement, or respiratory symptoms. She discontinued the medication on her own and the rash resolved within five days without treatment. The patient reported no other new medications, foods, or products around the same time. Given the known association of aminopenicillins with delayed cutaneous hypersensitivity reactions and the positive dechallenge, causality was assessed as probable.</w:t>
      </w:r>
    </w:p>
    <w:p>
      <w:r>
        <w:br w:type="page"/>
      </w:r>
    </w:p>
    <w:p>
      <w:pPr>
        <w:pStyle w:val="Heading1"/>
        <w:spacing w:after="150" w:before="300"/>
      </w:pPr>
      <w:r>
        <w:t xml:space="preserve">Case 3: Serious Anaphylaxis — Diclofenac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ICSR-2026-000103</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Emergency Department Physician</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United Kingdom</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45-year-old female</w:t>
            </w:r>
          </w:p>
        </w:tc>
      </w:tr>
      <w:tr>
        <w:tc>
          <w:tcPr>
            <w:tcW w:type="dxa" w:w="2600"/>
            <w:shd w:fill="EDEDED" w:val="clear"/>
            <w:tcMar>
              <w:top w:type="dxa" w:w="80"/>
              <w:left w:type="dxa" w:w="100"/>
              <w:bottom w:type="dxa" w:w="80"/>
              <w:right w:type="dxa" w:w="100"/>
            </w:tcMar>
          </w:tcPr>
          <w:p>
            <w:r>
              <w:rPr>
                <w:b/>
                <w:bCs/>
                <w:sz w:val="20"/>
                <w:szCs w:val="20"/>
              </w:rPr>
              <w:t xml:space="preserve">Suspect Drug</w:t>
            </w:r>
          </w:p>
        </w:tc>
        <w:tc>
          <w:tcPr>
            <w:tcW w:type="dxa" w:w="7000"/>
            <w:tcMar>
              <w:top w:type="dxa" w:w="80"/>
              <w:left w:type="dxa" w:w="100"/>
              <w:bottom w:type="dxa" w:w="80"/>
              <w:right w:type="dxa" w:w="100"/>
            </w:tcMar>
          </w:tcPr>
          <w:p>
            <w:r>
              <w:rPr>
                <w:sz w:val="20"/>
                <w:szCs w:val="20"/>
              </w:rPr>
              <w:t xml:space="preserve">Diclofenac sodium 50 mg, oral, single dose</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Musculoskeletal pain</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Levothyroxine 75 mcg OD</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Anaphylaxis (urticaria, angioedema, hypotension, dyspnoea)</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20 minutes post-dose</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Life-threatening; hospitalization</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Drug withdrawn; emergency treatment administered</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Recovered/resolved</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Certain</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Rechallenge not applicable (contraindicated)</w:t>
            </w:r>
          </w:p>
        </w:tc>
      </w:tr>
    </w:tbl>
    <w:p>
      <w:pPr>
        <w:pStyle w:val="Heading3"/>
        <w:spacing w:after="100" w:before="200"/>
      </w:pPr>
      <w:r>
        <w:t xml:space="preserve">Case Narrative</w:t>
      </w:r>
    </w:p>
    <w:p>
      <w:pPr>
        <w:spacing w:after="200"/>
        <w:jc w:val="both"/>
      </w:pPr>
      <w:r>
        <w:rPr>
          <w:sz w:val="20"/>
          <w:szCs w:val="20"/>
        </w:rPr>
        <w:t xml:space="preserve">A 45-year-old female took a single 50 mg dose of oral diclofenac for musculoskeletal pain. Within twenty minutes she developed diffuse urticaria, facial and lip angioedema, wheeze, and hypotension (BP 78/50 mmHg). She was brought to the emergency department where she received intramuscular adrenaline, intravenous antihistamines, and corticosteroids, with rapid clinical improvement. She had previously tolerated paracetamol but reported a prior mild reaction to ibuprofen that had not been formally investigated. Tryptase levels drawn during the acute event were elevated, supporting a diagnosis of anaphylaxis. Given the immediate onset following administration, the classic clinical presentation, and elevated tryptase, causality was assessed as certain.</w:t>
      </w:r>
    </w:p>
    <w:p>
      <w:r>
        <w:br w:type="page"/>
      </w:r>
    </w:p>
    <w:p>
      <w:pPr>
        <w:pStyle w:val="Heading1"/>
        <w:spacing w:after="150" w:before="300"/>
      </w:pPr>
      <w:r>
        <w:t xml:space="preserve">Case 4: Fatal Outcome — QT Prolongation with Drug–Drug Interaction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ICSR-2026-000104</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Hospital Pharmacist</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Germany</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78-year-old male</w:t>
            </w:r>
          </w:p>
        </w:tc>
      </w:tr>
      <w:tr>
        <w:tc>
          <w:tcPr>
            <w:tcW w:type="dxa" w:w="2600"/>
            <w:shd w:fill="EDEDED" w:val="clear"/>
            <w:tcMar>
              <w:top w:type="dxa" w:w="80"/>
              <w:left w:type="dxa" w:w="100"/>
              <w:bottom w:type="dxa" w:w="80"/>
              <w:right w:type="dxa" w:w="100"/>
            </w:tcMar>
          </w:tcPr>
          <w:p>
            <w:r>
              <w:rPr>
                <w:b/>
                <w:bCs/>
                <w:sz w:val="20"/>
                <w:szCs w:val="20"/>
              </w:rPr>
              <w:t xml:space="preserve">Suspect Drugs</w:t>
            </w:r>
          </w:p>
        </w:tc>
        <w:tc>
          <w:tcPr>
            <w:tcW w:type="dxa" w:w="7000"/>
            <w:tcMar>
              <w:top w:type="dxa" w:w="80"/>
              <w:left w:type="dxa" w:w="100"/>
              <w:bottom w:type="dxa" w:w="80"/>
              <w:right w:type="dxa" w:w="100"/>
            </w:tcMar>
          </w:tcPr>
          <w:p>
            <w:r>
              <w:rPr>
                <w:sz w:val="20"/>
                <w:szCs w:val="20"/>
              </w:rPr>
              <w:t xml:space="preserve">Citalopram 40 mg OD; Azithromycin 500 mg OD (co-suspect)</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Major depressive disorder; community-acquired pneumonia</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Furosemide 40 mg OD; Potassium chloride supplement</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Torsades de pointes, cardiac arrest, death</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3 days after azithromycin co-administration</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Fatal</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Both drugs withdrawn (patient deceased)</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Fatal</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Probable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Not applicable</w:t>
            </w:r>
          </w:p>
        </w:tc>
      </w:tr>
    </w:tbl>
    <w:p>
      <w:pPr>
        <w:pStyle w:val="Heading3"/>
        <w:spacing w:after="100" w:before="200"/>
      </w:pPr>
      <w:r>
        <w:t xml:space="preserve">Case Narrative</w:t>
      </w:r>
    </w:p>
    <w:p>
      <w:pPr>
        <w:spacing w:after="200"/>
        <w:jc w:val="both"/>
      </w:pPr>
      <w:r>
        <w:rPr>
          <w:sz w:val="20"/>
          <w:szCs w:val="20"/>
        </w:rPr>
        <w:t xml:space="preserve">A 78-year-old male on long-term citalopram 40 mg daily was hospitalized for community-acquired pneumonia and started on azithromycin. On day three of concurrent therapy he developed syncope; telemetry captured torsades de pointes progressing to cardiac arrest. Corrected QT interval on admission ECG was 480 ms, increasing to 540 ms after azithromycin initiation. Serum potassium was low-normal at 3.4 mmol/L despite supplementation. Resuscitation was unsuccessful and the patient died. The combination of two QT-prolonging agents in an elderly patient with mild hypokalaemia was considered the most likely contributing factor. Both citalopram and azithromycin were reported as co-suspect drugs, with causality assessed as probable given the known additive QT-prolonging risk and temporal relationship.</w:t>
      </w:r>
    </w:p>
    <w:p>
      <w:r>
        <w:br w:type="page"/>
      </w:r>
    </w:p>
    <w:p>
      <w:pPr>
        <w:pStyle w:val="Heading1"/>
        <w:spacing w:after="150" w:before="300"/>
      </w:pPr>
      <w:r>
        <w:t xml:space="preserve">Case 5: Congenital Anomaly — In Utero Exposure to Valproate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ICSR-2026-000105</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Obstetrician, Pregnancy Exposure Registry</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France</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Neonate (maternal age 31 at exposure)</w:t>
            </w:r>
          </w:p>
        </w:tc>
      </w:tr>
      <w:tr>
        <w:tc>
          <w:tcPr>
            <w:tcW w:type="dxa" w:w="2600"/>
            <w:shd w:fill="EDEDED" w:val="clear"/>
            <w:tcMar>
              <w:top w:type="dxa" w:w="80"/>
              <w:left w:type="dxa" w:w="100"/>
              <w:bottom w:type="dxa" w:w="80"/>
              <w:right w:type="dxa" w:w="100"/>
            </w:tcMar>
          </w:tcPr>
          <w:p>
            <w:r>
              <w:rPr>
                <w:b/>
                <w:bCs/>
                <w:sz w:val="20"/>
                <w:szCs w:val="20"/>
              </w:rPr>
              <w:t xml:space="preserve">Suspect Drug</w:t>
            </w:r>
          </w:p>
        </w:tc>
        <w:tc>
          <w:tcPr>
            <w:tcW w:type="dxa" w:w="7000"/>
            <w:tcMar>
              <w:top w:type="dxa" w:w="80"/>
              <w:left w:type="dxa" w:w="100"/>
              <w:bottom w:type="dxa" w:w="80"/>
              <w:right w:type="dxa" w:w="100"/>
            </w:tcMar>
          </w:tcPr>
          <w:p>
            <w:r>
              <w:rPr>
                <w:sz w:val="20"/>
                <w:szCs w:val="20"/>
              </w:rPr>
              <w:t xml:space="preserve">Valproic acid 1000 mg/day, maternal use throughout pregnancy</w:t>
            </w:r>
          </w:p>
        </w:tc>
      </w:tr>
      <w:tr>
        <w:tc>
          <w:tcPr>
            <w:tcW w:type="dxa" w:w="2600"/>
            <w:shd w:fill="EDEDED" w:val="clear"/>
            <w:tcMar>
              <w:top w:type="dxa" w:w="80"/>
              <w:left w:type="dxa" w:w="100"/>
              <w:bottom w:type="dxa" w:w="80"/>
              <w:right w:type="dxa" w:w="100"/>
            </w:tcMar>
          </w:tcPr>
          <w:p>
            <w:r>
              <w:rPr>
                <w:b/>
                <w:bCs/>
                <w:sz w:val="20"/>
                <w:szCs w:val="20"/>
              </w:rPr>
              <w:t xml:space="preserve">Indication (Maternal)</w:t>
            </w:r>
          </w:p>
        </w:tc>
        <w:tc>
          <w:tcPr>
            <w:tcW w:type="dxa" w:w="7000"/>
            <w:tcMar>
              <w:top w:type="dxa" w:w="80"/>
              <w:left w:type="dxa" w:w="100"/>
              <w:bottom w:type="dxa" w:w="80"/>
              <w:right w:type="dxa" w:w="100"/>
            </w:tcMar>
          </w:tcPr>
          <w:p>
            <w:r>
              <w:rPr>
                <w:sz w:val="20"/>
                <w:szCs w:val="20"/>
              </w:rPr>
              <w:t xml:space="preserve">Epilepsy (generalized tonic-clonic seizures)</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Folic acid supplementation</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Neural tube defect (spina bifida)</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Detected at 20-week anomaly ultrasound</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Congenital anomaly/birth defect</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Maternal drug switched to alternative antiepileptic after diagnosis</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Not recovered; ongoing neonatal follow-up</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Probable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Not applicable</w:t>
            </w:r>
          </w:p>
        </w:tc>
      </w:tr>
    </w:tbl>
    <w:p>
      <w:pPr>
        <w:pStyle w:val="Heading3"/>
        <w:spacing w:after="100" w:before="200"/>
      </w:pPr>
      <w:r>
        <w:t xml:space="preserve">Case Narrative</w:t>
      </w:r>
    </w:p>
    <w:p>
      <w:pPr>
        <w:spacing w:after="200"/>
        <w:jc w:val="both"/>
      </w:pPr>
      <w:r>
        <w:rPr>
          <w:sz w:val="20"/>
          <w:szCs w:val="20"/>
        </w:rPr>
        <w:t xml:space="preserve">A 31-year-old woman with epilepsy continued valproic acid 1000 mg/day throughout pregnancy for seizure control, having declined a switch to an alternative agent preconception. A routine 20-week fetal anomaly scan identified a lumbosacral neural tube defect consistent with spina bifida. The pregnancy was closely monitored by maternal-fetal medicine, and the infant underwent surgical repair shortly after birth. No other teratogenic exposures, family history of neural tube defects, or maternal folate deficiency were identified. Valproate is a well-established human teratogen with a strong dose-dependent association with neural tube defects, and the case was reported to the national pregnancy exposure registry. Causality was assessed as probable based on the established class effect and absence of alternative explanation.</w:t>
      </w:r>
    </w:p>
    <w:p>
      <w:r>
        <w:br w:type="page"/>
      </w:r>
    </w:p>
    <w:p>
      <w:pPr>
        <w:pStyle w:val="Heading1"/>
        <w:spacing w:after="150" w:before="300"/>
      </w:pPr>
      <w:r>
        <w:t xml:space="preserve">Case 6: Medication Error — Insulin Overdose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ICSR-2026-000106</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Hospital Risk Management</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United States</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56-year-old female</w:t>
            </w:r>
          </w:p>
        </w:tc>
      </w:tr>
      <w:tr>
        <w:tc>
          <w:tcPr>
            <w:tcW w:type="dxa" w:w="2600"/>
            <w:shd w:fill="EDEDED" w:val="clear"/>
            <w:tcMar>
              <w:top w:type="dxa" w:w="80"/>
              <w:left w:type="dxa" w:w="100"/>
              <w:bottom w:type="dxa" w:w="80"/>
              <w:right w:type="dxa" w:w="100"/>
            </w:tcMar>
          </w:tcPr>
          <w:p>
            <w:r>
              <w:rPr>
                <w:b/>
                <w:bCs/>
                <w:sz w:val="20"/>
                <w:szCs w:val="20"/>
              </w:rPr>
              <w:t xml:space="preserve">Suspect Drug</w:t>
            </w:r>
          </w:p>
        </w:tc>
        <w:tc>
          <w:tcPr>
            <w:tcW w:type="dxa" w:w="7000"/>
            <w:tcMar>
              <w:top w:type="dxa" w:w="80"/>
              <w:left w:type="dxa" w:w="100"/>
              <w:bottom w:type="dxa" w:w="80"/>
              <w:right w:type="dxa" w:w="100"/>
            </w:tcMar>
          </w:tcPr>
          <w:p>
            <w:r>
              <w:rPr>
                <w:sz w:val="20"/>
                <w:szCs w:val="20"/>
              </w:rPr>
              <w:t xml:space="preserve">Insulin glargine — administered 100 units instead of prescribed 10 units</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Type 2 diabetes mellitus</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Metformin 500 mg BID</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Severe hypoglycaemia, loss of consciousness</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Approximately 2 hours post-administration</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Hospitalization; medically significant</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Dose corrected; dextrose infusion administered</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Recovered/resolved</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Certain</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Not applicable — administration error, not product defect</w:t>
            </w:r>
          </w:p>
        </w:tc>
      </w:tr>
    </w:tbl>
    <w:p>
      <w:pPr>
        <w:pStyle w:val="Heading3"/>
        <w:spacing w:after="100" w:before="200"/>
      </w:pPr>
      <w:r>
        <w:t xml:space="preserve">Case Narrative</w:t>
      </w:r>
    </w:p>
    <w:p>
      <w:pPr>
        <w:spacing w:after="200"/>
        <w:jc w:val="both"/>
      </w:pPr>
      <w:r>
        <w:rPr>
          <w:sz w:val="20"/>
          <w:szCs w:val="20"/>
        </w:rPr>
        <w:t xml:space="preserve">A nursing transcription error resulted in a 56-year-old inpatient receiving 100 units of insulin glargine instead of the prescribed 10 units. Approximately two hours later the patient was found unresponsive with a capillary glucose reading of 28 mg/dL. She was treated with intravenous dextrose and close glucose monitoring, with full neurological recovery within several hours. Root cause analysis identified a misread handwritten order as the source of the tenfold dosing error. This case was classified as a medication error resulting in an adverse drug reaction; the causal relationship between the administered dose and the hypoglycaemic event was assessed as certain, while the error itself was flagged separately for the facility's patient safety reporting system.</w:t>
      </w:r>
    </w:p>
    <w:p>
      <w:r>
        <w:br w:type="page"/>
      </w:r>
    </w:p>
    <w:p>
      <w:pPr>
        <w:pStyle w:val="Heading1"/>
        <w:spacing w:after="150" w:before="300"/>
      </w:pPr>
      <w:r>
        <w:t xml:space="preserve">Case 7: Lack of Efficacy — Antihypertensive Therapy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ICSR-2026-000107</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General Practitioner</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Canada</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68-year-old male</w:t>
            </w:r>
          </w:p>
        </w:tc>
      </w:tr>
      <w:tr>
        <w:tc>
          <w:tcPr>
            <w:tcW w:type="dxa" w:w="2600"/>
            <w:shd w:fill="EDEDED" w:val="clear"/>
            <w:tcMar>
              <w:top w:type="dxa" w:w="80"/>
              <w:left w:type="dxa" w:w="100"/>
              <w:bottom w:type="dxa" w:w="80"/>
              <w:right w:type="dxa" w:w="100"/>
            </w:tcMar>
          </w:tcPr>
          <w:p>
            <w:r>
              <w:rPr>
                <w:b/>
                <w:bCs/>
                <w:sz w:val="20"/>
                <w:szCs w:val="20"/>
              </w:rPr>
              <w:t xml:space="preserve">Suspect Drug</w:t>
            </w:r>
          </w:p>
        </w:tc>
        <w:tc>
          <w:tcPr>
            <w:tcW w:type="dxa" w:w="7000"/>
            <w:tcMar>
              <w:top w:type="dxa" w:w="80"/>
              <w:left w:type="dxa" w:w="100"/>
              <w:bottom w:type="dxa" w:w="80"/>
              <w:right w:type="dxa" w:w="100"/>
            </w:tcMar>
          </w:tcPr>
          <w:p>
            <w:r>
              <w:rPr>
                <w:sz w:val="20"/>
                <w:szCs w:val="20"/>
              </w:rPr>
              <w:t xml:space="preserve">Amlodipine 10 mg once daily, oral</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Essential hypertension</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Aspirin 81 mg OD</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Lack of therapeutic efficacy (persistent uncontrolled hypertension)</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No improvement after 6 weeks of therapy</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Non-serious</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Dose increased, then switched to alternative class</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Recovered/resolved (on alternative therapy)</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Possible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Not applicable</w:t>
            </w:r>
          </w:p>
        </w:tc>
      </w:tr>
    </w:tbl>
    <w:p>
      <w:pPr>
        <w:pStyle w:val="Heading3"/>
        <w:spacing w:after="100" w:before="200"/>
      </w:pPr>
      <w:r>
        <w:t xml:space="preserve">Case Narrative</w:t>
      </w:r>
    </w:p>
    <w:p>
      <w:pPr>
        <w:spacing w:after="200"/>
        <w:jc w:val="both"/>
      </w:pPr>
      <w:r>
        <w:rPr>
          <w:sz w:val="20"/>
          <w:szCs w:val="20"/>
        </w:rPr>
        <w:t xml:space="preserve">A 68-year-old male with essential hypertension showed no meaningful reduction in blood pressure after six weeks on amlodipine 10 mg daily, with home readings consistently above 160/95 mmHg. Adherence was confirmed via pill count and patient interview, and secondary causes of hypertension were excluded through routine work-up. The physician reported the case as lack of efficacy. Amlodipine was subsequently switched to an ACE inhibitor, with adequate blood pressure control achieved within four weeks. Because lack of efficacy can reflect patient-specific pharmacodynamic factors rather than a product quality issue, causality was assessed as possible, and the batch was not implicated.</w:t>
      </w:r>
    </w:p>
    <w:p>
      <w:r>
        <w:br w:type="page"/>
      </w:r>
    </w:p>
    <w:p>
      <w:pPr>
        <w:pStyle w:val="Heading1"/>
        <w:spacing w:after="150" w:before="300"/>
      </w:pPr>
      <w:r>
        <w:t xml:space="preserve">Case 8: Serious Bleeding — Warfarin–Antibiotic Interaction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ICSR-2026-000108</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Anticoagulation Clinic Nurse</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Australia</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71-year-old female</w:t>
            </w:r>
          </w:p>
        </w:tc>
      </w:tr>
      <w:tr>
        <w:tc>
          <w:tcPr>
            <w:tcW w:type="dxa" w:w="2600"/>
            <w:shd w:fill="EDEDED" w:val="clear"/>
            <w:tcMar>
              <w:top w:type="dxa" w:w="80"/>
              <w:left w:type="dxa" w:w="100"/>
              <w:bottom w:type="dxa" w:w="80"/>
              <w:right w:type="dxa" w:w="100"/>
            </w:tcMar>
          </w:tcPr>
          <w:p>
            <w:r>
              <w:rPr>
                <w:b/>
                <w:bCs/>
                <w:sz w:val="20"/>
                <w:szCs w:val="20"/>
              </w:rPr>
              <w:t xml:space="preserve">Suspect Drugs</w:t>
            </w:r>
          </w:p>
        </w:tc>
        <w:tc>
          <w:tcPr>
            <w:tcW w:type="dxa" w:w="7000"/>
            <w:tcMar>
              <w:top w:type="dxa" w:w="80"/>
              <w:left w:type="dxa" w:w="100"/>
              <w:bottom w:type="dxa" w:w="80"/>
              <w:right w:type="dxa" w:w="100"/>
            </w:tcMar>
          </w:tcPr>
          <w:p>
            <w:r>
              <w:rPr>
                <w:sz w:val="20"/>
                <w:szCs w:val="20"/>
              </w:rPr>
              <w:t xml:space="preserve">Warfarin (stable long-term therapy); Ciprofloxacin 500 mg BID (co-suspect)</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Atrial fibrillation (warfarin); urinary tract infection (ciprofloxacin)</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Atorvastatin 20 mg OD</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Gastrointestinal haemorrhage, INR elevated to 8.2</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5 days after starting ciprofloxacin</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Hospitalization</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Warfarin withheld; ciprofloxacin discontinued; vitamin K administered</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Recovered/resolved</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Probable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Dechallenge positive; rechallenge not attempted</w:t>
            </w:r>
          </w:p>
        </w:tc>
      </w:tr>
    </w:tbl>
    <w:p>
      <w:pPr>
        <w:pStyle w:val="Heading3"/>
        <w:spacing w:after="100" w:before="200"/>
      </w:pPr>
      <w:r>
        <w:t xml:space="preserve">Case Narrative</w:t>
      </w:r>
    </w:p>
    <w:p>
      <w:pPr>
        <w:spacing w:after="200"/>
        <w:jc w:val="both"/>
      </w:pPr>
      <w:r>
        <w:rPr>
          <w:sz w:val="20"/>
          <w:szCs w:val="20"/>
        </w:rPr>
        <w:t xml:space="preserve">A 71-year-old female stable on long-term warfarin for atrial fibrillation, with INR consistently in the therapeutic range of 2.0–3.0, was prescribed ciprofloxacin for a urinary tract infection. Five days later she presented with melena and haematemesis; INR was found to be markedly elevated at 8.2. She was hospitalized, received vitamin K and fresh frozen plasma, and underwent endoscopy which identified a bleeding duodenal ulcer. Both agents were discontinued and her INR normalized over the following days without further bleeding. The interaction between ciprofloxacin and warfarin, mediated via cytochrome P450 inhibition, is well documented, and the temporal relationship supported a probable causal association for both suspect drugs.</w:t>
      </w:r>
    </w:p>
    <w:p>
      <w:r>
        <w:br w:type="page"/>
      </w:r>
    </w:p>
    <w:p>
      <w:pPr>
        <w:pStyle w:val="Heading1"/>
        <w:spacing w:after="150" w:before="300"/>
      </w:pPr>
      <w:r>
        <w:t xml:space="preserve">Case 9: Off-Label Use — Serious Neuropsychiatric Event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ICSR-2026-000109</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Spontaneous — Psychiatrist</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India</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34-year-old male</w:t>
            </w:r>
          </w:p>
        </w:tc>
      </w:tr>
      <w:tr>
        <w:tc>
          <w:tcPr>
            <w:tcW w:type="dxa" w:w="2600"/>
            <w:shd w:fill="EDEDED" w:val="clear"/>
            <w:tcMar>
              <w:top w:type="dxa" w:w="80"/>
              <w:left w:type="dxa" w:w="100"/>
              <w:bottom w:type="dxa" w:w="80"/>
              <w:right w:type="dxa" w:w="100"/>
            </w:tcMar>
          </w:tcPr>
          <w:p>
            <w:r>
              <w:rPr>
                <w:b/>
                <w:bCs/>
                <w:sz w:val="20"/>
                <w:szCs w:val="20"/>
              </w:rPr>
              <w:t xml:space="preserve">Suspect Drug</w:t>
            </w:r>
          </w:p>
        </w:tc>
        <w:tc>
          <w:tcPr>
            <w:tcW w:type="dxa" w:w="7000"/>
            <w:tcMar>
              <w:top w:type="dxa" w:w="80"/>
              <w:left w:type="dxa" w:w="100"/>
              <w:bottom w:type="dxa" w:w="80"/>
              <w:right w:type="dxa" w:w="100"/>
            </w:tcMar>
          </w:tcPr>
          <w:p>
            <w:r>
              <w:rPr>
                <w:sz w:val="20"/>
                <w:szCs w:val="20"/>
              </w:rPr>
              <w:t xml:space="preserve">Montelukast 10 mg once daily, oral (off-label use for chronic urticaria)</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Chronic idiopathic urticaria (off-label)</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Cetirizine 10 mg OD</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New-onset severe depression with suicidal ideation</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3 weeks after starting therapy</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Medically significant; other important medical event</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Drug withdrawn</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Recovering/resolving</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Possible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Dechallenge positive; rechallenge not attempted</w:t>
            </w:r>
          </w:p>
        </w:tc>
      </w:tr>
    </w:tbl>
    <w:p>
      <w:pPr>
        <w:pStyle w:val="Heading3"/>
        <w:spacing w:after="100" w:before="200"/>
      </w:pPr>
      <w:r>
        <w:t xml:space="preserve">Case Narrative</w:t>
      </w:r>
    </w:p>
    <w:p>
      <w:pPr>
        <w:spacing w:after="200"/>
        <w:jc w:val="both"/>
      </w:pPr>
      <w:r>
        <w:rPr>
          <w:sz w:val="20"/>
          <w:szCs w:val="20"/>
        </w:rPr>
        <w:t xml:space="preserve">A 34-year-old male with no prior psychiatric history was started on montelukast, prescribed off-label for chronic idiopathic urticaria refractory to antihistamines alone. Three weeks later he presented with a two-week history of low mood, anhedonia, sleep disturbance, and passive suicidal ideation, prompting urgent psychiatric evaluation. There were no identifiable psychosocial precipitants and no personal or family history of mood disorder. Montelukast was discontinued in consultation with his physician, and his mood began to improve over the subsequent three weeks with supportive therapy, without antidepressant initiation. Neuropsychiatric events including depression and suicidality are a recognized, labelled risk of montelukast; given the off-label indication, temporal relationship, and partial improvement on withdrawal, causality was assessed as possible pending further follow-up.</w:t>
      </w:r>
    </w:p>
    <w:p>
      <w:r>
        <w:br w:type="page"/>
      </w:r>
    </w:p>
    <w:p>
      <w:pPr>
        <w:pStyle w:val="Heading1"/>
        <w:spacing w:after="150" w:before="300"/>
      </w:pPr>
      <w:r>
        <w:t xml:space="preserve">Case 10: Literature Case — Hepatotoxicity with Herbal-Drug Combination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DEDED" w:val="clear"/>
            <w:tcMar>
              <w:top w:type="dxa" w:w="80"/>
              <w:left w:type="dxa" w:w="100"/>
              <w:bottom w:type="dxa" w:w="80"/>
              <w:right w:type="dxa" w:w="100"/>
            </w:tcMar>
          </w:tcPr>
          <w:p>
            <w:r>
              <w:rPr>
                <w:b/>
                <w:bCs/>
                <w:sz w:val="20"/>
                <w:szCs w:val="20"/>
              </w:rPr>
              <w:t xml:space="preserve">Case ID</w:t>
            </w:r>
          </w:p>
        </w:tc>
        <w:tc>
          <w:tcPr>
            <w:tcW w:type="dxa" w:w="7000"/>
            <w:tcMar>
              <w:top w:type="dxa" w:w="80"/>
              <w:left w:type="dxa" w:w="100"/>
              <w:bottom w:type="dxa" w:w="80"/>
              <w:right w:type="dxa" w:w="100"/>
            </w:tcMar>
          </w:tcPr>
          <w:p>
            <w:r>
              <w:rPr>
                <w:sz w:val="20"/>
                <w:szCs w:val="20"/>
              </w:rPr>
              <w:t xml:space="preserve">ICSR-2026-000110</w:t>
            </w:r>
          </w:p>
        </w:tc>
      </w:tr>
      <w:tr>
        <w:tc>
          <w:tcPr>
            <w:tcW w:type="dxa" w:w="2600"/>
            <w:shd w:fill="EDEDED" w:val="clear"/>
            <w:tcMar>
              <w:top w:type="dxa" w:w="80"/>
              <w:left w:type="dxa" w:w="100"/>
              <w:bottom w:type="dxa" w:w="80"/>
              <w:right w:type="dxa" w:w="100"/>
            </w:tcMar>
          </w:tcPr>
          <w:p>
            <w:r>
              <w:rPr>
                <w:b/>
                <w:bCs/>
                <w:sz w:val="20"/>
                <w:szCs w:val="20"/>
              </w:rPr>
              <w:t xml:space="preserve">Report Source</w:t>
            </w:r>
          </w:p>
        </w:tc>
        <w:tc>
          <w:tcPr>
            <w:tcW w:type="dxa" w:w="7000"/>
            <w:tcMar>
              <w:top w:type="dxa" w:w="80"/>
              <w:left w:type="dxa" w:w="100"/>
              <w:bottom w:type="dxa" w:w="80"/>
              <w:right w:type="dxa" w:w="100"/>
            </w:tcMar>
          </w:tcPr>
          <w:p>
            <w:r>
              <w:rPr>
                <w:sz w:val="20"/>
                <w:szCs w:val="20"/>
              </w:rPr>
              <w:t xml:space="preserve">Literature (published case report)</w:t>
            </w:r>
          </w:p>
        </w:tc>
      </w:tr>
      <w:tr>
        <w:tc>
          <w:tcPr>
            <w:tcW w:type="dxa" w:w="2600"/>
            <w:shd w:fill="EDEDED" w:val="clear"/>
            <w:tcMar>
              <w:top w:type="dxa" w:w="80"/>
              <w:left w:type="dxa" w:w="100"/>
              <w:bottom w:type="dxa" w:w="80"/>
              <w:right w:type="dxa" w:w="100"/>
            </w:tcMar>
          </w:tcPr>
          <w:p>
            <w:r>
              <w:rPr>
                <w:b/>
                <w:bCs/>
                <w:sz w:val="20"/>
                <w:szCs w:val="20"/>
              </w:rPr>
              <w:t xml:space="preserve">Country</w:t>
            </w:r>
          </w:p>
        </w:tc>
        <w:tc>
          <w:tcPr>
            <w:tcW w:type="dxa" w:w="7000"/>
            <w:tcMar>
              <w:top w:type="dxa" w:w="80"/>
              <w:left w:type="dxa" w:w="100"/>
              <w:bottom w:type="dxa" w:w="80"/>
              <w:right w:type="dxa" w:w="100"/>
            </w:tcMar>
          </w:tcPr>
          <w:p>
            <w:r>
              <w:rPr>
                <w:sz w:val="20"/>
                <w:szCs w:val="20"/>
              </w:rPr>
              <w:t xml:space="preserve">Not specified (published journal case)</w:t>
            </w:r>
          </w:p>
        </w:tc>
      </w:tr>
      <w:tr>
        <w:tc>
          <w:tcPr>
            <w:tcW w:type="dxa" w:w="2600"/>
            <w:shd w:fill="EDEDED" w:val="clear"/>
            <w:tcMar>
              <w:top w:type="dxa" w:w="80"/>
              <w:left w:type="dxa" w:w="100"/>
              <w:bottom w:type="dxa" w:w="80"/>
              <w:right w:type="dxa" w:w="100"/>
            </w:tcMar>
          </w:tcPr>
          <w:p>
            <w:r>
              <w:rPr>
                <w:b/>
                <w:bCs/>
                <w:sz w:val="20"/>
                <w:szCs w:val="20"/>
              </w:rPr>
              <w:t xml:space="preserve">Patient</w:t>
            </w:r>
          </w:p>
        </w:tc>
        <w:tc>
          <w:tcPr>
            <w:tcW w:type="dxa" w:w="7000"/>
            <w:tcMar>
              <w:top w:type="dxa" w:w="80"/>
              <w:left w:type="dxa" w:w="100"/>
              <w:bottom w:type="dxa" w:w="80"/>
              <w:right w:type="dxa" w:w="100"/>
            </w:tcMar>
          </w:tcPr>
          <w:p>
            <w:r>
              <w:rPr>
                <w:sz w:val="20"/>
                <w:szCs w:val="20"/>
              </w:rPr>
              <w:t xml:space="preserve">51-year-old female</w:t>
            </w:r>
          </w:p>
        </w:tc>
      </w:tr>
      <w:tr>
        <w:tc>
          <w:tcPr>
            <w:tcW w:type="dxa" w:w="2600"/>
            <w:shd w:fill="EDEDED" w:val="clear"/>
            <w:tcMar>
              <w:top w:type="dxa" w:w="80"/>
              <w:left w:type="dxa" w:w="100"/>
              <w:bottom w:type="dxa" w:w="80"/>
              <w:right w:type="dxa" w:w="100"/>
            </w:tcMar>
          </w:tcPr>
          <w:p>
            <w:r>
              <w:rPr>
                <w:b/>
                <w:bCs/>
                <w:sz w:val="20"/>
                <w:szCs w:val="20"/>
              </w:rPr>
              <w:t xml:space="preserve">Suspect Drugs</w:t>
            </w:r>
          </w:p>
        </w:tc>
        <w:tc>
          <w:tcPr>
            <w:tcW w:type="dxa" w:w="7000"/>
            <w:tcMar>
              <w:top w:type="dxa" w:w="80"/>
              <w:left w:type="dxa" w:w="100"/>
              <w:bottom w:type="dxa" w:w="80"/>
              <w:right w:type="dxa" w:w="100"/>
            </w:tcMar>
          </w:tcPr>
          <w:p>
            <w:r>
              <w:rPr>
                <w:sz w:val="20"/>
                <w:szCs w:val="20"/>
              </w:rPr>
              <w:t xml:space="preserve">Isoniazid (as part of anti-tubercular regimen); concomitant Ayurvedic herbal supplement (co-suspect)</w:t>
            </w:r>
          </w:p>
        </w:tc>
      </w:tr>
      <w:tr>
        <w:tc>
          <w:tcPr>
            <w:tcW w:type="dxa" w:w="2600"/>
            <w:shd w:fill="EDEDED" w:val="clear"/>
            <w:tcMar>
              <w:top w:type="dxa" w:w="80"/>
              <w:left w:type="dxa" w:w="100"/>
              <w:bottom w:type="dxa" w:w="80"/>
              <w:right w:type="dxa" w:w="100"/>
            </w:tcMar>
          </w:tcPr>
          <w:p>
            <w:r>
              <w:rPr>
                <w:b/>
                <w:bCs/>
                <w:sz w:val="20"/>
                <w:szCs w:val="20"/>
              </w:rPr>
              <w:t xml:space="preserve">Indication</w:t>
            </w:r>
          </w:p>
        </w:tc>
        <w:tc>
          <w:tcPr>
            <w:tcW w:type="dxa" w:w="7000"/>
            <w:tcMar>
              <w:top w:type="dxa" w:w="80"/>
              <w:left w:type="dxa" w:w="100"/>
              <w:bottom w:type="dxa" w:w="80"/>
              <w:right w:type="dxa" w:w="100"/>
            </w:tcMar>
          </w:tcPr>
          <w:p>
            <w:r>
              <w:rPr>
                <w:sz w:val="20"/>
                <w:szCs w:val="20"/>
              </w:rPr>
              <w:t xml:space="preserve">Pulmonary tuberculosis</w:t>
            </w:r>
          </w:p>
        </w:tc>
      </w:tr>
      <w:tr>
        <w:tc>
          <w:tcPr>
            <w:tcW w:type="dxa" w:w="2600"/>
            <w:shd w:fill="EDEDED" w:val="clear"/>
            <w:tcMar>
              <w:top w:type="dxa" w:w="80"/>
              <w:left w:type="dxa" w:w="100"/>
              <w:bottom w:type="dxa" w:w="80"/>
              <w:right w:type="dxa" w:w="100"/>
            </w:tcMar>
          </w:tcPr>
          <w:p>
            <w:r>
              <w:rPr>
                <w:b/>
                <w:bCs/>
                <w:sz w:val="20"/>
                <w:szCs w:val="20"/>
              </w:rPr>
              <w:t xml:space="preserve">Concomitant Medications</w:t>
            </w:r>
          </w:p>
        </w:tc>
        <w:tc>
          <w:tcPr>
            <w:tcW w:type="dxa" w:w="7000"/>
            <w:tcMar>
              <w:top w:type="dxa" w:w="80"/>
              <w:left w:type="dxa" w:w="100"/>
              <w:bottom w:type="dxa" w:w="80"/>
              <w:right w:type="dxa" w:w="100"/>
            </w:tcMar>
          </w:tcPr>
          <w:p>
            <w:r>
              <w:rPr>
                <w:sz w:val="20"/>
                <w:szCs w:val="20"/>
              </w:rPr>
              <w:t xml:space="preserve">Rifampicin, Pyrazinamide, Ethambutol (fixed-dose combination)</w:t>
            </w:r>
          </w:p>
        </w:tc>
      </w:tr>
      <w:tr>
        <w:tc>
          <w:tcPr>
            <w:tcW w:type="dxa" w:w="2600"/>
            <w:shd w:fill="EDEDED" w:val="clear"/>
            <w:tcMar>
              <w:top w:type="dxa" w:w="80"/>
              <w:left w:type="dxa" w:w="100"/>
              <w:bottom w:type="dxa" w:w="80"/>
              <w:right w:type="dxa" w:w="100"/>
            </w:tcMar>
          </w:tcPr>
          <w:p>
            <w:r>
              <w:rPr>
                <w:b/>
                <w:bCs/>
                <w:sz w:val="20"/>
                <w:szCs w:val="20"/>
              </w:rPr>
              <w:t xml:space="preserve">Adverse Event(s)</w:t>
            </w:r>
          </w:p>
        </w:tc>
        <w:tc>
          <w:tcPr>
            <w:tcW w:type="dxa" w:w="7000"/>
            <w:tcMar>
              <w:top w:type="dxa" w:w="80"/>
              <w:left w:type="dxa" w:w="100"/>
              <w:bottom w:type="dxa" w:w="80"/>
              <w:right w:type="dxa" w:w="100"/>
            </w:tcMar>
          </w:tcPr>
          <w:p>
            <w:r>
              <w:rPr>
                <w:sz w:val="20"/>
                <w:szCs w:val="20"/>
              </w:rPr>
              <w:t xml:space="preserve">Acute hepatocellular injury</w:t>
            </w:r>
          </w:p>
        </w:tc>
      </w:tr>
      <w:tr>
        <w:tc>
          <w:tcPr>
            <w:tcW w:type="dxa" w:w="2600"/>
            <w:shd w:fill="EDEDED" w:val="clear"/>
            <w:tcMar>
              <w:top w:type="dxa" w:w="80"/>
              <w:left w:type="dxa" w:w="100"/>
              <w:bottom w:type="dxa" w:w="80"/>
              <w:right w:type="dxa" w:w="100"/>
            </w:tcMar>
          </w:tcPr>
          <w:p>
            <w:r>
              <w:rPr>
                <w:b/>
                <w:bCs/>
                <w:sz w:val="20"/>
                <w:szCs w:val="20"/>
              </w:rPr>
              <w:t xml:space="preserve">Onset (Time to Onset)</w:t>
            </w:r>
          </w:p>
        </w:tc>
        <w:tc>
          <w:tcPr>
            <w:tcW w:type="dxa" w:w="7000"/>
            <w:tcMar>
              <w:top w:type="dxa" w:w="80"/>
              <w:left w:type="dxa" w:w="100"/>
              <w:bottom w:type="dxa" w:w="80"/>
              <w:right w:type="dxa" w:w="100"/>
            </w:tcMar>
          </w:tcPr>
          <w:p>
            <w:r>
              <w:rPr>
                <w:sz w:val="20"/>
                <w:szCs w:val="20"/>
              </w:rPr>
              <w:t xml:space="preserve">6 weeks after starting anti-tubercular therapy and herbal supplement</w:t>
            </w:r>
          </w:p>
        </w:tc>
      </w:tr>
      <w:tr>
        <w:tc>
          <w:tcPr>
            <w:tcW w:type="dxa" w:w="2600"/>
            <w:shd w:fill="EDEDED" w:val="clear"/>
            <w:tcMar>
              <w:top w:type="dxa" w:w="80"/>
              <w:left w:type="dxa" w:w="100"/>
              <w:bottom w:type="dxa" w:w="80"/>
              <w:right w:type="dxa" w:w="100"/>
            </w:tcMar>
          </w:tcPr>
          <w:p>
            <w:r>
              <w:rPr>
                <w:b/>
                <w:bCs/>
                <w:sz w:val="20"/>
                <w:szCs w:val="20"/>
              </w:rPr>
              <w:t xml:space="preserve">Seriousness Criteria</w:t>
            </w:r>
          </w:p>
        </w:tc>
        <w:tc>
          <w:tcPr>
            <w:tcW w:type="dxa" w:w="7000"/>
            <w:tcMar>
              <w:top w:type="dxa" w:w="80"/>
              <w:left w:type="dxa" w:w="100"/>
              <w:bottom w:type="dxa" w:w="80"/>
              <w:right w:type="dxa" w:w="100"/>
            </w:tcMar>
          </w:tcPr>
          <w:p>
            <w:r>
              <w:rPr>
                <w:sz w:val="20"/>
                <w:szCs w:val="20"/>
              </w:rPr>
              <w:t xml:space="preserve">Hospitalization</w:t>
            </w:r>
          </w:p>
        </w:tc>
      </w:tr>
      <w:tr>
        <w:tc>
          <w:tcPr>
            <w:tcW w:type="dxa" w:w="2600"/>
            <w:shd w:fill="EDEDED" w:val="clear"/>
            <w:tcMar>
              <w:top w:type="dxa" w:w="80"/>
              <w:left w:type="dxa" w:w="100"/>
              <w:bottom w:type="dxa" w:w="80"/>
              <w:right w:type="dxa" w:w="100"/>
            </w:tcMar>
          </w:tcPr>
          <w:p>
            <w:r>
              <w:rPr>
                <w:b/>
                <w:bCs/>
                <w:sz w:val="20"/>
                <w:szCs w:val="20"/>
              </w:rPr>
              <w:t xml:space="preserve">Action Taken with Drug</w:t>
            </w:r>
          </w:p>
        </w:tc>
        <w:tc>
          <w:tcPr>
            <w:tcW w:type="dxa" w:w="7000"/>
            <w:tcMar>
              <w:top w:type="dxa" w:w="80"/>
              <w:left w:type="dxa" w:w="100"/>
              <w:bottom w:type="dxa" w:w="80"/>
              <w:right w:type="dxa" w:w="100"/>
            </w:tcMar>
          </w:tcPr>
          <w:p>
            <w:r>
              <w:rPr>
                <w:sz w:val="20"/>
                <w:szCs w:val="20"/>
              </w:rPr>
              <w:t xml:space="preserve">Anti-tubercular therapy interrupted; herbal supplement discontinued</w:t>
            </w:r>
          </w:p>
        </w:tc>
      </w:tr>
      <w:tr>
        <w:tc>
          <w:tcPr>
            <w:tcW w:type="dxa" w:w="2600"/>
            <w:shd w:fill="EDEDED" w:val="clear"/>
            <w:tcMar>
              <w:top w:type="dxa" w:w="80"/>
              <w:left w:type="dxa" w:w="100"/>
              <w:bottom w:type="dxa" w:w="80"/>
              <w:right w:type="dxa" w:w="100"/>
            </w:tcMar>
          </w:tcPr>
          <w:p>
            <w:r>
              <w:rPr>
                <w:b/>
                <w:bCs/>
                <w:sz w:val="20"/>
                <w:szCs w:val="20"/>
              </w:rPr>
              <w:t xml:space="preserve">Outcome</w:t>
            </w:r>
          </w:p>
        </w:tc>
        <w:tc>
          <w:tcPr>
            <w:tcW w:type="dxa" w:w="7000"/>
            <w:tcMar>
              <w:top w:type="dxa" w:w="80"/>
              <w:left w:type="dxa" w:w="100"/>
              <w:bottom w:type="dxa" w:w="80"/>
              <w:right w:type="dxa" w:w="100"/>
            </w:tcMar>
          </w:tcPr>
          <w:p>
            <w:r>
              <w:rPr>
                <w:sz w:val="20"/>
                <w:szCs w:val="20"/>
              </w:rPr>
              <w:t xml:space="preserve">Recovered/resolved after regimen modification</w:t>
            </w:r>
          </w:p>
        </w:tc>
      </w:tr>
      <w:tr>
        <w:tc>
          <w:tcPr>
            <w:tcW w:type="dxa" w:w="2600"/>
            <w:shd w:fill="EDEDED" w:val="clear"/>
            <w:tcMar>
              <w:top w:type="dxa" w:w="80"/>
              <w:left w:type="dxa" w:w="100"/>
              <w:bottom w:type="dxa" w:w="80"/>
              <w:right w:type="dxa" w:w="100"/>
            </w:tcMar>
          </w:tcPr>
          <w:p>
            <w:r>
              <w:rPr>
                <w:b/>
                <w:bCs/>
                <w:sz w:val="20"/>
                <w:szCs w:val="20"/>
              </w:rPr>
              <w:t xml:space="preserve">Causality Assessment (WHO-UMC)</w:t>
            </w:r>
          </w:p>
        </w:tc>
        <w:tc>
          <w:tcPr>
            <w:tcW w:type="dxa" w:w="7000"/>
            <w:tcMar>
              <w:top w:type="dxa" w:w="80"/>
              <w:left w:type="dxa" w:w="100"/>
              <w:bottom w:type="dxa" w:w="80"/>
              <w:right w:type="dxa" w:w="100"/>
            </w:tcMar>
          </w:tcPr>
          <w:p>
            <w:r>
              <w:rPr>
                <w:sz w:val="20"/>
                <w:szCs w:val="20"/>
              </w:rPr>
              <w:t xml:space="preserve">Possible</w:t>
            </w:r>
          </w:p>
        </w:tc>
      </w:tr>
      <w:tr>
        <w:tc>
          <w:tcPr>
            <w:tcW w:type="dxa" w:w="2600"/>
            <w:shd w:fill="EDEDED" w:val="clear"/>
            <w:tcMar>
              <w:top w:type="dxa" w:w="80"/>
              <w:left w:type="dxa" w:w="100"/>
              <w:bottom w:type="dxa" w:w="80"/>
              <w:right w:type="dxa" w:w="100"/>
            </w:tcMar>
          </w:tcPr>
          <w:p>
            <w:r>
              <w:rPr>
                <w:b/>
                <w:bCs/>
                <w:sz w:val="20"/>
                <w:szCs w:val="20"/>
              </w:rPr>
              <w:t xml:space="preserve">Rechallenge/Dechallenge</w:t>
            </w:r>
          </w:p>
        </w:tc>
        <w:tc>
          <w:tcPr>
            <w:tcW w:type="dxa" w:w="7000"/>
            <w:tcMar>
              <w:top w:type="dxa" w:w="80"/>
              <w:left w:type="dxa" w:w="100"/>
              <w:bottom w:type="dxa" w:w="80"/>
              <w:right w:type="dxa" w:w="100"/>
            </w:tcMar>
          </w:tcPr>
          <w:p>
            <w:r>
              <w:rPr>
                <w:sz w:val="20"/>
                <w:szCs w:val="20"/>
              </w:rPr>
              <w:t xml:space="preserve">Dechallenge positive; rechallenge with modified regimen without herbal supplement was tolerated</w:t>
            </w:r>
          </w:p>
        </w:tc>
      </w:tr>
    </w:tbl>
    <w:p>
      <w:pPr>
        <w:pStyle w:val="Heading3"/>
        <w:spacing w:after="100" w:before="200"/>
      </w:pPr>
      <w:r>
        <w:t xml:space="preserve">Case Narrative</w:t>
      </w:r>
    </w:p>
    <w:p>
      <w:pPr>
        <w:spacing w:after="200"/>
        <w:jc w:val="both"/>
      </w:pPr>
      <w:r>
        <w:rPr>
          <w:sz w:val="20"/>
          <w:szCs w:val="20"/>
        </w:rPr>
        <w:t xml:space="preserve">This case was identified through routine literature surveillance of a peer-reviewed publication. A 51-year-old female on standard four-drug anti-tubercular therapy self-initiated an Ayurvedic herbal supplement for general wellbeing. Six weeks into concurrent use she developed jaundice, right upper quadrant pain, and markedly elevated transaminases (ALT greater than ten times the upper limit of normal). Anti-tubercular therapy was interrupted and the herbal supplement stopped; liver enzymes normalized over four weeks. Anti-tubercular therapy was subsequently reintroduced without the herbal supplement and was well tolerated, with no recurrence of hepatotoxicity. The published authors and the reviewing assessor concluded that a possible interaction between isoniazid and unidentified constituents of the herbal supplement potentiated hepatotoxic risk, though the specific supplement composition was not independently verified, limiting definitive causality attribution.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2026-07-04T13:30:30.916Z</dcterms:created>
  <dcterms:modified xsi:type="dcterms:W3CDTF">2026-07-04T13:30:30.916Z</dcterms:modified>
</cp:coreProperties>
</file>

<file path=docProps/custom.xml><?xml version="1.0" encoding="utf-8"?>
<Properties xmlns="http://schemas.openxmlformats.org/officeDocument/2006/custom-properties" xmlns:vt="http://schemas.openxmlformats.org/officeDocument/2006/docPropsVTypes"/>
</file>