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Times New Roman" w:eastAsia="黑体" w:hAnsi="Times New Roman"/>
          <w:b/>
          <w:bCs/>
          <w:sz w:val="72"/>
          <w:szCs w:val="72"/>
        </w:rPr>
        <w:t xml:space="preserve">浙 江 大 学</w:t>
      </w:r>
    </w:p>
    <w:p>
      <w:pPr>
        <w:spacing w:after="1400"/>
        <w:jc w:val="center"/>
      </w:pPr>
      <w:r>
        <w:rPr>
          <w:rFonts w:ascii="Times New Roman" w:eastAsia="黑体" w:hAnsi="Times New Roman"/>
          <w:b/>
          <w:bCs/>
          <w:sz w:val="52"/>
          <w:szCs w:val="52"/>
        </w:rPr>
        <w:t xml:space="preserve">本科实验报告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课程名称：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BS 体系软件设计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实验项目：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企业审批系统的设计与实现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学生姓名：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李宇航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学　　号：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3240105750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学　　院：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人工智能学院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系：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人工智能系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专　　业：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人工智能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指导教师：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胡晓军</w:t>
            </w:r>
          </w:p>
        </w:tc>
      </w:tr>
      <w:tr>
        <w:trPr>
          <w:trHeight w:val="620" w:hRule="atLeast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distribute"/>
            </w:pPr>
            <w:r>
              <w:rPr>
                <w:rFonts w:ascii="Times New Roman" w:eastAsia="黑体" w:hAnsi="Times New Roman"/>
                <w:sz w:val="30"/>
                <w:szCs w:val="30"/>
              </w:rPr>
              <w:t xml:space="preserve">报告日期：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rPr>
                <w:sz w:val="30"/>
                <w:szCs w:val="30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企业审批系统的设计与实现</w:t>
      </w:r>
    </w:p>
    <w:p>
      <w:pPr>
        <w:pStyle w:val="Heading1"/>
      </w:pPr>
      <w:r>
        <w:t xml:space="preserve">1. 实验题目与目标</w:t>
      </w:r>
    </w:p>
    <w:p>
      <w:pPr>
        <w:pStyle w:val="Heading2"/>
      </w:pPr>
      <w:r>
        <w:t xml:space="preserve">1.1 实验题目</w:t>
      </w:r>
    </w:p>
    <w:p>
      <w:pPr>
        <w:ind w:firstLine="480"/>
      </w:pPr>
      <w:r>
        <w:t xml:space="preserve">企业审批系统的设计与实现。</w:t>
      </w:r>
    </w:p>
    <w:p>
      <w:pPr>
        <w:pStyle w:val="Heading2"/>
      </w:pPr>
      <w:r>
        <w:t xml:space="preserve">1.2 实验目标</w:t>
      </w:r>
    </w:p>
    <w:p>
      <w:pPr>
        <w:ind w:firstLine="480"/>
      </w:pPr>
      <w:r>
        <w:t xml:space="preserve">本实验围绕企业内部申请、审批和管理需求，完成一套包含 Web 与移动端的 B/S 应用。目标包括：梳理采购、差旅、报销和可配置表单的业务流程；设计组织、权限、流程及业务数据模型；实现有权限边界、状态约束和并发保护的审批服务；提供可运行的前后端、数据库迁移和部署配置；通过自动化测试检查主要业务规则与异常场景。</w:t>
      </w:r>
    </w:p>
    <w:p>
      <w:pPr>
        <w:pStyle w:val="Heading1"/>
      </w:pPr>
      <w:r>
        <w:t xml:space="preserve">2. 系统范围与功能</w:t>
      </w:r>
    </w:p>
    <w:p>
      <w:pPr>
        <w:ind w:firstLine="480"/>
      </w:pPr>
      <w:r>
        <w:t xml:space="preserve">系统支持员工注册、管理员审核、登录和账号维护。员工可保存草稿、提交申请、查看处理进度、撤回进行中的申请，并将被驳回或撤回的申请复制为新草稿。</w:t>
      </w:r>
    </w:p>
    <w:p>
      <w:pPr>
        <w:ind w:firstLine="480"/>
      </w:pPr>
      <w:r>
        <w:t xml:space="preserve">业务类型包括：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采购：</w:t>
      </w:r>
      <w:r>
        <w:t xml:space="preserve"> 采购明细与金额重算、供应商报价比较、拟选供应商和单一来源说明；报价和金额规则由服务端校验。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差旅：</w:t>
      </w:r>
      <w:r>
        <w:t xml:space="preserve"> 行程、起止时间、预算和同行人信息；系统计算自然日天数，并按预算或天数条件决定是否进入企业负责人节点。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报销：</w:t>
      </w:r>
      <w:r>
        <w:t xml:space="preserve"> 费用明细与票据、无票原因，以及与本人已通过采购或差旅申请的关联；同一报销单的票据重复会被拦截，跨单疑似重复会提示财务复核。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自定义申请：</w:t>
      </w:r>
      <w:r>
        <w:t xml:space="preserve"> 管理员设计表单字段和审批节点。初始化数据包含请假、用章模板；模板通过草稿、校验和发布版本管理。</w:t>
      </w:r>
    </w:p>
    <w:p>
      <w:pPr>
        <w:ind w:firstLine="480"/>
      </w:pPr>
      <w:r>
        <w:t xml:space="preserve">审批人处理分配给自己的待办。系统还提供部门、财务和企业统计，站内通知、SSE 推送、邮件投递、待办催办与超时提醒，以及用户、部门、角色、授权、模板、费用类型、系统配置、转办和审计等管理功能。</w:t>
      </w:r>
    </w:p>
    <w:p>
      <w:pPr>
        <w:pStyle w:val="Heading1"/>
      </w:pPr>
      <w:r>
        <w:t xml:space="preserve">3. 总体架构与技术实现</w:t>
      </w:r>
    </w:p>
    <w:p>
      <w:pPr>
        <w:ind w:firstLine="480"/>
      </w:pPr>
      <w:r>
        <w:t xml:space="preserve">系统由后端 API、Web 前端、移动端、关系数据库、对象存储和反向代理组成。接口统一使用 </w:t>
      </w:r>
      <w:r>
        <w:rPr>
          <w:rFonts w:ascii="Consolas" w:eastAsia="宋体" w:hAnsi="Consolas"/>
        </w:rPr>
        <w:t xml:space="preserve">/api</w:t>
      </w:r>
      <w:r>
        <w:t xml:space="preserve"> 前缀。后端以 Controller 接收和校验请求，Service 承载业务事务，Mapper 负责显式 SQL 与数据访问；</w:t>
      </w:r>
      <w:r>
        <w:rPr>
          <w:rFonts w:ascii="Consolas" w:eastAsia="宋体" w:hAnsi="Consolas"/>
        </w:rPr>
        <w:t xml:space="preserve">flow</w:t>
      </w:r>
      <w:r>
        <w:t xml:space="preserve"> 包实现审批路径解析和状态流转，</w:t>
      </w:r>
      <w:r>
        <w:rPr>
          <w:rFonts w:ascii="Consolas" w:eastAsia="宋体" w:hAnsi="Consolas"/>
        </w:rPr>
        <w:t xml:space="preserve">notify</w:t>
      </w:r>
      <w:r>
        <w:t xml:space="preserve"> 包处理通知，</w:t>
      </w:r>
      <w:r>
        <w:rPr>
          <w:rFonts w:ascii="Consolas" w:eastAsia="宋体" w:hAnsi="Consolas"/>
        </w:rPr>
        <w:t xml:space="preserve">job</w:t>
      </w:r>
      <w:r>
        <w:t xml:space="preserve"> 包负责定时清理和超时提醒。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层次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实现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后端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Java 17、Spring Boot 3.3、Spring Security 6、JWT、MyBatis-Plus、Flyway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数据库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PostgreSQL 16；迁移脚本创建结构、约束和基础数据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文件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私有 MinIO 桶；服务端检测、绑定和鉴权后转发下载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Web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Vue 3、TypeScript、Vite、Element Plus、Pinia、Vue Router、ECharts、axios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移动端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uni-app（Vue 3、TypeScript），构建目标为 H5 与微信小程序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部署</w:t>
            </w:r>
          </w:p>
        </w:tc>
        <w:tc>
          <w:tcPr>
            <w:tcW w:type="dxa" w:w="7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t xml:space="preserve">Docker Compose 编排，Nginx 托管 Web/H5 并反向代理 API，Mailpit 用于演示邮件</w:t>
            </w:r>
          </w:p>
        </w:tc>
      </w:tr>
    </w:tbl>
    <w:p>
      <w:pPr>
        <w:spacing w:after="60"/>
      </w:pPr>
    </w:p>
    <w:p>
      <w:pPr>
        <w:ind w:firstLine="480"/>
      </w:pPr>
      <w:r>
        <w:t xml:space="preserve">Web 与移动端共用接口类型和金额工具，但各自实现页面。H5 和微信小程序使用适合窄屏的卡片、分步表单和移动端输入控件。</w:t>
      </w:r>
    </w:p>
    <w:p>
      <w:pPr>
        <w:pStyle w:val="Heading1"/>
      </w:pPr>
      <w:r>
        <w:t xml:space="preserve">4. 数据库设计</w:t>
      </w:r>
    </w:p>
    <w:p>
      <w:pPr>
        <w:ind w:firstLine="480"/>
      </w:pPr>
      <w:r>
        <w:t xml:space="preserve">数据模型按组织与权限、模板与流程、业务明细与附件划分。主要实体包括部门和用户、角色与权限点、数据范围授权、流程模板及其版本、申请及业务明细、流程实例与节点、审批任务、审批日志、附件、通知、审计和幂等记录。</w:t>
      </w:r>
    </w:p>
    <w:p>
      <w:pPr>
        <w:ind w:firstLine="480"/>
      </w:pPr>
      <w:r>
        <w:t xml:space="preserve">金额以整数分保存，避免浮点累计误差；时间字段带时区。模板表单、节点配置和提交时流程快照使用 JSONB。枚举值以字符串及检查约束维护。Flyway 负责版本化迁移，避免以手工改库作为部署步骤。</w:t>
      </w:r>
    </w:p>
    <w:p>
      <w:pPr>
        <w:ind w:firstLine="480"/>
      </w:pPr>
      <w:r>
        <w:t xml:space="preserve">数据库约束参与业务正确性：包括用户名和邮箱不区分大小写的唯一性、同一报销单票据去重、同一流程实例只存在一个活动节点、同一节点同一审批人避免重复待办，以及通知和幂等记录去重。审批日志、管理审计和审批人变更记录采用只追加约束；草稿允许软删除，已提交流程及其记录保留。</w:t>
      </w:r>
    </w:p>
    <w:p>
      <w:pPr>
        <w:pStyle w:val="Heading1"/>
      </w:pPr>
      <w:r>
        <w:t xml:space="preserve">5. 权限与安全</w:t>
      </w:r>
    </w:p>
    <w:p>
      <w:pPr>
        <w:ind w:firstLine="480"/>
      </w:pPr>
      <w:r>
        <w:t xml:space="preserve">权限分为三个维度：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功能权限：</w:t>
      </w:r>
      <w:r>
        <w:t xml:space="preserve"> 由角色及权限点控制接口能力，角色包括员工、部门负责人、财务审批人、企业负责人和系统管理员。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数据范围：</w:t>
      </w:r>
      <w:r>
        <w:t xml:space="preserve"> 用户可查看本人申请、与自己相关的审批申请、本人负责部门范围内的申请，或管理员显式授予的部门/全部范围。详情、附件和列表均由服务端执行授权判断。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审批权：</w:t>
      </w:r>
      <w:r>
        <w:t xml:space="preserve"> 只由当前流程节点上分配给该用户的待办决定，不因持有某审批角色而自动获得所有申请的审批权。</w:t>
      </w:r>
    </w:p>
    <w:p>
      <w:pPr>
        <w:ind w:firstLine="480"/>
      </w:pPr>
      <w:r>
        <w:t xml:space="preserve">管理员角色不含审批权限，默认也不能读业务正文；若获授业务内容读取权限，访问会写入审计日志。系统拒绝自审。无资源查看权时返回资源不存在类结果，减少对申请是否存在的泄露。申请人、所属部门、流程状态和合计金额由服务端确定或重算，不接受客户端覆盖。</w:t>
      </w:r>
    </w:p>
    <w:p>
      <w:pPr>
        <w:ind w:firstLine="480"/>
      </w:pPr>
      <w:r>
        <w:t xml:space="preserve">认证使用 BCrypt 保存密码哈希，访问令牌采用 JWT，刷新令牌轮换并在数据库保存哈希；用户停用、密码或权限变更可使旧令牌失效。上传文件按内容识别 JPEG、PNG、PDF，扩展名需匹配，PDF 会检查主动内容；对象存储桶不公开，下载前由后端检查附件权限。</w:t>
      </w:r>
    </w:p>
    <w:p>
      <w:pPr>
        <w:pStyle w:val="Heading1"/>
      </w:pPr>
      <w:r>
        <w:t xml:space="preserve">6. 审批流程、并发与幂等</w:t>
      </w:r>
    </w:p>
    <w:p>
      <w:pPr>
        <w:ind w:firstLine="480"/>
      </w:pPr>
      <w:r>
        <w:t xml:space="preserve">模板发布时校验表单字段、节点和审批人规则。申请提交时，服务端校验业务数据、重算金额、计算节点条件、解析审批人，并将所用模板版本及审批路径保存为流程快照。只激活首个有效节点；该节点完成后再创建下一节点的待办。单签、会签与或签均受支持。会签要求所有人同意后推进，或签由任一审批人的处理决定节点结果，其他待办随之取消。</w:t>
      </w:r>
    </w:p>
    <w:p>
      <w:pPr>
        <w:ind w:firstLine="480"/>
      </w:pPr>
      <w:r>
        <w:t xml:space="preserve">流程写操作在数据库事务中完成。申请状态更新使用状态、版本和当前节点作为条件，只有更新行数符合预期才继续；随后处理待办、更新节点并写审批日志和通知。申请行和任务的更新顺序保持一致，配合 PostgreSQL 行锁与唯一约束，避免撤回和审批并发造成重复流转。失败操作整体回滚，并以冲突响应提示客户端刷新。</w:t>
      </w:r>
    </w:p>
    <w:p>
      <w:pPr>
        <w:ind w:firstLine="480"/>
      </w:pPr>
      <w:r>
        <w:t xml:space="preserve">提交、批准、驳回、撤回等请求使用 </w:t>
      </w:r>
      <w:r>
        <w:rPr>
          <w:rFonts w:ascii="Consolas" w:eastAsia="宋体" w:hAnsi="Consolas"/>
        </w:rPr>
        <w:t xml:space="preserve">Idempotency-Key</w:t>
      </w:r>
      <w:r>
        <w:t xml:space="preserve">。服务端对用户、键、端点和请求内容建立指纹，在事务级互斥后保存成功响应；相同键和内容可重放原响应，不同内容复用同一键会冲突。数据库版本条件、审批日志唯一约束、待办约束及通知去重为并发重试提供额外保护。</w:t>
      </w:r>
    </w:p>
    <w:p>
      <w:pPr>
        <w:ind w:firstLine="480"/>
      </w:pPr>
      <w:r>
        <w:t xml:space="preserve">流程路径在提交时解析并固化，模板后续发布不会改写已提交申请。此选择提高了审批历史的可解释性，但审批人离职或停用时需管理员填写原因转办。被驳回或撤回的流程作为终态保留，申请人通过复制生成新的申请，不覆盖原审批历史。</w:t>
      </w:r>
    </w:p>
    <w:p>
      <w:pPr>
        <w:pStyle w:val="Heading1"/>
      </w:pPr>
      <w:r>
        <w:t xml:space="preserve">7. 业务实现要点</w:t>
      </w:r>
    </w:p>
    <w:p>
      <w:pPr>
        <w:ind w:firstLine="480"/>
      </w:pPr>
      <w:r>
        <w:t xml:space="preserve">业务服务将通用申请和采购、差旅、报销、自定义表单的校验分开实现。金额以分传递并由服务端计算；差旅时长、预算条件、采购报价、报销明细、票据和关联申请在提交时再次校验。自定义表单按当前模板 Schema 渲染和校验，未定义字段不接受；已发布模板版本不可直接修改。</w:t>
      </w:r>
    </w:p>
    <w:p>
      <w:pPr>
        <w:ind w:firstLine="480"/>
      </w:pPr>
      <w:r>
        <w:t xml:space="preserve">附件先作为临时对象上传，再在草稿保存时绑定到申请。服务端校验上传人、文件类型、大小、哈希和引用归属，下载时通过统一资源权限策略。MinIO 对象写入不属于数据库事务，若后续数据库事务回滚，服务会清理本次新写入的对象。</w:t>
      </w:r>
    </w:p>
    <w:p>
      <w:pPr>
        <w:ind w:firstLine="480"/>
      </w:pPr>
      <w:r>
        <w:t xml:space="preserve">业务事务写入站内通知记录，提交后由 SSE 推送；邮件投递单独记录状态并按策略重试，邮件不包含金额明细和票据内容。管理操作写审计日志，业务审批写只追加审批日志。统计按提交时部门和提交时间归属；通过率以已通过和已驳回申请为分母。</w:t>
      </w:r>
    </w:p>
    <w:p>
      <w:pPr>
        <w:pStyle w:val="Heading1"/>
      </w:pPr>
      <w:r>
        <w:t xml:space="preserve">8. 测试方法与结果</w:t>
      </w:r>
    </w:p>
    <w:p>
      <w:pPr>
        <w:ind w:firstLine="480"/>
      </w:pPr>
      <w:r>
        <w:t xml:space="preserve">测试方法、测试环境、逐项场景和精确用例数量统一见</w:t>
      </w:r>
      <w:r>
        <w:t xml:space="preserve">测试报告</w:t>
      </w:r>
      <w:r>
        <w:t xml:space="preserve">，本文不重复硬编码数量。该报告记录后端 JUnit 5 / Spring Boot Test 与 MockMvc、Web Vitest、移动端 Node test runner 的自动化测试结果，并记录 Web lint/build、移动端类型检查及 H5/微信小程序构建检查结果。</w:t>
      </w:r>
    </w:p>
    <w:p>
      <w:pPr>
        <w:ind w:firstLine="480"/>
      </w:pPr>
      <w:r>
        <w:t xml:space="preserve">测试报告中已记录的后端、Web、移动端自动化测试及静态检查结果均为通过；各模块用例数量和场景明细以测试报告为准。</w:t>
      </w:r>
    </w:p>
    <w:p>
      <w:pPr>
        <w:ind w:firstLine="480"/>
      </w:pPr>
      <w:r>
        <w:t xml:space="preserve">后端集成测试针对 PostgreSQL 16 执行 Flyway 迁移和业务数据准备，重点检查安全边界、条件流转、金额与票据规则、模板版本、通知隔离、并发和幂等。数据库默认由 Testcontainers 启动，没有 Docker 时可用环境变量指定测试服务器；两者都不可用时测试报错而不是跳过。文件存储在集成测试中由 mock 替代，MinIO 的实际上传下载在 Docker Compose 部署验收中检查。</w:t>
      </w:r>
    </w:p>
    <w:p>
      <w:pPr>
        <w:ind w:firstLine="480"/>
      </w:pPr>
      <w:r>
        <w:t xml:space="preserve">真实 PostgreSQL 全套回归已再次通过；Web 用章申请在真实后端上完成了提交、部门审批、印章审核与申请人查看最终结果的跨角色走查，见</w:t>
      </w:r>
      <w:r>
        <w:t xml:space="preserve">验收录像</w:t>
      </w:r>
      <w:r>
        <w:t xml:space="preserve">。移动 H5 验证了登录、完成通知、同单详情与统计图表。Docker Compose 部署已验收：</w:t>
      </w:r>
      <w:r>
        <w:rPr>
          <w:rFonts w:ascii="Consolas" w:eastAsia="宋体" w:hAnsi="Consolas"/>
        </w:rPr>
        <w:t xml:space="preserve">docker compose up -d --build</w:t>
      </w:r>
      <w:r>
        <w:t xml:space="preserve"> 后 5 个常驻服务正常运行（postgres、minio、backend 健康检查通过），minio-init 初始化后成功退出；经 nginx 验证了 Web / H5 页面、登录与 Cookie 续期、附件上传下载（MinIO）、SSE 推送和 Mailpit 收信；数据库运行账号没有建表和修改日志表的权限，MinIO 专用 key 只能访问 </w:t>
      </w:r>
      <w:r>
        <w:rPr>
          <w:rFonts w:ascii="Consolas" w:eastAsia="宋体" w:hAnsi="Consolas"/>
        </w:rPr>
        <w:t xml:space="preserve">eas-files</w:t>
      </w:r>
      <w:r>
        <w:t xml:space="preserve"> 桶；正式部署（profile 留空并设置 </w:t>
      </w:r>
      <w:r>
        <w:rPr>
          <w:rFonts w:ascii="Consolas" w:eastAsia="宋体" w:hAnsi="Consolas"/>
        </w:rPr>
        <w:t xml:space="preserve">EAS_ADMIN_PASSWORD</w:t>
      </w:r>
      <w:r>
        <w:t xml:space="preserve">）只创建引导管理员、不加载演示账号；前面再加一层 HTTPS 反向代理时同源请求正常、跨域请求仍被拒绝。真实微信设备尚未验收。</w:t>
      </w:r>
    </w:p>
    <w:p>
      <w:pPr>
        <w:pStyle w:val="Heading1"/>
      </w:pPr>
      <w:r>
        <w:t xml:space="preserve">9. 部署方式</w:t>
      </w:r>
    </w:p>
    <w:p>
      <w:pPr>
        <w:ind w:firstLine="480"/>
      </w:pPr>
      <w:r>
        <w:t xml:space="preserve">仓库提供 </w:t>
      </w:r>
      <w:r>
        <w:rPr>
          <w:rFonts w:ascii="Consolas" w:eastAsia="宋体" w:hAnsi="Consolas"/>
        </w:rPr>
        <w:t xml:space="preserve">template.env</w:t>
      </w:r>
      <w:r>
        <w:t xml:space="preserve">，部署时复制为 </w:t>
      </w:r>
      <w:r>
        <w:rPr>
          <w:rFonts w:ascii="Consolas" w:eastAsia="宋体" w:hAnsi="Consolas"/>
        </w:rPr>
        <w:t xml:space="preserve">.env</w:t>
      </w:r>
      <w:r>
        <w:t xml:space="preserve"> 并填写数据库密码、MinIO 凭据和 JWT 密钥，然后在项目根目录构建并启动 Compose 服务：</w:t>
      </w:r>
    </w:p>
    <w:p>
      <w:pPr>
        <w:shd w:fill="F4F6F8" w:color="auto" w:val="clear"/>
        <w:spacing w:after="0" w:before="80" w:line="280"/>
        <w:ind w:left="200"/>
      </w:pPr>
      <w:r>
        <w:rPr>
          <w:rFonts w:ascii="Consolas" w:eastAsia="宋体" w:hAnsi="Consolas"/>
          <w:sz w:val="20"/>
          <w:szCs w:val="20"/>
        </w:rPr>
        <w:t xml:space="preserve">cp template.env .env</w:t>
      </w:r>
    </w:p>
    <w:p>
      <w:pPr>
        <w:shd w:fill="F4F6F8" w:color="auto" w:val="clear"/>
        <w:spacing w:after="120" w:before="0" w:line="280"/>
        <w:ind w:left="200"/>
      </w:pPr>
      <w:r>
        <w:rPr>
          <w:rFonts w:ascii="Consolas" w:eastAsia="宋体" w:hAnsi="Consolas"/>
          <w:sz w:val="20"/>
          <w:szCs w:val="20"/>
        </w:rPr>
        <w:t xml:space="preserve">docker compose up -d --build</w:t>
      </w:r>
    </w:p>
    <w:p>
      <w:pPr>
        <w:ind w:firstLine="480"/>
      </w:pPr>
      <w:r>
        <w:t xml:space="preserve">Compose 配置包括 PostgreSQL、MinIO 初始化、Mailpit、后端和 Nginx。数据库由 </w:t>
      </w:r>
      <w:r>
        <w:rPr>
          <w:rFonts w:ascii="Consolas" w:eastAsia="宋体" w:hAnsi="Consolas"/>
        </w:rPr>
        <w:t xml:space="preserve">eas_owner</w:t>
      </w:r>
      <w:r>
        <w:t xml:space="preserve"> 执行 Flyway 迁移，应用以仅具备日常数据操作权限的 </w:t>
      </w:r>
      <w:r>
        <w:rPr>
          <w:rFonts w:ascii="Consolas" w:eastAsia="宋体" w:hAnsi="Consolas"/>
        </w:rPr>
        <w:t xml:space="preserve">eas_app</w:t>
      </w:r>
      <w:r>
        <w:t xml:space="preserve"> 连接；MinIO 使用仅访问应用私有桶的专用凭据。Nginx 对外提供 Web 根路径和移动 H5 </w:t>
      </w:r>
      <w:r>
        <w:rPr>
          <w:rFonts w:ascii="Consolas" w:eastAsia="宋体" w:hAnsi="Consolas"/>
        </w:rPr>
        <w:t xml:space="preserve">/m/</w:t>
      </w:r>
      <w:r>
        <w:t xml:space="preserve">，并将 </w:t>
      </w:r>
      <w:r>
        <w:rPr>
          <w:rFonts w:ascii="Consolas" w:eastAsia="宋体" w:hAnsi="Consolas"/>
        </w:rPr>
        <w:t xml:space="preserve">/api/</w:t>
      </w:r>
      <w:r>
        <w:t xml:space="preserve"> 转发至后端；Mailpit 演示收件箱使用 8025 端口。演示配置可载入演示账号、模板和示例申请。</w:t>
      </w:r>
    </w:p>
    <w:p>
      <w:pPr>
        <w:ind w:firstLine="480"/>
      </w:pPr>
      <w:r>
        <w:t xml:space="preserve">该方案已按上述步骤完成部署验收（常驻服务运行正常、初始化任务成功退出，Web / H5、登录续期、附件上传下载、SSE、邮件和最小权限账号均已检查）。MinIO 官方已不再发布镜像，</w:t>
      </w:r>
      <w:r>
        <w:rPr>
          <w:rFonts w:ascii="Consolas" w:eastAsia="宋体" w:hAnsi="Consolas"/>
        </w:rPr>
        <w:t xml:space="preserve">minio/Dockerfile</w:t>
      </w:r>
      <w:r>
        <w:t xml:space="preserve"> 从固定提交的源码编译，首次构建需要几分钟。数据卷初始化脚本只在 PostgreSQL 数据卷首次建立时运行，重置或修改初始化凭据时需按部署文档处理现有卷。</w:t>
      </w:r>
    </w:p>
    <w:p>
      <w:pPr>
        <w:pStyle w:val="Heading1"/>
      </w:pPr>
      <w:r>
        <w:t xml:space="preserve">10. 已知局限与后续工作</w:t>
      </w:r>
    </w:p>
    <w:p>
      <w:pPr>
        <w:pStyle w:val="ListParagraph"/>
        <w:numPr>
          <w:ilvl w:val="0"/>
          <w:numId w:val="2"/>
        </w:numPr>
      </w:pPr>
      <w:r>
        <w:t xml:space="preserve">集成测试用 mock 替代文件存储；MinIO 上传下载已在部署验收中检查，写入失败时的回滚清理和数据卷持久性还需补充验证。</w:t>
      </w:r>
    </w:p>
    <w:p>
      <w:pPr>
        <w:pStyle w:val="ListParagraph"/>
        <w:numPr>
          <w:ilvl w:val="0"/>
          <w:numId w:val="2"/>
        </w:numPr>
      </w:pPr>
      <w:r>
        <w:t xml:space="preserve">真实微信设备尚未验收；小程序 appid 未填写，正式发布还需符合 HTTPS 合法域名等平台要求。</w:t>
      </w:r>
    </w:p>
    <w:p>
      <w:pPr>
        <w:pStyle w:val="ListParagraph"/>
        <w:numPr>
          <w:ilvl w:val="0"/>
          <w:numId w:val="2"/>
        </w:numPr>
      </w:pPr>
      <w:r>
        <w:t xml:space="preserve">流程审批人按提交时状态解析并固化，组织调整不会自动改写在途申请，需要管理员转办；跨申请重复票据只提示，不自动阻断。</w:t>
      </w:r>
    </w:p>
    <w:p>
      <w:pPr>
        <w:pStyle w:val="ListParagraph"/>
        <w:numPr>
          <w:ilvl w:val="0"/>
          <w:numId w:val="2"/>
        </w:numPr>
      </w:pPr>
      <w:r>
        <w:t xml:space="preserve">后续可补充部署备份恢复、监控告警和负载评估，并将真实部署、移动设备走查和人工验收记录纳入交付材料。</w:t>
      </w:r>
    </w:p>
    <w:p>
      <w:pPr>
        <w:pStyle w:val="Heading1"/>
      </w:pPr>
      <w:r>
        <w:t xml:space="preserve">11. 资料依据</w:t>
      </w:r>
    </w:p>
    <w:p>
      <w:pPr>
        <w:pStyle w:val="ListParagraph"/>
        <w:numPr>
          <w:ilvl w:val="0"/>
          <w:numId w:val="2"/>
        </w:numPr>
      </w:pPr>
      <w:r>
        <w:t xml:space="preserve">项目说明与运行方式</w:t>
      </w:r>
    </w:p>
    <w:p>
      <w:pPr>
        <w:pStyle w:val="ListParagraph"/>
        <w:numPr>
          <w:ilvl w:val="0"/>
          <w:numId w:val="2"/>
        </w:numPr>
      </w:pPr>
      <w:r>
        <w:t xml:space="preserve">系统设计文档</w:t>
      </w:r>
    </w:p>
    <w:p>
      <w:pPr>
        <w:pStyle w:val="ListParagraph"/>
        <w:numPr>
          <w:ilvl w:val="0"/>
          <w:numId w:val="2"/>
        </w:numPr>
      </w:pPr>
      <w:r>
        <w:t xml:space="preserve">测试报告</w:t>
      </w:r>
    </w:p>
    <w:p>
      <w:pPr>
        <w:pStyle w:val="ListParagraph"/>
        <w:numPr>
          <w:ilvl w:val="0"/>
          <w:numId w:val="2"/>
        </w:numPr>
      </w:pPr>
      <w:r>
        <w:t xml:space="preserve">使用手册</w:t>
      </w:r>
    </w:p>
    <w:p>
      <w:pPr>
        <w:pStyle w:val="ListParagraph"/>
        <w:numPr>
          <w:ilvl w:val="0"/>
          <w:numId w:val="2"/>
        </w:numPr>
      </w:pPr>
      <w:r>
        <w:t xml:space="preserve">开发交接记录（归档）</w:t>
      </w:r>
    </w:p>
    <w:p>
      <w:pPr>
        <w:pStyle w:val="ListParagraph"/>
        <w:numPr>
          <w:ilvl w:val="0"/>
          <w:numId w:val="2"/>
        </w:numPr>
      </w:pPr>
      <w:r>
        <w:t xml:space="preserve">后端实现：</w:t>
      </w:r>
      <w:r>
        <w:t xml:space="preserve">FlowEngine.java</w:t>
      </w:r>
      <w:r>
        <w:t xml:space="preserve">、</w:t>
      </w:r>
      <w:r>
        <w:t xml:space="preserve">IdempotencyService.java</w:t>
      </w:r>
      <w:r>
        <w:t xml:space="preserve">、</w:t>
      </w:r>
      <w:r>
        <w:t xml:space="preserve">AccessPolicy.java</w:t>
      </w:r>
      <w:r>
        <w:t xml:space="preserve">、</w:t>
      </w:r>
      <w:r>
        <w:t xml:space="preserve">FileService.java</w:t>
      </w:r>
      <w:r>
        <w:t xml:space="preserve">；数据库迁移位于 </w:t>
      </w:r>
      <w:r>
        <w:rPr>
          <w:rFonts w:ascii="Consolas" w:eastAsia="宋体" w:hAnsi="Consolas"/>
        </w:rPr>
        <w:t xml:space="preserve">backend/src/main/resources/db/migration/</w:t>
      </w:r>
      <w:r>
        <w:t xml:space="preserve">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after="8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eastAsia="黑体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eastAsia="黑体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2026-10-16T08:51:59.233Z</dcterms:created>
  <dcterms:modified xsi:type="dcterms:W3CDTF">2026-10-16T08:51:59.233Z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