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4452B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CA02F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4452BB">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6E03C04"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69388E">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 xml:space="preserve">Lastenheft </w:t>
                              </w:r>
                              <w:proofErr w:type="spellStart"/>
                              <w:r w:rsidR="003053D2">
                                <w:rPr>
                                  <w:rStyle w:val="TitelZchn"/>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2A1630">
          <w:pPr>
            <w:rPr>
              <w:rFonts w:ascii="Arial" w:eastAsiaTheme="majorEastAsia" w:hAnsi="Arial"/>
              <w:b/>
              <w:color w:val="2E74B5" w:themeColor="accent1" w:themeShade="BF"/>
              <w:sz w:val="32"/>
              <w:szCs w:val="29"/>
            </w:rPr>
          </w:pPr>
          <w:r>
            <w:rPr>
              <w:noProof/>
              <w:lang w:eastAsia="de-DE" w:bidi="ar-SA"/>
            </w:rPr>
            <w:drawing>
              <wp:anchor distT="0" distB="0" distL="114300" distR="114300" simplePos="0" relativeHeight="251671552" behindDoc="1" locked="0" layoutInCell="1" allowOverlap="1" wp14:anchorId="7B0EE04E" wp14:editId="04C0089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7EE"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3209B513" wp14:editId="3974795D">
                    <wp:simplePos x="0" y="0"/>
                    <wp:positionH relativeFrom="column">
                      <wp:posOffset>225617</wp:posOffset>
                    </wp:positionH>
                    <wp:positionV relativeFrom="paragraph">
                      <wp:posOffset>1219820</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1CEFCE" id="Textfeld 2" o:spid="_x0000_s1029" type="#_x0000_t202" style="position:absolute;margin-left:17.75pt;margin-top:96.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00F367EE"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4460A7FF" wp14:editId="4B19B8DA">
                    <wp:simplePos x="0" y="0"/>
                    <wp:positionH relativeFrom="column">
                      <wp:posOffset>3255660</wp:posOffset>
                    </wp:positionH>
                    <wp:positionV relativeFrom="paragraph">
                      <wp:posOffset>1199027</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21A222" id="_x0000_s1030" type="#_x0000_t202" style="position:absolute;margin-left:256.35pt;margin-top:94.4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607583" w:rsidRPr="00035994">
            <w:rPr>
              <w:rFonts w:ascii="Arial" w:hAnsi="Arial"/>
              <w:noProof/>
              <w:lang w:eastAsia="de-DE" w:bidi="ar-SA"/>
            </w:rPr>
            <w:drawing>
              <wp:anchor distT="0" distB="0" distL="114300" distR="114300" simplePos="0" relativeHeight="251664384" behindDoc="1" locked="0" layoutInCell="1" allowOverlap="1" wp14:anchorId="34D56D85" wp14:editId="7AD7577D">
                <wp:simplePos x="0" y="0"/>
                <wp:positionH relativeFrom="margin">
                  <wp:align>left</wp:align>
                </wp:positionH>
                <wp:positionV relativeFrom="paragraph">
                  <wp:posOffset>1871403</wp:posOffset>
                </wp:positionV>
                <wp:extent cx="2947846" cy="1840675"/>
                <wp:effectExtent l="0" t="0" r="5080" b="7620"/>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846" cy="18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bookmarkStart w:id="0" w:name="_GoBack" w:displacedByCustomXml="next"/>
        <w:bookmarkEnd w:id="0" w:displacedByCustomXml="next"/>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4452BB">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4452BB">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4452BB">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4452BB">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4452BB">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4452BB">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4452BB">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4452BB">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4452BB">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1"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1"/>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2" w:name="_Toc468004615"/>
      <w:r w:rsidRPr="004A4EDD">
        <w:t xml:space="preserve">1. </w:t>
      </w:r>
      <w:r w:rsidR="002160C5" w:rsidRPr="008F5412">
        <w:t>Allgemeine</w:t>
      </w:r>
      <w:r w:rsidR="002160C5" w:rsidRPr="004A4EDD">
        <w:t xml:space="preserve"> Informationen zum zu entwickelnden Produkt</w:t>
      </w:r>
      <w:bookmarkEnd w:id="2"/>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3" w:name="_Toc468004616"/>
      <w:r w:rsidRPr="00511766">
        <w:t>a.</w:t>
      </w:r>
      <w:r w:rsidR="002160C5" w:rsidRPr="00511766">
        <w:t xml:space="preserve"> Kurzbeschreibung des Produkts</w:t>
      </w:r>
      <w:bookmarkEnd w:id="3"/>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4"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4"/>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5" w:name="_Toc468004618"/>
      <w:r w:rsidRPr="004A4EDD">
        <w:rPr>
          <w:rFonts w:cs="Arial"/>
        </w:rPr>
        <w:t xml:space="preserve">2. </w:t>
      </w:r>
      <w:r w:rsidR="00CB1E08" w:rsidRPr="004A4EDD">
        <w:rPr>
          <w:rFonts w:cs="Arial"/>
        </w:rPr>
        <w:t>Visionen und Ziele</w:t>
      </w:r>
      <w:bookmarkEnd w:id="5"/>
    </w:p>
    <w:p w:rsidR="00E3779C" w:rsidRPr="004A4EDD" w:rsidRDefault="00E3779C" w:rsidP="00E3779C">
      <w:pPr>
        <w:pStyle w:val="berschrift3"/>
        <w:rPr>
          <w:rFonts w:cs="Arial"/>
        </w:rPr>
      </w:pPr>
      <w:bookmarkStart w:id="6" w:name="_Toc468004619"/>
      <w:r w:rsidRPr="004A4EDD">
        <w:rPr>
          <w:rFonts w:cs="Arial"/>
        </w:rPr>
        <w:t>a. Vision</w:t>
      </w:r>
      <w:bookmarkEnd w:id="6"/>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7" w:name="_Toc468004620"/>
      <w:r w:rsidRPr="004A4EDD">
        <w:rPr>
          <w:rFonts w:cs="Arial"/>
        </w:rPr>
        <w:t>b. Ziele</w:t>
      </w:r>
      <w:bookmarkEnd w:id="7"/>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8" w:name="_Toc468004621"/>
      <w:r w:rsidRPr="004A4EDD">
        <w:rPr>
          <w:rFonts w:ascii="Arial" w:hAnsi="Arial" w:cs="Arial"/>
        </w:rPr>
        <w:t>aa. Meilenstein I</w:t>
      </w:r>
      <w:bookmarkEnd w:id="8"/>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9" w:name="_Toc468004622"/>
      <w:r w:rsidRPr="004A4EDD">
        <w:rPr>
          <w:rFonts w:ascii="Arial" w:hAnsi="Arial" w:cs="Arial"/>
        </w:rPr>
        <w:t>(1) Statusbericht</w:t>
      </w:r>
      <w:bookmarkEnd w:id="9"/>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10" w:name="_Toc468004623"/>
      <w:r w:rsidRPr="004A4EDD">
        <w:rPr>
          <w:rFonts w:ascii="Arial" w:hAnsi="Arial" w:cs="Arial"/>
        </w:rPr>
        <w:lastRenderedPageBreak/>
        <w:t>(2) Lastenheft</w:t>
      </w:r>
      <w:bookmarkEnd w:id="10"/>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1" w:name="_Toc468004624"/>
      <w:r w:rsidRPr="004A4EDD">
        <w:rPr>
          <w:rFonts w:ascii="Arial" w:hAnsi="Arial" w:cs="Arial"/>
        </w:rPr>
        <w:t>(3) Lauffähiger Prototyp</w:t>
      </w:r>
      <w:bookmarkEnd w:id="11"/>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2" w:name="_Toc468004625"/>
      <w:r w:rsidRPr="004A4EDD">
        <w:rPr>
          <w:rFonts w:ascii="Arial" w:hAnsi="Arial" w:cs="Arial"/>
        </w:rPr>
        <w:t>bb. Meilenstein II</w:t>
      </w:r>
      <w:bookmarkEnd w:id="12"/>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3" w:name="_Toc468004626"/>
      <w:r w:rsidRPr="004A4EDD">
        <w:rPr>
          <w:rFonts w:ascii="Arial" w:hAnsi="Arial" w:cs="Arial"/>
        </w:rPr>
        <w:t>(1) Statusbericht</w:t>
      </w:r>
      <w:bookmarkEnd w:id="13"/>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4" w:name="_Toc468004627"/>
      <w:r w:rsidRPr="004A4EDD">
        <w:rPr>
          <w:rFonts w:ascii="Arial" w:hAnsi="Arial" w:cs="Arial"/>
        </w:rPr>
        <w:t>(2) Pflichtenheft</w:t>
      </w:r>
      <w:bookmarkEnd w:id="14"/>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5" w:name="_Toc468004628"/>
      <w:r w:rsidRPr="004A4EDD">
        <w:rPr>
          <w:rFonts w:ascii="Arial" w:hAnsi="Arial" w:cs="Arial"/>
        </w:rPr>
        <w:t>(3) Lauffähige Web-Applikation</w:t>
      </w:r>
      <w:bookmarkEnd w:id="15"/>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6" w:name="_Toc468004629"/>
      <w:r w:rsidRPr="004A4EDD">
        <w:rPr>
          <w:rFonts w:cs="Arial"/>
        </w:rPr>
        <w:t>3</w:t>
      </w:r>
      <w:r w:rsidR="00DA63D8" w:rsidRPr="004A4EDD">
        <w:rPr>
          <w:rFonts w:cs="Arial"/>
        </w:rPr>
        <w:t>. Stakeholder</w:t>
      </w:r>
      <w:bookmarkEnd w:id="16"/>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 xml:space="preserve">der Schüler vom </w:t>
      </w:r>
      <w:r w:rsidRPr="004A4EDD">
        <w:rPr>
          <w:rFonts w:ascii="Arial" w:hAnsi="Arial"/>
        </w:rPr>
        <w:lastRenderedPageBreak/>
        <w:t>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7"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7"/>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8" w:name="_Toc468004631"/>
      <w:r w:rsidRPr="004A4EDD">
        <w:rPr>
          <w:rFonts w:cs="Arial"/>
        </w:rPr>
        <w:t>a. Zwingende Mindestanforderungen – Version 1.0</w:t>
      </w:r>
      <w:bookmarkEnd w:id="18"/>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9" w:name="_Toc468004632"/>
      <w:r w:rsidRPr="004A4EDD">
        <w:rPr>
          <w:rFonts w:cs="Arial"/>
        </w:rPr>
        <w:t>b. Weitergehende Implementierungsmöglichkeiten – Version 2.0</w:t>
      </w:r>
      <w:bookmarkEnd w:id="19"/>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C50D10" w:rsidRPr="004A4EDD" w:rsidRDefault="00C50D10" w:rsidP="00E3779C">
      <w:pPr>
        <w:pStyle w:val="berschrift3"/>
        <w:rPr>
          <w:rFonts w:cs="Arial"/>
        </w:rPr>
      </w:pPr>
      <w:bookmarkStart w:id="20" w:name="_Toc468004633"/>
      <w:r w:rsidRPr="004A4EDD">
        <w:rPr>
          <w:rFonts w:cs="Arial"/>
        </w:rPr>
        <w:lastRenderedPageBreak/>
        <w:t>c. Grenzen des Systems</w:t>
      </w:r>
      <w:bookmarkEnd w:id="20"/>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1"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1"/>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2" w:name="_Toc468004635"/>
      <w:r w:rsidRPr="004A4EDD">
        <w:rPr>
          <w:rFonts w:cs="Arial"/>
        </w:rPr>
        <w:t>a. Funktionalität</w:t>
      </w:r>
      <w:bookmarkEnd w:id="22"/>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3" w:name="_Toc468004636"/>
      <w:r w:rsidRPr="004A4EDD">
        <w:rPr>
          <w:rFonts w:cs="Arial"/>
        </w:rPr>
        <w:t>b. Zuverlässigkeit</w:t>
      </w:r>
      <w:bookmarkEnd w:id="23"/>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4" w:name="_Toc468004637"/>
      <w:r w:rsidRPr="004A4EDD">
        <w:rPr>
          <w:rFonts w:cs="Arial"/>
        </w:rPr>
        <w:t>c. Benutzbarkeit</w:t>
      </w:r>
      <w:bookmarkEnd w:id="24"/>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5" w:name="_Toc468004638"/>
      <w:r w:rsidRPr="004A4EDD">
        <w:rPr>
          <w:rFonts w:cs="Arial"/>
        </w:rPr>
        <w:t>d. Änderbarkeit</w:t>
      </w:r>
      <w:bookmarkEnd w:id="25"/>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6" w:name="_Toc468004639"/>
      <w:r w:rsidRPr="004A4EDD">
        <w:rPr>
          <w:rFonts w:cs="Arial"/>
        </w:rPr>
        <w:lastRenderedPageBreak/>
        <w:t>e. Übertragbarkeit</w:t>
      </w:r>
      <w:bookmarkEnd w:id="26"/>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7" w:name="_Toc46800464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7"/>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8" w:name="_Toc468004641"/>
      <w:r>
        <w:rPr>
          <w:rFonts w:cs="Arial"/>
        </w:rPr>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004642"/>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30" w:name="_Toc468004643"/>
      <w:r w:rsidRPr="004A4EDD">
        <w:rPr>
          <w:rFonts w:cs="Arial"/>
        </w:rPr>
        <w:t>aa. Geschäftsprozesslandkarte</w:t>
      </w:r>
      <w:bookmarkEnd w:id="30"/>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B77F48"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6085840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2816" w:rsidRPr="004A4EDD" w:rsidRDefault="00472816">
      <w:pPr>
        <w:rPr>
          <w:rFonts w:ascii="Arial" w:eastAsiaTheme="majorEastAsia" w:hAnsi="Arial"/>
          <w:color w:val="1F4D78" w:themeColor="accent1" w:themeShade="7F"/>
          <w:szCs w:val="21"/>
        </w:rPr>
      </w:pPr>
      <w:r w:rsidRPr="004A4EDD">
        <w:rPr>
          <w:rFonts w:ascii="Arial" w:hAnsi="Arial"/>
        </w:rPr>
        <w:br w:type="page"/>
      </w:r>
    </w:p>
    <w:p w:rsidR="00C50D10" w:rsidRPr="004A4EDD" w:rsidRDefault="00433317" w:rsidP="00793170">
      <w:pPr>
        <w:pStyle w:val="berschrift3"/>
        <w:rPr>
          <w:rFonts w:cs="Arial"/>
        </w:rPr>
      </w:pPr>
      <w:bookmarkStart w:id="31" w:name="_Toc468004644"/>
      <w:r w:rsidRPr="004A4EDD">
        <w:rPr>
          <w:rFonts w:cs="Arial"/>
        </w:rPr>
        <w:lastRenderedPageBreak/>
        <w:t>bb. Textuelle</w:t>
      </w:r>
      <w:r w:rsidR="00C50D10" w:rsidRPr="004A4EDD">
        <w:rPr>
          <w:rFonts w:cs="Arial"/>
        </w:rPr>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B77F48" w:rsidRDefault="00B77F48">
      <w:pPr>
        <w:rPr>
          <w:rFonts w:ascii="Arial" w:eastAsiaTheme="majorEastAsia" w:hAnsi="Arial"/>
          <w:b/>
          <w:color w:val="2E74B5" w:themeColor="accent1" w:themeShade="BF"/>
          <w:sz w:val="26"/>
          <w:szCs w:val="23"/>
        </w:rPr>
      </w:pPr>
      <w:bookmarkStart w:id="32" w:name="_Toc468004645"/>
      <w:r>
        <w:br w:type="page"/>
      </w:r>
    </w:p>
    <w:p w:rsidR="00C50D10" w:rsidRPr="00B8006E" w:rsidRDefault="00A96701" w:rsidP="00D51CF8">
      <w:pPr>
        <w:pStyle w:val="berschrift2"/>
        <w:rPr>
          <w:rFonts w:cs="Arial"/>
        </w:rPr>
      </w:pPr>
      <w:r>
        <w:rPr>
          <w:rFonts w:cs="Arial"/>
        </w:rPr>
        <w:lastRenderedPageBreak/>
        <w:t>b. Anwendungsfä</w:t>
      </w:r>
      <w:r w:rsidR="00C50D10" w:rsidRPr="00B8006E">
        <w:rPr>
          <w:rFonts w:cs="Arial"/>
        </w:rPr>
        <w:t>ll</w:t>
      </w:r>
      <w:bookmarkEnd w:id="32"/>
      <w:r>
        <w:rPr>
          <w:rFonts w:cs="Arial"/>
        </w:rPr>
        <w:t>e</w:t>
      </w:r>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r>
        <w:t xml:space="preserve">aa.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4" o:title=""/>
          </v:shape>
          <o:OLEObject Type="Embed" ProgID="Visio.Drawing.15" ShapeID="_x0000_i1025" DrawAspect="Content" ObjectID="_1541754515" r:id="rId15"/>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5361B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 xml:space="preserve">Der Lehrer hat die Optionen Fragen zu verwalten, d.h. Fragen und Antworten ändern, </w:t>
      </w:r>
      <w:r w:rsidRPr="00FB0F15">
        <w:rPr>
          <w:rFonts w:ascii="Arial" w:hAnsi="Arial"/>
        </w:rPr>
        <w:lastRenderedPageBreak/>
        <w:t>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r>
        <w:t>c. Fachklassendiagramm</w:t>
      </w:r>
    </w:p>
    <w:p w:rsidR="00A63AE1" w:rsidRPr="002F4D15" w:rsidRDefault="002F4D15" w:rsidP="00A63AE1">
      <w:pPr>
        <w:rPr>
          <w:rFonts w:ascii="Arial" w:hAnsi="Arial"/>
          <w:i/>
        </w:rPr>
      </w:pPr>
      <w:r w:rsidRPr="002F4D15">
        <w:rPr>
          <w:rFonts w:ascii="Arial" w:hAnsi="Arial"/>
          <w:i/>
        </w:rPr>
        <w:t>bearbeitet von Fernando Pfennig</w:t>
      </w:r>
    </w:p>
    <w:p w:rsidR="001C2F1D" w:rsidRPr="00A63AE1" w:rsidRDefault="00B77F48" w:rsidP="00964C97">
      <w:pPr>
        <w:ind w:left="-567"/>
      </w:pPr>
      <w:r>
        <w:object w:dxaOrig="22831" w:dyaOrig="19216">
          <v:shape id="_x0000_i1026" type="#_x0000_t75" style="width:553.65pt;height:521.7pt" o:ole="">
            <v:imagedata r:id="rId16" o:title=""/>
          </v:shape>
          <o:OLEObject Type="Embed" ProgID="Visio.Drawing.15" ShapeID="_x0000_i1026" DrawAspect="Content" ObjectID="_1541754516" r:id="rId17"/>
        </w:object>
      </w:r>
    </w:p>
    <w:p w:rsidR="00B77F48" w:rsidRDefault="00B77F48">
      <w:pPr>
        <w:rPr>
          <w:rFonts w:ascii="Arial" w:eastAsiaTheme="majorEastAsia" w:hAnsi="Arial"/>
          <w:b/>
          <w:color w:val="2E74B5" w:themeColor="accent1" w:themeShade="BF"/>
          <w:sz w:val="32"/>
          <w:szCs w:val="29"/>
        </w:rPr>
      </w:pPr>
      <w:bookmarkStart w:id="33" w:name="_Toc468004646"/>
      <w:r>
        <w:rPr>
          <w:rFonts w:ascii="Arial" w:hAnsi="Arial"/>
        </w:rPr>
        <w:br w:type="page"/>
      </w:r>
    </w:p>
    <w:p w:rsidR="000B6DBC" w:rsidRPr="004A4EDD" w:rsidRDefault="00611728" w:rsidP="00611728">
      <w:pPr>
        <w:pStyle w:val="berschrift1"/>
        <w:rPr>
          <w:rFonts w:ascii="Arial" w:hAnsi="Arial" w:cs="Arial"/>
        </w:rPr>
      </w:pPr>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8"/>
      <w:footerReference w:type="default" r:id="rId19"/>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2BB" w:rsidRDefault="004452BB">
      <w:r>
        <w:separator/>
      </w:r>
    </w:p>
  </w:endnote>
  <w:endnote w:type="continuationSeparator" w:id="0">
    <w:p w:rsidR="004452BB" w:rsidRDefault="00445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2A1630">
          <w:rPr>
            <w:noProof/>
          </w:rPr>
          <w:t>10</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2BB" w:rsidRDefault="004452BB">
      <w:r>
        <w:rPr>
          <w:color w:val="000000"/>
        </w:rPr>
        <w:separator/>
      </w:r>
    </w:p>
  </w:footnote>
  <w:footnote w:type="continuationSeparator" w:id="0">
    <w:p w:rsidR="004452BB" w:rsidRDefault="004452BB">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35994"/>
    <w:rsid w:val="00061614"/>
    <w:rsid w:val="00067887"/>
    <w:rsid w:val="000703C6"/>
    <w:rsid w:val="000740F9"/>
    <w:rsid w:val="00094B7D"/>
    <w:rsid w:val="000B6DBC"/>
    <w:rsid w:val="00104AFB"/>
    <w:rsid w:val="00130191"/>
    <w:rsid w:val="00131609"/>
    <w:rsid w:val="001425E3"/>
    <w:rsid w:val="00142F7C"/>
    <w:rsid w:val="00147BC5"/>
    <w:rsid w:val="00163D28"/>
    <w:rsid w:val="00167B15"/>
    <w:rsid w:val="001733AE"/>
    <w:rsid w:val="00185E5A"/>
    <w:rsid w:val="001A6DDC"/>
    <w:rsid w:val="001B6583"/>
    <w:rsid w:val="001C12F6"/>
    <w:rsid w:val="001C2F1D"/>
    <w:rsid w:val="001E64CA"/>
    <w:rsid w:val="001F710B"/>
    <w:rsid w:val="002010E0"/>
    <w:rsid w:val="002017DE"/>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52987"/>
    <w:rsid w:val="00382CA7"/>
    <w:rsid w:val="00391F56"/>
    <w:rsid w:val="003A16C7"/>
    <w:rsid w:val="003E4404"/>
    <w:rsid w:val="003F238D"/>
    <w:rsid w:val="003F2E96"/>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61BB"/>
    <w:rsid w:val="00554752"/>
    <w:rsid w:val="0057742F"/>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250069-840F-4709-878F-071D70E2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2602</Words>
  <Characters>16399</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Fernando Francisco Pfennig</cp:lastModifiedBy>
  <cp:revision>169</cp:revision>
  <dcterms:created xsi:type="dcterms:W3CDTF">2016-11-13T10:24:00Z</dcterms:created>
  <dcterms:modified xsi:type="dcterms:W3CDTF">2016-11-27T11:22:00Z</dcterms:modified>
</cp:coreProperties>
</file>