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template pago para Sensata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ay"/>
        <w:ind w:left="0"/>
      </w:pPr>
      <w:r>
        <w:t>Standard: Modulo 3. Muchas gracias por su participación. (6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Modulo 3. Muchas gracias por su participación.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Muchas gracias por su participación. ¿Cómo le gustaría recibir su pago?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Usando Nequi. Usted debe tener su celular registrado en Nequi. Usted recibe su pago en 1 día.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Usando Daviplata. Usted recibe su pago en 1 día.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Consignado a mi teléfono celular. Usted recibe su pago en 1 día. Recibirá un mensaje en SMS y usted tiene 24 para aceptar el dinero en alguna de las entidades financieras vinculadas a Transfiya.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Usando consignación bancaria. Usted recibe su pago en 3 días.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Muchas gracias por su participación. ¿Cómo le gustaría recibir su pago? = Usando Nequi. Usted debe tener su celular registrado en Nequi. Usted recibe su pago en 1 día.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Usted escogió recibir su pago vía Nequi. Necesitamos la siguiente información: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Número de celular  (1)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Cédula de ciudadanía  (2) 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Muchas gracias por su participación. ¿Cómo le gustaría recibir su pago? = Usando Daviplata. Usted recibe su pago en 1 día.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Usted escogió recibir su pago vía Daviplata. Necesitamos la siguiente información: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Número de celular  (1)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Cédula de ciudadanía  (2) 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Muchas gracias por su participación. ¿Cómo le gustaría recibir su pago? = Consignado a mi teléfono celular. Usted recibe su pago en 1 día. Recibirá un mensaje en SMS y usted tiene 24 para aceptar el dinero en alguna de las entidades financieras vinculadas a Transfiya.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Usted escogió recibir su pago consignado a su teléfono celular. Recibirá un mensaje en SMS y usted tiene 24 para aceptar el dinero en alguna de las entidades financieras vinculadas a Transfiya.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Número de celular  (1)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Cédula de ciudadanía  (2)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Nombres completos  (3)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Apellidos completos  (4) 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Muchas gracias por su participación. ¿Cómo le gustaría recibir su pago? = Consignado a mi teléfono celular. Usted recibe su pago en 1 día. Recibirá un mensaje en SMS y usted tiene 24 para aceptar el dinero en alguna de las entidades financieras vinculadas a Transfiya.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Seleccione la entidad por la que recibirá el pago por Transfiya: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Image:Bancolombianegro mesa de trabajo 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Image:Logoavvillas vf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daviplata vf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Image:Dale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Image:Confiar web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davivienda  1 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serfinanza vf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Image:Banco caja social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banco de bogota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Image:Banco itaú  1   (10)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nequi vf   copia  (11)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movii  1 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Image:Logo coopcentral vf  (13)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Muchas gracias por su participación. ¿Cómo le gustaría recibir su pago? = Usando consignación bancaria. Usted recibe su pago en 3 días.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Usted escogió recibir su pago vía consignación bancaria. Necesitamos la siguiente información: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Número de celular  (1)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Cédula de ciudadanía  (2)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Banco  (3)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Tipo de Cuenta  (4)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Número de cuenta  (5) 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Modulo 3. Muchas gracias por su participación.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pago para Sensata</dc:title>
  <dc:subject/>
  <dc:creator>Qualtrics</dc:creator>
  <cp:keywords/>
  <dc:description/>
  <cp:lastModifiedBy>Qualtrics</cp:lastModifiedBy>
  <cp:revision>1</cp:revision>
  <dcterms:created xsi:type="dcterms:W3CDTF">2021-08-09T22:16:30Z</dcterms:created>
  <dcterms:modified xsi:type="dcterms:W3CDTF">2021-08-09T22:16:30Z</dcterms:modified>
</cp:coreProperties>
</file>