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KRR Project: MultiplexRAG</w:t>
      </w:r>
    </w:p>
    <w:p>
      <w:pPr>
        <w:spacing w:after="400"/>
        <w:jc w:val="center"/>
      </w:pPr>
      <w:r>
        <w:rPr>
          <w:rFonts w:ascii="Arial" w:cs="Arial" w:eastAsia="Arial" w:hAnsi="Arial"/>
          <w:color w:val="666666"/>
          <w:sz w:val="22"/>
          <w:szCs w:val="22"/>
        </w:rPr>
        <w:t xml:space="preserve">Zunzheng Zhang  |  February 2026</w:t>
      </w:r>
    </w:p>
    <w:p>
      <w:pPr>
        <w:pStyle w:val="Heading1"/>
        <w:spacing w:before="300" w:after="160"/>
      </w:pPr>
      <w:r>
        <w:rPr>
          <w:rFonts w:ascii="Arial" w:cs="Arial" w:eastAsia="Arial" w:hAnsi="Arial"/>
          <w:b/>
          <w:bCs/>
          <w:sz w:val="28"/>
          <w:szCs w:val="28"/>
        </w:rPr>
        <w:t xml:space="preserve">1  Motivation and Background</w:t>
      </w:r>
    </w:p>
    <w:p>
      <w:pPr>
        <w:spacing w:after="120"/>
      </w:pPr>
      <w:r>
        <w:rPr>
          <w:rFonts w:ascii="Arial" w:cs="Arial" w:eastAsia="Arial" w:hAnsi="Arial"/>
          <w:sz w:val="22"/>
          <w:szCs w:val="22"/>
        </w:rPr>
        <w:t xml:space="preserve">RAG improves LLM question answering by retrieving relevant evidence. However, no single retrieval representation works best for all queries.</w:t>
      </w:r>
    </w:p>
    <w:p>
      <w:pPr>
        <w:pStyle w:val="ListParagraph"/>
        <w:numPr>
          <w:ilvl w:val="0"/>
          <w:numId w:val="2"/>
        </w:numPr>
        <w:spacing w:after="80"/>
      </w:pPr>
      <w:r>
        <w:rPr>
          <w:rFonts w:ascii="Arial" w:cs="Arial" w:eastAsia="Arial" w:hAnsi="Arial"/>
          <w:b/>
          <w:bCs/>
          <w:sz w:val="22"/>
          <w:szCs w:val="22"/>
        </w:rPr>
        <w:t xml:space="preserve">Dense (vector) retrieval</w:t>
      </w:r>
      <w:r>
        <w:rPr>
          <w:rFonts w:ascii="Arial" w:cs="Arial" w:eastAsia="Arial" w:hAnsi="Arial"/>
          <w:sz w:val="22"/>
          <w:szCs w:val="22"/>
        </w:rPr>
        <w:t xml:space="preserve"> is strong for semantic paraphrases and loosely phrased questions.</w:t>
      </w:r>
    </w:p>
    <w:p>
      <w:pPr>
        <w:pStyle w:val="ListParagraph"/>
        <w:numPr>
          <w:ilvl w:val="0"/>
          <w:numId w:val="2"/>
        </w:numPr>
        <w:spacing w:after="80"/>
      </w:pPr>
      <w:r>
        <w:rPr>
          <w:rFonts w:ascii="Arial" w:cs="Arial" w:eastAsia="Arial" w:hAnsi="Arial"/>
          <w:b/>
          <w:bCs/>
          <w:sz w:val="22"/>
          <w:szCs w:val="22"/>
        </w:rPr>
        <w:t xml:space="preserve">Sparse (BM25) retrieval</w:t>
      </w:r>
      <w:r>
        <w:rPr>
          <w:rFonts w:ascii="Arial" w:cs="Arial" w:eastAsia="Arial" w:hAnsi="Arial"/>
          <w:sz w:val="22"/>
          <w:szCs w:val="22"/>
        </w:rPr>
        <w:t xml:space="preserve"> is often superior for exact terms, rare entities, acronyms, numbers, and code-like queries.</w:t>
      </w:r>
    </w:p>
    <w:p>
      <w:pPr>
        <w:pStyle w:val="ListParagraph"/>
        <w:numPr>
          <w:ilvl w:val="0"/>
          <w:numId w:val="2"/>
        </w:numPr>
        <w:spacing w:after="80"/>
      </w:pPr>
      <w:r>
        <w:rPr>
          <w:rFonts w:ascii="Arial" w:cs="Arial" w:eastAsia="Arial" w:hAnsi="Arial"/>
          <w:b/>
          <w:bCs/>
          <w:sz w:val="22"/>
          <w:szCs w:val="22"/>
        </w:rPr>
        <w:t xml:space="preserve">Hybrid retrieval (Dense + Sparse fusion)</w:t>
      </w:r>
      <w:r>
        <w:rPr>
          <w:rFonts w:ascii="Arial" w:cs="Arial" w:eastAsia="Arial" w:hAnsi="Arial"/>
          <w:sz w:val="22"/>
          <w:szCs w:val="22"/>
        </w:rPr>
        <w:t xml:space="preserve"> is usually the strongest overall but may increase computation and latency.</w:t>
      </w:r>
    </w:p>
    <w:p>
      <w:pPr>
        <w:spacing w:after="120"/>
      </w:pPr>
      <w:r>
        <w:rPr>
          <w:rFonts w:ascii="Arial" w:cs="Arial" w:eastAsia="Arial" w:hAnsi="Arial"/>
          <w:sz w:val="22"/>
          <w:szCs w:val="22"/>
        </w:rPr>
        <w:t xml:space="preserve">This project proposes </w:t>
      </w:r>
      <w:r>
        <w:rPr>
          <w:rFonts w:ascii="Arial" w:cs="Arial" w:eastAsia="Arial" w:hAnsi="Arial"/>
          <w:b/>
          <w:bCs/>
          <w:sz w:val="22"/>
          <w:szCs w:val="22"/>
        </w:rPr>
        <w:t xml:space="preserve">MultiplexRAG</w:t>
      </w:r>
      <w:r>
        <w:rPr>
          <w:rFonts w:ascii="Arial" w:cs="Arial" w:eastAsia="Arial" w:hAnsi="Arial"/>
          <w:sz w:val="22"/>
          <w:szCs w:val="22"/>
        </w:rPr>
        <w:t xml:space="preserve">, a RAG system that maintains multiple corpus representations and uses a multiplexer (router) to dynamically select the best representation (or combination) per query. The goal is to demonstrate that query-aware routing yields better quality–cost tradeoffs than using a single fixed retrieval strategy.</w:t>
      </w:r>
    </w:p>
    <w:p>
      <w:pPr>
        <w:pStyle w:val="Heading1"/>
        <w:spacing w:before="300" w:after="160"/>
      </w:pPr>
      <w:r>
        <w:rPr>
          <w:rFonts w:ascii="Arial" w:cs="Arial" w:eastAsia="Arial" w:hAnsi="Arial"/>
          <w:b/>
          <w:bCs/>
          <w:sz w:val="28"/>
          <w:szCs w:val="28"/>
        </w:rPr>
        <w:t xml:space="preserve">2  Problem Statement and Goals</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Given multiple representations of the same knowledge corpus, can we learn a routing policy that selects the best retrieval strategy per query to improve answer quality and efficiency?</w:t>
      </w:r>
    </w:p>
    <w:p>
      <w:pPr>
        <w:spacing w:after="120"/>
      </w:pPr>
      <w:r>
        <w:rPr>
          <w:rFonts w:ascii="Arial" w:cs="Arial" w:eastAsia="Arial" w:hAnsi="Arial"/>
          <w:b/>
          <w:bCs/>
          <w:sz w:val="22"/>
          <w:szCs w:val="22"/>
        </w:rPr>
        <w:t xml:space="preserve">Goals:</w:t>
      </w:r>
    </w:p>
    <w:p>
      <w:pPr>
        <w:pStyle w:val="ListParagraph"/>
        <w:numPr>
          <w:ilvl w:val="0"/>
          <w:numId w:val="3"/>
        </w:numPr>
        <w:spacing w:after="80"/>
      </w:pPr>
      <w:r>
        <w:rPr>
          <w:rFonts w:ascii="Arial" w:cs="Arial" w:eastAsia="Arial" w:hAnsi="Arial"/>
          <w:sz w:val="22"/>
          <w:szCs w:val="22"/>
        </w:rPr>
        <w:t xml:space="preserve">Build three retrieval representations (or more?): Dense, Sparse/BM25, and Hybrid.</w:t>
      </w:r>
    </w:p>
    <w:p>
      <w:pPr>
        <w:pStyle w:val="ListParagraph"/>
        <w:numPr>
          <w:ilvl w:val="0"/>
          <w:numId w:val="3"/>
        </w:numPr>
        <w:spacing w:after="80"/>
      </w:pPr>
      <w:r>
        <w:rPr>
          <w:rFonts w:ascii="Arial" w:cs="Arial" w:eastAsia="Arial" w:hAnsi="Arial"/>
          <w:sz w:val="22"/>
          <w:szCs w:val="22"/>
        </w:rPr>
        <w:t xml:space="preserve">Compare representations across query types (representation comparison).</w:t>
      </w:r>
    </w:p>
    <w:p>
      <w:pPr>
        <w:pStyle w:val="ListParagraph"/>
        <w:numPr>
          <w:ilvl w:val="0"/>
          <w:numId w:val="3"/>
        </w:numPr>
        <w:spacing w:after="80"/>
      </w:pPr>
      <w:r>
        <w:rPr>
          <w:rFonts w:ascii="Arial" w:cs="Arial" w:eastAsia="Arial" w:hAnsi="Arial"/>
          <w:sz w:val="22"/>
          <w:szCs w:val="22"/>
        </w:rPr>
        <w:t xml:space="preserve">Implement a multiplexer/router that selects a retrieval strategy per query.</w:t>
      </w:r>
    </w:p>
    <w:p>
      <w:pPr>
        <w:pStyle w:val="ListParagraph"/>
        <w:numPr>
          <w:ilvl w:val="0"/>
          <w:numId w:val="3"/>
        </w:numPr>
        <w:spacing w:after="80"/>
      </w:pPr>
      <w:r>
        <w:rPr>
          <w:rFonts w:ascii="Arial" w:cs="Arial" w:eastAsia="Arial" w:hAnsi="Arial"/>
          <w:sz w:val="22"/>
          <w:szCs w:val="22"/>
        </w:rPr>
        <w:t xml:space="preserve">Provide empirical justification: the router outperforms strong baselines and may achieve an upper bound.</w:t>
      </w:r>
    </w:p>
    <w:p>
      <w:pPr>
        <w:pStyle w:val="ListParagraph"/>
        <w:numPr>
          <w:ilvl w:val="0"/>
          <w:numId w:val="3"/>
        </w:numPr>
        <w:spacing w:after="80"/>
      </w:pPr>
      <w:r>
        <w:rPr>
          <w:rFonts w:ascii="Arial" w:cs="Arial" w:eastAsia="Arial" w:hAnsi="Arial"/>
          <w:sz w:val="22"/>
          <w:szCs w:val="22"/>
        </w:rPr>
        <w:t xml:space="preserve">Analyze what the router chooses and why.</w:t>
      </w:r>
    </w:p>
    <w:p>
      <w:pPr>
        <w:pStyle w:val="Heading1"/>
        <w:spacing w:before="300" w:after="160"/>
      </w:pPr>
      <w:r>
        <w:rPr>
          <w:rFonts w:ascii="Arial" w:cs="Arial" w:eastAsia="Arial" w:hAnsi="Arial"/>
          <w:b/>
          <w:bCs/>
          <w:sz w:val="28"/>
          <w:szCs w:val="28"/>
        </w:rPr>
        <w:t xml:space="preserve">3  Dataset and Task</w:t>
      </w:r>
    </w:p>
    <w:p>
      <w:pPr>
        <w:spacing w:after="120"/>
      </w:pPr>
      <w:r>
        <w:rPr>
          <w:rFonts w:ascii="Arial" w:cs="Arial" w:eastAsia="Arial" w:hAnsi="Arial"/>
          <w:sz w:val="22"/>
          <w:szCs w:val="22"/>
        </w:rPr>
        <w:t xml:space="preserve">(To be specified — standard open-domain QA benchmarks such as Natural Questions, TriviaQA, or BEIR are candidate evaluation sets.)</w:t>
      </w:r>
    </w:p>
    <w:p>
      <w:pPr>
        <w:pStyle w:val="Heading1"/>
        <w:spacing w:before="300" w:after="160"/>
      </w:pPr>
      <w:r>
        <w:rPr>
          <w:rFonts w:ascii="Arial" w:cs="Arial" w:eastAsia="Arial" w:hAnsi="Arial"/>
          <w:b/>
          <w:bCs/>
          <w:sz w:val="28"/>
          <w:szCs w:val="28"/>
        </w:rPr>
        <w:t xml:space="preserve">4  System Overview</w:t>
      </w:r>
    </w:p>
    <w:p>
      <w:pPr>
        <w:spacing w:after="120"/>
      </w:pPr>
      <w:r>
        <w:rPr>
          <w:rFonts w:ascii="Arial" w:cs="Arial" w:eastAsia="Arial" w:hAnsi="Arial"/>
          <w:sz w:val="22"/>
          <w:szCs w:val="22"/>
        </w:rPr>
        <w:t xml:space="preserve">(Architecture diagram and system description to be added.)</w:t>
      </w:r>
    </w:p>
    <w:p>
      <w:pPr>
        <w:pStyle w:val="Heading1"/>
        <w:spacing w:before="300" w:after="160"/>
      </w:pPr>
      <w:r>
        <w:rPr>
          <w:rFonts w:ascii="Arial" w:cs="Arial" w:eastAsia="Arial" w:hAnsi="Arial"/>
          <w:b/>
          <w:bCs/>
          <w:sz w:val="28"/>
          <w:szCs w:val="28"/>
        </w:rPr>
        <w:t xml:space="preserve">5  Representations</w:t>
      </w:r>
    </w:p>
    <w:p>
      <w:pPr>
        <w:spacing w:after="120"/>
      </w:pPr>
      <w:r>
        <w:rPr>
          <w:rFonts w:ascii="Arial" w:cs="Arial" w:eastAsia="Arial" w:hAnsi="Arial"/>
          <w:sz w:val="22"/>
          <w:szCs w:val="22"/>
        </w:rPr>
        <w:t xml:space="preserve">We implement and compare three retrieval strategies:</w:t>
      </w:r>
    </w:p>
    <w:p>
      <w:pPr>
        <w:pStyle w:val="ListParagraph"/>
        <w:numPr>
          <w:ilvl w:val="0"/>
          <w:numId w:val="2"/>
        </w:numPr>
        <w:spacing w:after="80"/>
      </w:pPr>
      <w:r>
        <w:rPr>
          <w:rFonts w:ascii="Arial" w:cs="Arial" w:eastAsia="Arial" w:hAnsi="Arial"/>
          <w:b/>
          <w:bCs/>
          <w:sz w:val="22"/>
          <w:szCs w:val="22"/>
        </w:rPr>
        <w:t xml:space="preserve">Dense</w:t>
      </w:r>
      <w:r>
        <w:rPr>
          <w:rFonts w:ascii="Arial" w:cs="Arial" w:eastAsia="Arial" w:hAnsi="Arial"/>
          <w:sz w:val="22"/>
          <w:szCs w:val="22"/>
        </w:rPr>
        <w:t xml:space="preserve">: Bi-encoder (e.g., DPR, E5) with FAISS approximate nearest-neighbor search.</w:t>
      </w:r>
    </w:p>
    <w:p>
      <w:pPr>
        <w:pStyle w:val="ListParagraph"/>
        <w:numPr>
          <w:ilvl w:val="0"/>
          <w:numId w:val="2"/>
        </w:numPr>
        <w:spacing w:after="80"/>
      </w:pPr>
      <w:r>
        <w:rPr>
          <w:rFonts w:ascii="Arial" w:cs="Arial" w:eastAsia="Arial" w:hAnsi="Arial"/>
          <w:b/>
          <w:bCs/>
          <w:sz w:val="22"/>
          <w:szCs w:val="22"/>
        </w:rPr>
        <w:t xml:space="preserve">Sparse</w:t>
      </w:r>
      <w:r>
        <w:rPr>
          <w:rFonts w:ascii="Arial" w:cs="Arial" w:eastAsia="Arial" w:hAnsi="Arial"/>
          <w:sz w:val="22"/>
          <w:szCs w:val="22"/>
        </w:rPr>
        <w:t xml:space="preserve">: BM25 lexical retrieval via Elasticsearch or Pyserini.</w:t>
      </w:r>
    </w:p>
    <w:p>
      <w:pPr>
        <w:pStyle w:val="ListParagraph"/>
        <w:numPr>
          <w:ilvl w:val="0"/>
          <w:numId w:val="2"/>
        </w:numPr>
        <w:spacing w:after="80"/>
      </w:pPr>
      <w:r>
        <w:rPr>
          <w:rFonts w:ascii="Arial" w:cs="Arial" w:eastAsia="Arial" w:hAnsi="Arial"/>
          <w:b/>
          <w:bCs/>
          <w:sz w:val="22"/>
          <w:szCs w:val="22"/>
        </w:rPr>
        <w:t xml:space="preserve">Hybrid</w:t>
      </w:r>
      <w:r>
        <w:rPr>
          <w:rFonts w:ascii="Arial" w:cs="Arial" w:eastAsia="Arial" w:hAnsi="Arial"/>
          <w:sz w:val="22"/>
          <w:szCs w:val="22"/>
        </w:rPr>
        <w:t xml:space="preserve">: Score fusion of dense and sparse results using Reciprocal Rank Fusion (RRF) or learned convex combination.</w:t>
      </w:r>
    </w:p>
    <w:p>
      <w:pPr>
        <w:pStyle w:val="Heading1"/>
        <w:spacing w:before="300" w:after="160"/>
      </w:pPr>
      <w:r>
        <w:rPr>
          <w:rFonts w:ascii="Arial" w:cs="Arial" w:eastAsia="Arial" w:hAnsi="Arial"/>
          <w:b/>
          <w:bCs/>
          <w:sz w:val="28"/>
          <w:szCs w:val="28"/>
        </w:rPr>
        <w:t xml:space="preserve">6  Multiplexer / Routing Mechanism</w:t>
      </w:r>
    </w:p>
    <w:p>
      <w:pPr>
        <w:spacing w:after="120"/>
      </w:pPr>
      <w:r>
        <w:rPr>
          <w:rFonts w:ascii="Arial" w:cs="Arial" w:eastAsia="Arial" w:hAnsi="Arial"/>
          <w:sz w:val="22"/>
          <w:szCs w:val="22"/>
        </w:rPr>
        <w:t xml:space="preserve">Baselines include always-dense, always-BM25, and always-hybrid. The learned router dynamically selects the best strategy per query. An oracle upper bound (post-hoc best-strategy selection) provides an empirical ceiling for evaluation.</w:t>
      </w:r>
    </w:p>
    <w:p>
      <w:pPr>
        <w:pStyle w:val="Heading1"/>
        <w:spacing w:before="300" w:after="160"/>
      </w:pPr>
      <w:r>
        <w:rPr>
          <w:rFonts w:ascii="Arial" w:cs="Arial" w:eastAsia="Arial" w:hAnsi="Arial"/>
          <w:b/>
          <w:bCs/>
          <w:sz w:val="28"/>
          <w:szCs w:val="28"/>
        </w:rPr>
        <w:t xml:space="preserve">7  Literature Review</w:t>
      </w:r>
    </w:p>
    <w:p>
      <w:pPr>
        <w:pStyle w:val="Heading2"/>
        <w:spacing w:before="240" w:after="120"/>
      </w:pPr>
      <w:r>
        <w:rPr>
          <w:rFonts w:ascii="Arial" w:cs="Arial" w:eastAsia="Arial" w:hAnsi="Arial"/>
          <w:b/>
          <w:bCs/>
          <w:sz w:val="24"/>
          <w:szCs w:val="24"/>
        </w:rPr>
        <w:t xml:space="preserve">7.1  Foundations of Retrieval-Augmented Generation</w:t>
      </w:r>
    </w:p>
    <w:p>
      <w:pPr>
        <w:spacing w:after="120"/>
      </w:pPr>
      <w:r>
        <w:rPr>
          <w:rFonts w:ascii="Arial" w:cs="Arial" w:eastAsia="Arial" w:hAnsi="Arial"/>
          <w:sz w:val="22"/>
          <w:szCs w:val="22"/>
        </w:rPr>
        <w:t xml:space="preserve">The RAG paradigm was established to ground LLM outputs in external knowledge, reducing hallucination and outdated-knowledge failures. A typical RAG pipeline follows three stages: indexing (chunking and encoding documents), retrieval (fetching top-k relevant chunks), and generation (conditioning the LLM on retrieved context). Empirical research spanning 2020–2025 confirms RAG systems consistently outperform parametric-only LLM baselines on knowledge-intensive tasks.</w:t>
      </w:r>
    </w:p>
    <w:p>
      <w:pPr>
        <w:spacing w:after="120"/>
      </w:pPr>
      <w:r>
        <w:rPr>
          <w:rFonts w:ascii="Arial" w:cs="Arial" w:eastAsia="Arial" w:hAnsi="Arial"/>
          <w:sz w:val="22"/>
          <w:szCs w:val="22"/>
        </w:rPr>
        <w:t xml:space="preserve">Key reference: </w:t>
      </w:r>
      <w:hyperlink w:history="1" r:id="rId_ephtgy_zxd1ij4xqcfqr">
        <w:r>
          <w:rPr>
            <w:rFonts w:ascii="Arial" w:cs="Arial" w:eastAsia="Arial" w:hAnsi="Arial"/>
            <w:color w:val="1155CC"/>
            <w:sz w:val="22"/>
            <w:szCs w:val="22"/>
            <w:u w:val="single"/>
          </w:rPr>
          <w:t xml:space="preserve">Lewis et al., 2020 – Retrieval-Augmented Generation for Knowledge-Intensive NLP Tasks</w:t>
        </w:r>
      </w:hyperlink>
    </w:p>
    <w:p>
      <w:pPr>
        <w:pStyle w:val="Heading2"/>
        <w:spacing w:before="240" w:after="120"/>
      </w:pPr>
      <w:r>
        <w:rPr>
          <w:rFonts w:ascii="Arial" w:cs="Arial" w:eastAsia="Arial" w:hAnsi="Arial"/>
          <w:b/>
          <w:bCs/>
          <w:sz w:val="24"/>
          <w:szCs w:val="24"/>
        </w:rPr>
        <w:t xml:space="preserve">7.2  Sparse Retrieval: BM25</w:t>
      </w:r>
    </w:p>
    <w:p>
      <w:pPr>
        <w:spacing w:after="120"/>
      </w:pPr>
      <w:r>
        <w:rPr>
          <w:rFonts w:ascii="Arial" w:cs="Arial" w:eastAsia="Arial" w:hAnsi="Arial"/>
          <w:sz w:val="22"/>
          <w:szCs w:val="22"/>
        </w:rPr>
        <w:t xml:space="preserve">BM25 remains one of the most durable retrieval baselines, excelling where exact lexical overlap matters—rare entities, technical terms, acronyms, and code-like queries. Its main weaknesses are insensitivity to synonymy and polysemy. Hybrid pipelines combining BM25 with dense retrievers consistently improve top-20 recall by 7–17% over pure BM25 on benchmarks like TREC DL and BEIR.</w:t>
      </w:r>
    </w:p>
    <w:p>
      <w:pPr>
        <w:spacing w:after="120"/>
      </w:pPr>
      <w:r>
        <w:rPr>
          <w:rFonts w:ascii="Arial" w:cs="Arial" w:eastAsia="Arial" w:hAnsi="Arial"/>
          <w:sz w:val="22"/>
          <w:szCs w:val="22"/>
        </w:rPr>
        <w:t xml:space="preserve">Key references: </w:t>
      </w:r>
    </w:p>
    <w:p>
      <w:pPr>
        <w:pStyle w:val="ListParagraph"/>
        <w:numPr>
          <w:ilvl w:val="0"/>
          <w:numId w:val="2"/>
        </w:numPr>
        <w:spacing w:after="80"/>
      </w:pPr>
      <w:hyperlink w:history="1" r:id="rIddxx4ko4vlco7rdano53pr">
        <w:r>
          <w:rPr>
            <w:rFonts w:ascii="Arial" w:cs="Arial" w:eastAsia="Arial" w:hAnsi="Arial"/>
            <w:color w:val="1155CC"/>
            <w:sz w:val="22"/>
            <w:szCs w:val="22"/>
            <w:u w:val="single"/>
          </w:rPr>
          <w:t xml:space="preserve">Robertson &amp; Zaragoza, 2009 – The Probabilistic Relevance Framework: BM25 and Beyond</w:t>
        </w:r>
      </w:hyperlink>
    </w:p>
    <w:p>
      <w:pPr>
        <w:pStyle w:val="ListParagraph"/>
        <w:numPr>
          <w:ilvl w:val="0"/>
          <w:numId w:val="2"/>
        </w:numPr>
        <w:spacing w:after="80"/>
      </w:pPr>
      <w:hyperlink w:history="1" r:id="rIdfyoofasp5nwb1kfl9s9l9">
        <w:r>
          <w:rPr>
            <w:rFonts w:ascii="Arial" w:cs="Arial" w:eastAsia="Arial" w:hAnsi="Arial"/>
            <w:color w:val="1155CC"/>
            <w:sz w:val="22"/>
            <w:szCs w:val="22"/>
            <w:u w:val="single"/>
          </w:rPr>
          <w:t xml:space="preserve">Thakur et al., 2021 – BEIR: A Heterogeneous Benchmark for Zero-shot Evaluation of Information Retrieval Models</w:t>
        </w:r>
      </w:hyperlink>
    </w:p>
    <w:p>
      <w:pPr>
        <w:pStyle w:val="Heading2"/>
        <w:spacing w:before="240" w:after="120"/>
      </w:pPr>
      <w:r>
        <w:rPr>
          <w:rFonts w:ascii="Arial" w:cs="Arial" w:eastAsia="Arial" w:hAnsi="Arial"/>
          <w:b/>
          <w:bCs/>
          <w:sz w:val="24"/>
          <w:szCs w:val="24"/>
        </w:rPr>
        <w:t xml:space="preserve">7.3  Dense Retrieval: DPR and Successors</w:t>
      </w:r>
    </w:p>
    <w:p>
      <w:pPr>
        <w:spacing w:after="120"/>
      </w:pPr>
      <w:r>
        <w:rPr>
          <w:rFonts w:ascii="Arial" w:cs="Arial" w:eastAsia="Arial" w:hAnsi="Arial"/>
          <w:sz w:val="22"/>
          <w:szCs w:val="22"/>
        </w:rPr>
        <w:t xml:space="preserve">Karpukhin et al. (2020) showed that dense retrieval via dual-encoder frameworks outperforms BM25 by 9–19% in top-20 passage retrieval accuracy across open-domain QA datasets. DPR established the core building block for modern RAG. Later models (Contriever, E5) extended dense retrieval to general-domain settings. A replication study found the original paper under-reported BM25 effectiveness, an early signal that neither paradigm alone is definitively superior.</w:t>
      </w:r>
    </w:p>
    <w:p>
      <w:pPr>
        <w:spacing w:after="120"/>
      </w:pPr>
      <w:r>
        <w:rPr>
          <w:rFonts w:ascii="Arial" w:cs="Arial" w:eastAsia="Arial" w:hAnsi="Arial"/>
          <w:sz w:val="22"/>
          <w:szCs w:val="22"/>
        </w:rPr>
        <w:t xml:space="preserve">Key references: </w:t>
      </w:r>
    </w:p>
    <w:p>
      <w:pPr>
        <w:pStyle w:val="ListParagraph"/>
        <w:numPr>
          <w:ilvl w:val="0"/>
          <w:numId w:val="2"/>
        </w:numPr>
        <w:spacing w:after="80"/>
      </w:pPr>
      <w:hyperlink w:history="1" r:id="rIdrdyxwxkxqod5dkw7nplmi">
        <w:r>
          <w:rPr>
            <w:rFonts w:ascii="Arial" w:cs="Arial" w:eastAsia="Arial" w:hAnsi="Arial"/>
            <w:color w:val="1155CC"/>
            <w:sz w:val="22"/>
            <w:szCs w:val="22"/>
            <w:u w:val="single"/>
          </w:rPr>
          <w:t xml:space="preserve">Karpukhin et al., 2020 – Dense Passage Retrieval for Open-Domain Question Answering</w:t>
        </w:r>
      </w:hyperlink>
    </w:p>
    <w:p>
      <w:pPr>
        <w:pStyle w:val="ListParagraph"/>
        <w:numPr>
          <w:ilvl w:val="0"/>
          <w:numId w:val="2"/>
        </w:numPr>
        <w:spacing w:after="80"/>
      </w:pPr>
      <w:hyperlink w:history="1" r:id="rId4d-svss-qcsm2bku8uhm_">
        <w:r>
          <w:rPr>
            <w:rFonts w:ascii="Arial" w:cs="Arial" w:eastAsia="Arial" w:hAnsi="Arial"/>
            <w:color w:val="1155CC"/>
            <w:sz w:val="22"/>
            <w:szCs w:val="22"/>
            <w:u w:val="single"/>
          </w:rPr>
          <w:t xml:space="preserve">Izacard et al., 2022 – Unsupervised Dense Information Retrieval with Contriever</w:t>
        </w:r>
      </w:hyperlink>
    </w:p>
    <w:p>
      <w:pPr>
        <w:pStyle w:val="ListParagraph"/>
        <w:numPr>
          <w:ilvl w:val="0"/>
          <w:numId w:val="2"/>
        </w:numPr>
        <w:spacing w:after="80"/>
      </w:pPr>
      <w:hyperlink w:history="1" r:id="rIdfca8t5k5cp0b6shwwhmx6">
        <w:r>
          <w:rPr>
            <w:rFonts w:ascii="Arial" w:cs="Arial" w:eastAsia="Arial" w:hAnsi="Arial"/>
            <w:color w:val="1155CC"/>
            <w:sz w:val="22"/>
            <w:szCs w:val="22"/>
            <w:u w:val="single"/>
          </w:rPr>
          <w:t xml:space="preserve">Wang et al., 2022 – Text Embeddings by Weakly-Supervised Contrastive Pre-training (E5)</w:t>
        </w:r>
      </w:hyperlink>
    </w:p>
    <w:p>
      <w:pPr>
        <w:pStyle w:val="Heading2"/>
        <w:spacing w:before="240" w:after="120"/>
      </w:pPr>
      <w:r>
        <w:rPr>
          <w:rFonts w:ascii="Arial" w:cs="Arial" w:eastAsia="Arial" w:hAnsi="Arial"/>
          <w:b/>
          <w:bCs/>
          <w:sz w:val="24"/>
          <w:szCs w:val="24"/>
        </w:rPr>
        <w:t xml:space="preserve">7.4  Hybrid Retrieval and Score Fusion</w:t>
      </w:r>
    </w:p>
    <w:p>
      <w:pPr>
        <w:spacing w:after="120"/>
      </w:pPr>
      <w:r>
        <w:rPr>
          <w:rFonts w:ascii="Arial" w:cs="Arial" w:eastAsia="Arial" w:hAnsi="Arial"/>
          <w:sz w:val="22"/>
          <w:szCs w:val="22"/>
        </w:rPr>
        <w:t xml:space="preserve">Hybrid RAG merges dense and sparse results via weighted scoring, Reciprocal Rank Fusion (RRF), or learned ensembles. Research on fusion functions finds that convex combination of lexical and semantic scores outperforms RRF in both in-domain and out-of-domain settings and is highly sample-efficient—requiring only a small labeled set to tune a single fusion parameter.</w:t>
      </w:r>
    </w:p>
    <w:p>
      <w:pPr>
        <w:spacing w:after="120"/>
      </w:pPr>
      <w:r>
        <w:rPr>
          <w:rFonts w:ascii="Arial" w:cs="Arial" w:eastAsia="Arial" w:hAnsi="Arial"/>
          <w:sz w:val="22"/>
          <w:szCs w:val="22"/>
        </w:rPr>
        <w:t xml:space="preserve">A practical illustration: in the LiveRAG 2025 challenge, combining BM25 and E5 dense retrieval with neural re-ranking boosted MAP from 0.523 to 0.797 (+52% relative), but introduced 84-second latency per query versus 1.74 seconds un-reranked. This latency–quality tension is precisely the motivation for selective routing in MultiplexRAG.</w:t>
      </w:r>
    </w:p>
    <w:p>
      <w:pPr>
        <w:spacing w:after="120"/>
      </w:pPr>
      <w:r>
        <w:rPr>
          <w:rFonts w:ascii="Arial" w:cs="Arial" w:eastAsia="Arial" w:hAnsi="Arial"/>
          <w:sz w:val="22"/>
          <w:szCs w:val="22"/>
        </w:rPr>
        <w:t xml:space="preserve">Key references: </w:t>
      </w:r>
    </w:p>
    <w:p>
      <w:pPr>
        <w:pStyle w:val="ListParagraph"/>
        <w:numPr>
          <w:ilvl w:val="0"/>
          <w:numId w:val="2"/>
        </w:numPr>
        <w:spacing w:after="80"/>
      </w:pPr>
      <w:hyperlink w:history="1" r:id="rIdrttgzeh7nf3vixtaxljth">
        <w:r>
          <w:rPr>
            <w:rFonts w:ascii="Arial" w:cs="Arial" w:eastAsia="Arial" w:hAnsi="Arial"/>
            <w:color w:val="1155CC"/>
            <w:sz w:val="22"/>
            <w:szCs w:val="22"/>
            <w:u w:val="single"/>
          </w:rPr>
          <w:t xml:space="preserve">Cormack et al., 2009 – Reciprocal Rank Fusion Outperforms Condorcet and Individual Rank Learning Methods</w:t>
        </w:r>
      </w:hyperlink>
    </w:p>
    <w:p>
      <w:pPr>
        <w:pStyle w:val="ListParagraph"/>
        <w:numPr>
          <w:ilvl w:val="0"/>
          <w:numId w:val="2"/>
        </w:numPr>
        <w:spacing w:after="80"/>
      </w:pPr>
      <w:hyperlink w:history="1" r:id="rIdtalsk1xfkdyimvmwrv9fm">
        <w:r>
          <w:rPr>
            <w:rFonts w:ascii="Arial" w:cs="Arial" w:eastAsia="Arial" w:hAnsi="Arial"/>
            <w:color w:val="1155CC"/>
            <w:sz w:val="22"/>
            <w:szCs w:val="22"/>
            <w:u w:val="single"/>
          </w:rPr>
          <w:t xml:space="preserve">Kuzi et al., 2020 – Leveraging Semantic and Lexical Matching to Improve the Recall of Document Retrieval Systems</w:t>
        </w:r>
      </w:hyperlink>
    </w:p>
    <w:p>
      <w:pPr>
        <w:pStyle w:val="ListParagraph"/>
        <w:numPr>
          <w:ilvl w:val="0"/>
          <w:numId w:val="2"/>
        </w:numPr>
        <w:spacing w:after="80"/>
      </w:pPr>
      <w:hyperlink w:history="1" r:id="rIdd3n2swicyonp8itaytvxg">
        <w:r>
          <w:rPr>
            <w:rFonts w:ascii="Arial" w:cs="Arial" w:eastAsia="Arial" w:hAnsi="Arial"/>
            <w:color w:val="1155CC"/>
            <w:sz w:val="22"/>
            <w:szCs w:val="22"/>
            <w:u w:val="single"/>
          </w:rPr>
          <w:t xml:space="preserve">Lin &amp; Ma, 2021 – A Few Brief Notes on DeepImpact, COIL, and a Conceptual Framework for Information Retrieval Techniques</w:t>
        </w:r>
      </w:hyperlink>
    </w:p>
    <w:p>
      <w:pPr>
        <w:pStyle w:val="Heading2"/>
        <w:spacing w:before="240" w:after="120"/>
      </w:pPr>
      <w:r>
        <w:rPr>
          <w:rFonts w:ascii="Arial" w:cs="Arial" w:eastAsia="Arial" w:hAnsi="Arial"/>
          <w:b/>
          <w:bCs/>
          <w:sz w:val="24"/>
          <w:szCs w:val="24"/>
        </w:rPr>
        <w:t xml:space="preserve">7.5  Query Routing and Adaptive Retrieval Selection</w:t>
      </w:r>
    </w:p>
    <w:p>
      <w:pPr>
        <w:spacing w:after="120"/>
      </w:pPr>
      <w:r>
        <w:rPr>
          <w:rFonts w:ascii="Arial" w:cs="Arial" w:eastAsia="Arial" w:hAnsi="Arial"/>
          <w:sz w:val="22"/>
          <w:szCs w:val="22"/>
        </w:rPr>
        <w:t xml:space="preserve">The most directly relevant thread for MultiplexRAG is query routing—learning to dynamically select a retrieval strategy per query rather than applying a fixed pipeline.</w:t>
      </w:r>
    </w:p>
    <w:p>
      <w:pPr>
        <w:spacing w:after="120"/>
      </w:pPr>
      <w:r>
        <w:rPr>
          <w:rFonts w:ascii="Arial" w:cs="Arial" w:eastAsia="Arial" w:hAnsi="Arial"/>
          <w:b/>
          <w:bCs/>
          <w:sz w:val="22"/>
          <w:szCs w:val="22"/>
        </w:rPr>
        <w:t xml:space="preserve">Adaptive-RAG (Jeong et al., 2024)</w:t>
      </w:r>
      <w:r>
        <w:rPr>
          <w:rFonts w:ascii="Arial" w:cs="Arial" w:eastAsia="Arial" w:hAnsi="Arial"/>
          <w:sz w:val="22"/>
          <w:szCs w:val="22"/>
        </w:rPr>
        <w:t xml:space="preserve"> classifies queries by complexity to determine retrieval depth, though it relies on human-defined complexity heuristics.</w:t>
      </w:r>
    </w:p>
    <w:p>
      <w:pPr>
        <w:spacing w:after="120"/>
      </w:pPr>
      <w:r>
        <w:rPr>
          <w:rFonts w:ascii="Arial" w:cs="Arial" w:eastAsia="Arial" w:hAnsi="Arial"/>
          <w:b/>
          <w:bCs/>
          <w:sz w:val="22"/>
          <w:szCs w:val="22"/>
        </w:rPr>
        <w:t xml:space="preserve">RAGRouter (Zhang et al., 2025)</w:t>
      </w:r>
      <w:r>
        <w:rPr>
          <w:rFonts w:ascii="Arial" w:cs="Arial" w:eastAsia="Arial" w:hAnsi="Arial"/>
          <w:sz w:val="22"/>
          <w:szCs w:val="22"/>
        </w:rPr>
        <w:t xml:space="preserve"> formalizes RAG-aware routing by using contrastive learning over document embeddings and model-specific RAG capability embeddings. It outperforms the best individual LLM baseline by 3.61% on average and existing routing methods by 3.29–9.33%.</w:t>
      </w:r>
    </w:p>
    <w:p>
      <w:pPr>
        <w:spacing w:after="120"/>
      </w:pPr>
      <w:r>
        <w:rPr>
          <w:rFonts w:ascii="Arial" w:cs="Arial" w:eastAsia="Arial" w:hAnsi="Arial"/>
          <w:b/>
          <w:bCs/>
          <w:sz w:val="22"/>
          <w:szCs w:val="22"/>
        </w:rPr>
        <w:t xml:space="preserve">RouteRAG / RL-based routing (Guo et al., 2025)</w:t>
      </w:r>
      <w:r>
        <w:rPr>
          <w:rFonts w:ascii="Arial" w:cs="Arial" w:eastAsia="Arial" w:hAnsi="Arial"/>
          <w:sz w:val="22"/>
          <w:szCs w:val="22"/>
        </w:rPr>
        <w:t xml:space="preserve"> treats the LLM as a policy agent that interleaves reasoning and retrieval actions (text corpus, knowledge graph, or hybrid), optimized via GRPO, demonstrating that end-to-end learned routing is feasible.</w:t>
      </w:r>
    </w:p>
    <w:p>
      <w:pPr>
        <w:spacing w:after="120"/>
      </w:pPr>
      <w:r>
        <w:rPr>
          <w:rFonts w:ascii="Arial" w:cs="Arial" w:eastAsia="Arial" w:hAnsi="Arial"/>
          <w:b/>
          <w:bCs/>
          <w:sz w:val="22"/>
          <w:szCs w:val="22"/>
        </w:rPr>
        <w:t xml:space="preserve">Rule-driven routing frameworks</w:t>
      </w:r>
      <w:r>
        <w:rPr>
          <w:rFonts w:ascii="Arial" w:cs="Arial" w:eastAsia="Arial" w:hAnsi="Arial"/>
          <w:sz w:val="22"/>
          <w:szCs w:val="22"/>
        </w:rPr>
        <w:t xml:space="preserve"> offer interpretable, low-latency alternatives using explicit human-crafted or LLM-refined rules that extract binary or weighted features from each query.</w:t>
      </w:r>
    </w:p>
    <w:p>
      <w:pPr>
        <w:spacing w:after="120"/>
      </w:pPr>
      <w:r>
        <w:rPr>
          <w:rFonts w:ascii="Arial" w:cs="Arial" w:eastAsia="Arial" w:hAnsi="Arial"/>
          <w:sz w:val="22"/>
          <w:szCs w:val="22"/>
        </w:rPr>
        <w:t xml:space="preserve">Key references: </w:t>
      </w:r>
    </w:p>
    <w:p>
      <w:pPr>
        <w:pStyle w:val="ListParagraph"/>
        <w:numPr>
          <w:ilvl w:val="0"/>
          <w:numId w:val="2"/>
        </w:numPr>
        <w:spacing w:after="80"/>
      </w:pPr>
      <w:hyperlink w:history="1" r:id="rIdr6a9yh9kwpjhmmyndnxiw">
        <w:r>
          <w:rPr>
            <w:rFonts w:ascii="Arial" w:cs="Arial" w:eastAsia="Arial" w:hAnsi="Arial"/>
            <w:color w:val="1155CC"/>
            <w:sz w:val="22"/>
            <w:szCs w:val="22"/>
            <w:u w:val="single"/>
          </w:rPr>
          <w:t xml:space="preserve">Jeong et al., 2024 – Adaptive-RAG: Learning to Adapt Retrieval-Augmented Large Language Models through Question Complexity</w:t>
        </w:r>
      </w:hyperlink>
    </w:p>
    <w:p>
      <w:pPr>
        <w:pStyle w:val="ListParagraph"/>
        <w:numPr>
          <w:ilvl w:val="0"/>
          <w:numId w:val="2"/>
        </w:numPr>
        <w:spacing w:after="80"/>
      </w:pPr>
      <w:hyperlink w:history="1" r:id="rId9-xnbd8ouglo7x97trsvk">
        <w:r>
          <w:rPr>
            <w:rFonts w:ascii="Arial" w:cs="Arial" w:eastAsia="Arial" w:hAnsi="Arial"/>
            <w:color w:val="1155CC"/>
            <w:sz w:val="22"/>
            <w:szCs w:val="22"/>
            <w:u w:val="single"/>
          </w:rPr>
          <w:t xml:space="preserve">Zhang et al., 2025 – RAGRouter: Learning-based Routing for Retrieval-Augmented Generation</w:t>
        </w:r>
      </w:hyperlink>
    </w:p>
    <w:p>
      <w:pPr>
        <w:pStyle w:val="ListParagraph"/>
        <w:numPr>
          <w:ilvl w:val="0"/>
          <w:numId w:val="2"/>
        </w:numPr>
        <w:spacing w:after="80"/>
      </w:pPr>
      <w:hyperlink w:history="1" r:id="rIdual4-udxkjjat2sk5rjgr">
        <w:r>
          <w:rPr>
            <w:rFonts w:ascii="Arial" w:cs="Arial" w:eastAsia="Arial" w:hAnsi="Arial"/>
            <w:color w:val="1155CC"/>
            <w:sz w:val="22"/>
            <w:szCs w:val="22"/>
            <w:u w:val="single"/>
          </w:rPr>
          <w:t xml:space="preserve">Shnitzer et al., 2023 – Large Language Model Routing with Benchmark Datasets (LLM Router)</w:t>
        </w:r>
      </w:hyperlink>
    </w:p>
    <w:p>
      <w:pPr>
        <w:pStyle w:val="ListParagraph"/>
        <w:numPr>
          <w:ilvl w:val="0"/>
          <w:numId w:val="2"/>
        </w:numPr>
        <w:spacing w:after="80"/>
      </w:pPr>
      <w:hyperlink w:history="1" r:id="rIdue4r42vqomhcvi2nuy_vp">
        <w:r>
          <w:rPr>
            <w:rFonts w:ascii="Arial" w:cs="Arial" w:eastAsia="Arial" w:hAnsi="Arial"/>
            <w:color w:val="1155CC"/>
            <w:sz w:val="22"/>
            <w:szCs w:val="22"/>
            <w:u w:val="single"/>
          </w:rPr>
          <w:t xml:space="preserve">Asai et al., 2023 – Self-RAG: Learning to Retrieve, Generate, and Critique through Self-Reflection</w:t>
        </w:r>
      </w:hyperlink>
    </w:p>
    <w:p>
      <w:pPr>
        <w:pStyle w:val="Heading2"/>
        <w:spacing w:before="240" w:after="120"/>
      </w:pPr>
      <w:r>
        <w:rPr>
          <w:rFonts w:ascii="Arial" w:cs="Arial" w:eastAsia="Arial" w:hAnsi="Arial"/>
          <w:b/>
          <w:bCs/>
          <w:sz w:val="24"/>
          <w:szCs w:val="24"/>
        </w:rPr>
        <w:t xml:space="preserve">7.6  Oracle / Upper Bound Analysis</w:t>
      </w:r>
    </w:p>
    <w:p>
      <w:pPr>
        <w:spacing w:after="120"/>
      </w:pPr>
      <w:r>
        <w:rPr>
          <w:rFonts w:ascii="Arial" w:cs="Arial" w:eastAsia="Arial" w:hAnsi="Arial"/>
          <w:sz w:val="22"/>
          <w:szCs w:val="22"/>
        </w:rPr>
        <w:t xml:space="preserve">A key goal of this project is empirical justification via an oracle upper bound. In prior work on Adaptive-RAG and LTRR, an oracle is computed by selecting the best-performing retriever post-hoc for each query, then measuring how close learned routers come to that ceiling. This framing provides a principled way to quantify the room for improvement over fixed-strategy baselines and is standard practice in the retrieval routing literature.</w:t>
      </w:r>
    </w:p>
    <w:p>
      <w:pPr>
        <w:spacing w:after="120"/>
      </w:pPr>
      <w:r>
        <w:rPr>
          <w:rFonts w:ascii="Arial" w:cs="Arial" w:eastAsia="Arial" w:hAnsi="Arial"/>
          <w:sz w:val="22"/>
          <w:szCs w:val="22"/>
        </w:rPr>
        <w:t xml:space="preserve">Key references: </w:t>
      </w:r>
    </w:p>
    <w:p>
      <w:pPr>
        <w:pStyle w:val="ListParagraph"/>
        <w:numPr>
          <w:ilvl w:val="0"/>
          <w:numId w:val="2"/>
        </w:numPr>
        <w:spacing w:after="80"/>
      </w:pPr>
      <w:hyperlink w:history="1" r:id="rIdcvqilmjoqsbe-3dqygjpu">
        <w:r>
          <w:rPr>
            <w:rFonts w:ascii="Arial" w:cs="Arial" w:eastAsia="Arial" w:hAnsi="Arial"/>
            <w:color w:val="1155CC"/>
            <w:sz w:val="22"/>
            <w:szCs w:val="22"/>
            <w:u w:val="single"/>
          </w:rPr>
          <w:t xml:space="preserve">Jeong et al., 2024 – Adaptive-RAG (oracle analysis in §4)</w:t>
        </w:r>
      </w:hyperlink>
    </w:p>
    <w:p>
      <w:pPr>
        <w:pStyle w:val="ListParagraph"/>
        <w:numPr>
          <w:ilvl w:val="0"/>
          <w:numId w:val="2"/>
        </w:numPr>
        <w:spacing w:after="80"/>
      </w:pPr>
      <w:hyperlink w:history="1" r:id="rIdrad5ndfd8-4o0mwpfhvzk">
        <w:r>
          <w:rPr>
            <w:rFonts w:ascii="Arial" w:cs="Arial" w:eastAsia="Arial" w:hAnsi="Arial"/>
            <w:color w:val="1155CC"/>
            <w:sz w:val="22"/>
            <w:szCs w:val="22"/>
            <w:u w:val="single"/>
          </w:rPr>
          <w:t xml:space="preserve">Zhuang et al., 2023 – Rankers are not Routers: A Query-Based Approach to Adaptive Retrieval Augmentation (LTRR)</w:t>
        </w:r>
      </w:hyperlink>
    </w:p>
    <w:p>
      <w:pPr>
        <w:pStyle w:val="Heading1"/>
        <w:spacing w:before="300" w:after="160"/>
      </w:pPr>
      <w:r>
        <w:rPr>
          <w:rFonts w:ascii="Arial" w:cs="Arial" w:eastAsia="Arial" w:hAnsi="Arial"/>
          <w:b/>
          <w:bCs/>
          <w:sz w:val="28"/>
          <w:szCs w:val="28"/>
        </w:rPr>
        <w:t xml:space="preserve">8  References</w:t>
      </w:r>
    </w:p>
    <w:p>
      <w:pPr>
        <w:spacing w:after="120"/>
      </w:pPr>
      <w:r>
        <w:rPr>
          <w:rFonts w:ascii="Arial" w:cs="Arial" w:eastAsia="Arial" w:hAnsi="Arial"/>
          <w:i/>
          <w:iCs/>
          <w:sz w:val="22"/>
          <w:szCs w:val="22"/>
        </w:rPr>
        <w:t xml:space="preserve">All references are hyperlinked above. For convenience, the full list with URLs is provided below:</w:t>
      </w:r>
    </w:p>
    <w:p>
      <w:pPr>
        <w:spacing w:before="120" w:after="60"/>
      </w:pPr>
    </w:p>
    <w:p>
      <w:pPr>
        <w:pStyle w:val="ListParagraph"/>
        <w:numPr>
          <w:ilvl w:val="0"/>
          <w:numId w:val="3"/>
        </w:numPr>
        <w:spacing w:after="80"/>
      </w:pPr>
      <w:hyperlink w:history="1" r:id="rIdxmmcqarchwznyhx8myeun">
        <w:r>
          <w:rPr>
            <w:rFonts w:ascii="Arial" w:cs="Arial" w:eastAsia="Arial" w:hAnsi="Arial"/>
            <w:color w:val="1155CC"/>
            <w:sz w:val="22"/>
            <w:szCs w:val="22"/>
            <w:u w:val="single"/>
          </w:rPr>
          <w:t xml:space="preserve">Lewis et al. (2020). Retrieval-Augmented Generation for Knowledge-Intensive NLP Tasks. NeurIPS.</w:t>
        </w:r>
      </w:hyperlink>
    </w:p>
    <w:p>
      <w:pPr>
        <w:pStyle w:val="ListParagraph"/>
        <w:numPr>
          <w:ilvl w:val="0"/>
          <w:numId w:val="3"/>
        </w:numPr>
        <w:spacing w:after="80"/>
      </w:pPr>
      <w:hyperlink w:history="1" r:id="rId9jh0plsaurtsds-bokw3_">
        <w:r>
          <w:rPr>
            <w:rFonts w:ascii="Arial" w:cs="Arial" w:eastAsia="Arial" w:hAnsi="Arial"/>
            <w:color w:val="1155CC"/>
            <w:sz w:val="22"/>
            <w:szCs w:val="22"/>
            <w:u w:val="single"/>
          </w:rPr>
          <w:t xml:space="preserve">Karpukhin et al. (2020). Dense Passage Retrieval for Open-Domain Question Answering. EMNLP.</w:t>
        </w:r>
      </w:hyperlink>
    </w:p>
    <w:p>
      <w:pPr>
        <w:pStyle w:val="ListParagraph"/>
        <w:numPr>
          <w:ilvl w:val="0"/>
          <w:numId w:val="3"/>
        </w:numPr>
        <w:spacing w:after="80"/>
      </w:pPr>
      <w:hyperlink w:history="1" r:id="rIdwofsza5co0z95j5hizkvk">
        <w:r>
          <w:rPr>
            <w:rFonts w:ascii="Arial" w:cs="Arial" w:eastAsia="Arial" w:hAnsi="Arial"/>
            <w:color w:val="1155CC"/>
            <w:sz w:val="22"/>
            <w:szCs w:val="22"/>
            <w:u w:val="single"/>
          </w:rPr>
          <w:t xml:space="preserve">Cormack et al. (2009). Reciprocal Rank Fusion Outperforms Condorcet and Individual Rank Learning Methods. SIGIR.</w:t>
        </w:r>
      </w:hyperlink>
    </w:p>
    <w:p>
      <w:pPr>
        <w:pStyle w:val="ListParagraph"/>
        <w:numPr>
          <w:ilvl w:val="0"/>
          <w:numId w:val="3"/>
        </w:numPr>
        <w:spacing w:after="80"/>
      </w:pPr>
      <w:hyperlink w:history="1" r:id="rId6xbhcjrrk54rqi4zdqmc9">
        <w:r>
          <w:rPr>
            <w:rFonts w:ascii="Arial" w:cs="Arial" w:eastAsia="Arial" w:hAnsi="Arial"/>
            <w:color w:val="1155CC"/>
            <w:sz w:val="22"/>
            <w:szCs w:val="22"/>
            <w:u w:val="single"/>
          </w:rPr>
          <w:t xml:space="preserve">Robertson &amp; Zaragoza (2009). The Probabilistic Relevance Framework: BM25 and Beyond. FTIR.</w:t>
        </w:r>
      </w:hyperlink>
    </w:p>
    <w:p>
      <w:pPr>
        <w:pStyle w:val="ListParagraph"/>
        <w:numPr>
          <w:ilvl w:val="0"/>
          <w:numId w:val="3"/>
        </w:numPr>
        <w:spacing w:after="80"/>
      </w:pPr>
      <w:hyperlink w:history="1" r:id="rIddlwaoqfmoeu1ejtm8e7z4">
        <w:r>
          <w:rPr>
            <w:rFonts w:ascii="Arial" w:cs="Arial" w:eastAsia="Arial" w:hAnsi="Arial"/>
            <w:color w:val="1155CC"/>
            <w:sz w:val="22"/>
            <w:szCs w:val="22"/>
            <w:u w:val="single"/>
          </w:rPr>
          <w:t xml:space="preserve">Thakur et al. (2021). BEIR: A Heterogeneous Benchmark for Zero-shot Evaluation of Information Retrieval Models. NeurIPS.</w:t>
        </w:r>
      </w:hyperlink>
    </w:p>
    <w:p>
      <w:pPr>
        <w:pStyle w:val="ListParagraph"/>
        <w:numPr>
          <w:ilvl w:val="0"/>
          <w:numId w:val="3"/>
        </w:numPr>
        <w:spacing w:after="80"/>
      </w:pPr>
      <w:hyperlink w:history="1" r:id="rIdcbdlhixmialcr2i67hfxr">
        <w:r>
          <w:rPr>
            <w:rFonts w:ascii="Arial" w:cs="Arial" w:eastAsia="Arial" w:hAnsi="Arial"/>
            <w:color w:val="1155CC"/>
            <w:sz w:val="22"/>
            <w:szCs w:val="22"/>
            <w:u w:val="single"/>
          </w:rPr>
          <w:t xml:space="preserve">Izacard et al. (2022). Unsupervised Dense Information Retrieval with Contriever. TMLR.</w:t>
        </w:r>
      </w:hyperlink>
    </w:p>
    <w:p>
      <w:pPr>
        <w:pStyle w:val="ListParagraph"/>
        <w:numPr>
          <w:ilvl w:val="0"/>
          <w:numId w:val="3"/>
        </w:numPr>
        <w:spacing w:after="80"/>
      </w:pPr>
      <w:hyperlink w:history="1" r:id="rIdkfn_psotmdyklyu6cdxae">
        <w:r>
          <w:rPr>
            <w:rFonts w:ascii="Arial" w:cs="Arial" w:eastAsia="Arial" w:hAnsi="Arial"/>
            <w:color w:val="1155CC"/>
            <w:sz w:val="22"/>
            <w:szCs w:val="22"/>
            <w:u w:val="single"/>
          </w:rPr>
          <w:t xml:space="preserve">Wang et al. (2022). Text Embeddings by Weakly-Supervised Contrastive Pre-training (E5). arXiv.</w:t>
        </w:r>
      </w:hyperlink>
    </w:p>
    <w:p>
      <w:pPr>
        <w:pStyle w:val="ListParagraph"/>
        <w:numPr>
          <w:ilvl w:val="0"/>
          <w:numId w:val="3"/>
        </w:numPr>
        <w:spacing w:after="80"/>
      </w:pPr>
      <w:hyperlink w:history="1" r:id="rId6qsvhmngpxrvaedubruxf">
        <w:r>
          <w:rPr>
            <w:rFonts w:ascii="Arial" w:cs="Arial" w:eastAsia="Arial" w:hAnsi="Arial"/>
            <w:color w:val="1155CC"/>
            <w:sz w:val="22"/>
            <w:szCs w:val="22"/>
            <w:u w:val="single"/>
          </w:rPr>
          <w:t xml:space="preserve">Kuzi et al. (2020). Leveraging Semantic and Lexical Matching to Improve the Recall of Document Retrieval Systems. arXiv.</w:t>
        </w:r>
      </w:hyperlink>
    </w:p>
    <w:p>
      <w:pPr>
        <w:pStyle w:val="ListParagraph"/>
        <w:numPr>
          <w:ilvl w:val="0"/>
          <w:numId w:val="3"/>
        </w:numPr>
        <w:spacing w:after="80"/>
      </w:pPr>
      <w:hyperlink w:history="1" r:id="rIdtjkdznqfl903d5h2xcyz_">
        <w:r>
          <w:rPr>
            <w:rFonts w:ascii="Arial" w:cs="Arial" w:eastAsia="Arial" w:hAnsi="Arial"/>
            <w:color w:val="1155CC"/>
            <w:sz w:val="22"/>
            <w:szCs w:val="22"/>
            <w:u w:val="single"/>
          </w:rPr>
          <w:t xml:space="preserve">Lin &amp; Ma (2021). A Few Brief Notes on DeepImpact, COIL, and a Conceptual Framework for Information Retrieval Techniques. arXiv.</w:t>
        </w:r>
      </w:hyperlink>
    </w:p>
    <w:p>
      <w:pPr>
        <w:pStyle w:val="ListParagraph"/>
        <w:numPr>
          <w:ilvl w:val="0"/>
          <w:numId w:val="3"/>
        </w:numPr>
        <w:spacing w:after="80"/>
      </w:pPr>
      <w:hyperlink w:history="1" r:id="rId3mveeftncpix07v4gkjz-">
        <w:r>
          <w:rPr>
            <w:rFonts w:ascii="Arial" w:cs="Arial" w:eastAsia="Arial" w:hAnsi="Arial"/>
            <w:color w:val="1155CC"/>
            <w:sz w:val="22"/>
            <w:szCs w:val="22"/>
            <w:u w:val="single"/>
          </w:rPr>
          <w:t xml:space="preserve">Jeong et al. (2024). Adaptive-RAG: Learning to Adapt Retrieval-Augmented Large Language Models through Question Complexity. NAACL.</w:t>
        </w:r>
      </w:hyperlink>
    </w:p>
    <w:p>
      <w:pPr>
        <w:pStyle w:val="ListParagraph"/>
        <w:numPr>
          <w:ilvl w:val="0"/>
          <w:numId w:val="3"/>
        </w:numPr>
        <w:spacing w:after="80"/>
      </w:pPr>
      <w:hyperlink w:history="1" r:id="rIdbts6nyfhco_7xaz1o7-sx">
        <w:r>
          <w:rPr>
            <w:rFonts w:ascii="Arial" w:cs="Arial" w:eastAsia="Arial" w:hAnsi="Arial"/>
            <w:color w:val="1155CC"/>
            <w:sz w:val="22"/>
            <w:szCs w:val="22"/>
            <w:u w:val="single"/>
          </w:rPr>
          <w:t xml:space="preserve">Zhang et al. (2025). RAGRouter: Learning-based Routing for Retrieval-Augmented Generation. arXiv.</w:t>
        </w:r>
      </w:hyperlink>
    </w:p>
    <w:p>
      <w:pPr>
        <w:pStyle w:val="ListParagraph"/>
        <w:numPr>
          <w:ilvl w:val="0"/>
          <w:numId w:val="3"/>
        </w:numPr>
        <w:spacing w:after="80"/>
      </w:pPr>
      <w:hyperlink w:history="1" r:id="rIdt9ub2k78pxpe9p0cx9hoa">
        <w:r>
          <w:rPr>
            <w:rFonts w:ascii="Arial" w:cs="Arial" w:eastAsia="Arial" w:hAnsi="Arial"/>
            <w:color w:val="1155CC"/>
            <w:sz w:val="22"/>
            <w:szCs w:val="22"/>
            <w:u w:val="single"/>
          </w:rPr>
          <w:t xml:space="preserve">Shnitzer et al. (2023). Large Language Model Routing with Benchmark Datasets. arXiv.</w:t>
        </w:r>
      </w:hyperlink>
    </w:p>
    <w:p>
      <w:pPr>
        <w:pStyle w:val="ListParagraph"/>
        <w:numPr>
          <w:ilvl w:val="0"/>
          <w:numId w:val="3"/>
        </w:numPr>
        <w:spacing w:after="80"/>
      </w:pPr>
      <w:hyperlink w:history="1" r:id="rIdq08yp9iccql89ozullz0_">
        <w:r>
          <w:rPr>
            <w:rFonts w:ascii="Arial" w:cs="Arial" w:eastAsia="Arial" w:hAnsi="Arial"/>
            <w:color w:val="1155CC"/>
            <w:sz w:val="22"/>
            <w:szCs w:val="22"/>
            <w:u w:val="single"/>
          </w:rPr>
          <w:t xml:space="preserve">Asai et al. (2023). Self-RAG: Learning to Retrieve, Generate, and Critique through Self-Reflection. ICLR.</w:t>
        </w:r>
      </w:hyperlink>
    </w:p>
    <w:p>
      <w:pPr>
        <w:pStyle w:val="ListParagraph"/>
        <w:numPr>
          <w:ilvl w:val="0"/>
          <w:numId w:val="3"/>
        </w:numPr>
        <w:spacing w:after="80"/>
      </w:pPr>
      <w:hyperlink w:history="1" r:id="rIddfot04emodyir5w5r-rx9">
        <w:r>
          <w:rPr>
            <w:rFonts w:ascii="Arial" w:cs="Arial" w:eastAsia="Arial" w:hAnsi="Arial"/>
            <w:color w:val="1155CC"/>
            <w:sz w:val="22"/>
            <w:szCs w:val="22"/>
            <w:u w:val="single"/>
          </w:rPr>
          <w:t xml:space="preserve">Zhuang et al. (2023). Rankers are not Routers: A Query-Based Approach to Adaptive Retrieval Augmentation (LTRR). arXiv.</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ephtgy_zxd1ij4xqcfqr" Type="http://schemas.openxmlformats.org/officeDocument/2006/relationships/hyperlink" Target="https://arxiv.org/abs/2005.11401" TargetMode="External"/><Relationship Id="rIddxx4ko4vlco7rdano53pr" Type="http://schemas.openxmlformats.org/officeDocument/2006/relationships/hyperlink" Target="https://www.nowpublishers.com/article/Details/INR-019" TargetMode="External"/><Relationship Id="rIdfyoofasp5nwb1kfl9s9l9" Type="http://schemas.openxmlformats.org/officeDocument/2006/relationships/hyperlink" Target="https://arxiv.org/abs/2104.08663" TargetMode="External"/><Relationship Id="rIdrdyxwxkxqod5dkw7nplmi" Type="http://schemas.openxmlformats.org/officeDocument/2006/relationships/hyperlink" Target="https://arxiv.org/abs/2004.04906" TargetMode="External"/><Relationship Id="rId4d-svss-qcsm2bku8uhm_" Type="http://schemas.openxmlformats.org/officeDocument/2006/relationships/hyperlink" Target="https://arxiv.org/abs/2112.09118" TargetMode="External"/><Relationship Id="rIdfca8t5k5cp0b6shwwhmx6" Type="http://schemas.openxmlformats.org/officeDocument/2006/relationships/hyperlink" Target="https://arxiv.org/abs/2212.03533" TargetMode="External"/><Relationship Id="rIdrttgzeh7nf3vixtaxljth" Type="http://schemas.openxmlformats.org/officeDocument/2006/relationships/hyperlink" Target="https://dl.acm.org/doi/10.1145/1571941.1572114" TargetMode="External"/><Relationship Id="rIdtalsk1xfkdyimvmwrv9fm" Type="http://schemas.openxmlformats.org/officeDocument/2006/relationships/hyperlink" Target="https://arxiv.org/abs/2010.01195" TargetMode="External"/><Relationship Id="rIdd3n2swicyonp8itaytvxg" Type="http://schemas.openxmlformats.org/officeDocument/2006/relationships/hyperlink" Target="https://arxiv.org/abs/2106.14807" TargetMode="External"/><Relationship Id="rIdr6a9yh9kwpjhmmyndnxiw" Type="http://schemas.openxmlformats.org/officeDocument/2006/relationships/hyperlink" Target="https://arxiv.org/abs/2403.14403" TargetMode="External"/><Relationship Id="rId9-xnbd8ouglo7x97trsvk" Type="http://schemas.openxmlformats.org/officeDocument/2006/relationships/hyperlink" Target="https://arxiv.org/abs/2502.09061" TargetMode="External"/><Relationship Id="rIdual4-udxkjjat2sk5rjgr" Type="http://schemas.openxmlformats.org/officeDocument/2006/relationships/hyperlink" Target="https://arxiv.org/abs/2309.15789" TargetMode="External"/><Relationship Id="rIdue4r42vqomhcvi2nuy_vp" Type="http://schemas.openxmlformats.org/officeDocument/2006/relationships/hyperlink" Target="https://arxiv.org/abs/2310.11511" TargetMode="External"/><Relationship Id="rIdcvqilmjoqsbe-3dqygjpu" Type="http://schemas.openxmlformats.org/officeDocument/2006/relationships/hyperlink" Target="https://arxiv.org/abs/2403.14403" TargetMode="External"/><Relationship Id="rIdrad5ndfd8-4o0mwpfhvzk" Type="http://schemas.openxmlformats.org/officeDocument/2006/relationships/hyperlink" Target="https://arxiv.org/abs/2310.11550" TargetMode="External"/><Relationship Id="rIdxmmcqarchwznyhx8myeun" Type="http://schemas.openxmlformats.org/officeDocument/2006/relationships/hyperlink" Target="https://arxiv.org/abs/2005.11401" TargetMode="External"/><Relationship Id="rId9jh0plsaurtsds-bokw3_" Type="http://schemas.openxmlformats.org/officeDocument/2006/relationships/hyperlink" Target="https://arxiv.org/abs/2004.04906" TargetMode="External"/><Relationship Id="rIdwofsza5co0z95j5hizkvk" Type="http://schemas.openxmlformats.org/officeDocument/2006/relationships/hyperlink" Target="https://dl.acm.org/doi/10.1145/1571941.1572114" TargetMode="External"/><Relationship Id="rId6xbhcjrrk54rqi4zdqmc9" Type="http://schemas.openxmlformats.org/officeDocument/2006/relationships/hyperlink" Target="https://www.nowpublishers.com/article/Details/INR-019" TargetMode="External"/><Relationship Id="rIddlwaoqfmoeu1ejtm8e7z4" Type="http://schemas.openxmlformats.org/officeDocument/2006/relationships/hyperlink" Target="https://arxiv.org/abs/2104.08663" TargetMode="External"/><Relationship Id="rIdcbdlhixmialcr2i67hfxr" Type="http://schemas.openxmlformats.org/officeDocument/2006/relationships/hyperlink" Target="https://arxiv.org/abs/2112.09118" TargetMode="External"/><Relationship Id="rIdkfn_psotmdyklyu6cdxae" Type="http://schemas.openxmlformats.org/officeDocument/2006/relationships/hyperlink" Target="https://arxiv.org/abs/2212.03533" TargetMode="External"/><Relationship Id="rId6qsvhmngpxrvaedubruxf" Type="http://schemas.openxmlformats.org/officeDocument/2006/relationships/hyperlink" Target="https://arxiv.org/abs/2010.01195" TargetMode="External"/><Relationship Id="rIdtjkdznqfl903d5h2xcyz_" Type="http://schemas.openxmlformats.org/officeDocument/2006/relationships/hyperlink" Target="https://arxiv.org/abs/2106.14807" TargetMode="External"/><Relationship Id="rId3mveeftncpix07v4gkjz-" Type="http://schemas.openxmlformats.org/officeDocument/2006/relationships/hyperlink" Target="https://arxiv.org/abs/2403.14403" TargetMode="External"/><Relationship Id="rIdbts6nyfhco_7xaz1o7-sx" Type="http://schemas.openxmlformats.org/officeDocument/2006/relationships/hyperlink" Target="https://arxiv.org/abs/2502.09061" TargetMode="External"/><Relationship Id="rIdt9ub2k78pxpe9p0cx9hoa" Type="http://schemas.openxmlformats.org/officeDocument/2006/relationships/hyperlink" Target="https://arxiv.org/abs/2309.15789" TargetMode="External"/><Relationship Id="rIdq08yp9iccql89ozullz0_" Type="http://schemas.openxmlformats.org/officeDocument/2006/relationships/hyperlink" Target="https://arxiv.org/abs/2310.11511" TargetMode="External"/><Relationship Id="rIddfot04emodyir5w5r-rx9" Type="http://schemas.openxmlformats.org/officeDocument/2006/relationships/hyperlink" Target="https://arxiv.org/abs/2310.11550" TargetMode="External"/><Relationship Id="rId3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2026-03-10T19:11:46.083Z</dcterms:created>
  <dcterms:modified xsi:type="dcterms:W3CDTF">2026-03-10T19:11:46.085Z</dcterms:modified>
</cp:coreProperties>
</file>

<file path=docProps/custom.xml><?xml version="1.0" encoding="utf-8"?>
<Properties xmlns="http://schemas.openxmlformats.org/officeDocument/2006/custom-properties" xmlns:vt="http://schemas.openxmlformats.org/officeDocument/2006/docPropsVTypes"/>
</file>