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6.png" ContentType="image/png"/>
  <Override PartName="/word/media/rId30.png" ContentType="image/png"/>
  <Override PartName="/word/media/rId28.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Bumble</w:t>
      </w:r>
      <w:r>
        <w:t xml:space="preserve"> </w:t>
      </w:r>
      <w:r>
        <w:t xml:space="preserve">bees</w:t>
      </w:r>
      <w:r>
        <w:t xml:space="preserve"> </w:t>
      </w:r>
      <w:r>
        <w:t xml:space="preserve">and</w:t>
      </w:r>
      <w:r>
        <w:t xml:space="preserve"> </w:t>
      </w:r>
      <w:r>
        <w:t xml:space="preserve">wildflowers</w:t>
      </w:r>
      <w:r>
        <w:t xml:space="preserve"> </w:t>
      </w:r>
      <w:r>
        <w:t xml:space="preserve">along</w:t>
      </w:r>
      <w:r>
        <w:t xml:space="preserve"> </w:t>
      </w:r>
      <w:r>
        <w:t xml:space="preserve">a</w:t>
      </w:r>
      <w:r>
        <w:t xml:space="preserve"> </w:t>
      </w:r>
      <w:r>
        <w:t xml:space="preserve">mountain</w:t>
      </w:r>
      <w:r>
        <w:t xml:space="preserve"> </w:t>
      </w:r>
      <w:r>
        <w:t xml:space="preserve">slope</w:t>
      </w:r>
      <w:r>
        <w:t xml:space="preserve"> </w:t>
      </w:r>
      <w:r>
        <w:t xml:space="preserve">exhibit</w:t>
      </w:r>
      <w:r>
        <w:t xml:space="preserve"> </w:t>
      </w:r>
      <w:r>
        <w:t xml:space="preserve">nonlinear</w:t>
      </w:r>
      <w:r>
        <w:t xml:space="preserve"> </w:t>
      </w:r>
      <w:r>
        <w:t xml:space="preserve">patterns</w:t>
      </w:r>
      <w:r>
        <w:t xml:space="preserve"> </w:t>
      </w:r>
      <w:r>
        <w:t xml:space="preserve">of</w:t>
      </w:r>
      <w:r>
        <w:t xml:space="preserve"> </w:t>
      </w:r>
      <w:r>
        <w:t xml:space="preserve">abundance</w:t>
      </w:r>
      <w:r>
        <w:t xml:space="preserve"> </w:t>
      </w:r>
      <w:r>
        <w:t xml:space="preserve">and</w:t>
      </w:r>
      <w:r>
        <w:t xml:space="preserve"> </w:t>
      </w:r>
      <w:r>
        <w:t xml:space="preserve">turnover,</w:t>
      </w:r>
      <w:r>
        <w:t xml:space="preserve"> </w:t>
      </w:r>
      <w:r>
        <w:t xml:space="preserve">punctuated</w:t>
      </w:r>
      <w:r>
        <w:t xml:space="preserve"> </w:t>
      </w:r>
      <w:r>
        <w:t xml:space="preserve">by</w:t>
      </w:r>
      <w:r>
        <w:t xml:space="preserve"> </w:t>
      </w:r>
      <w:r>
        <w:t xml:space="preserve">the</w:t>
      </w:r>
      <w:r>
        <w:t xml:space="preserve"> </w:t>
      </w:r>
      <w:r>
        <w:t xml:space="preserve">tree</w:t>
      </w:r>
      <w:r>
        <w:t xml:space="preserve"> </w:t>
      </w:r>
      <w:r>
        <w:t xml:space="preserve">line</w:t>
      </w:r>
      <w:r>
        <w:t xml:space="preserve"> </w:t>
      </w:r>
      <w:r>
        <w:t xml:space="preserve">ecotone</w:t>
      </w:r>
    </w:p>
    <w:p>
      <w:pPr>
        <w:pStyle w:val="Author"/>
      </w:pPr>
      <w:r>
        <w:t xml:space="preserve">Douglas</w:t>
      </w:r>
      <w:r>
        <w:t xml:space="preserve"> </w:t>
      </w:r>
      <w:r>
        <w:t xml:space="preserve">B.</w:t>
      </w:r>
      <w:r>
        <w:t xml:space="preserve"> </w:t>
      </w:r>
      <w:r>
        <w:t xml:space="preserve">Sponsler</w:t>
      </w:r>
      <w:r>
        <w:rPr>
          <w:vertAlign w:val="superscript"/>
        </w:rPr>
        <w:t xml:space="preserve">1</w:t>
      </w:r>
      <w:r>
        <w:t xml:space="preserve">*,</w:t>
      </w:r>
      <w:r>
        <w:t xml:space="preserve"> </w:t>
      </w:r>
      <w:r>
        <w:t xml:space="preserve">Fabrice</w:t>
      </w:r>
      <w:r>
        <w:t xml:space="preserve"> </w:t>
      </w:r>
      <w:r>
        <w:t xml:space="preserve">Requier</w:t>
      </w:r>
      <w:r>
        <w:rPr>
          <w:vertAlign w:val="superscript"/>
        </w:rPr>
        <w:t xml:space="preserve">2</w:t>
      </w:r>
      <w:r>
        <w:t xml:space="preserve">,</w:t>
      </w:r>
      <w:r>
        <w:t xml:space="preserve"> </w:t>
      </w:r>
      <w:r>
        <w:t xml:space="preserve">Katharina</w:t>
      </w:r>
      <w:r>
        <w:t xml:space="preserve"> </w:t>
      </w:r>
      <w:r>
        <w:t xml:space="preserve">Kallnik</w:t>
      </w:r>
      <w:r>
        <w:rPr>
          <w:vertAlign w:val="superscript"/>
        </w:rPr>
        <w:t xml:space="preserve">1</w:t>
      </w:r>
      <w:r>
        <w:t xml:space="preserve">,</w:t>
      </w:r>
      <w:r>
        <w:t xml:space="preserve"> </w:t>
      </w:r>
      <w:r>
        <w:t xml:space="preserve">Alice</w:t>
      </w:r>
      <w:r>
        <w:t xml:space="preserve"> </w:t>
      </w:r>
      <w:r>
        <w:t xml:space="preserve">Claßen</w:t>
      </w:r>
      <w:r>
        <w:rPr>
          <w:vertAlign w:val="superscript"/>
        </w:rPr>
        <w:t xml:space="preserve">1</w:t>
      </w:r>
      <w:r>
        <w:t xml:space="preserve">,</w:t>
      </w:r>
      <w:r>
        <w:t xml:space="preserve"> </w:t>
      </w:r>
      <w:r>
        <w:t xml:space="preserve">A.</w:t>
      </w:r>
      <w:r>
        <w:t xml:space="preserve"> </w:t>
      </w:r>
      <w:r>
        <w:t xml:space="preserve">Fabienne</w:t>
      </w:r>
      <w:r>
        <w:t xml:space="preserve"> </w:t>
      </w:r>
      <w:r>
        <w:t xml:space="preserve">Maihoff</w:t>
      </w:r>
      <w:r>
        <w:rPr>
          <w:vertAlign w:val="superscript"/>
        </w:rPr>
        <w:t xml:space="preserve">1</w:t>
      </w:r>
      <w:r>
        <w:t xml:space="preserve">,</w:t>
      </w:r>
      <w:r>
        <w:t xml:space="preserve"> </w:t>
      </w:r>
      <w:r>
        <w:t xml:space="preserve">Ingolf</w:t>
      </w:r>
      <w:r>
        <w:t xml:space="preserve"> </w:t>
      </w:r>
      <w:r>
        <w:t xml:space="preserve">Steffan-Dewenter</w:t>
      </w:r>
      <w:r>
        <w:rPr>
          <w:vertAlign w:val="superscript"/>
        </w:rPr>
        <w:t xml:space="preserve">1</w:t>
      </w:r>
    </w:p>
    <w:p>
      <w:pPr>
        <w:pStyle w:val="FirstParagraph"/>
      </w:pPr>
      <w:r>
        <w:rPr>
          <w:vertAlign w:val="superscript"/>
        </w:rPr>
        <w:t xml:space="preserve">1</w:t>
      </w:r>
      <w:r>
        <w:t xml:space="preserve"> </w:t>
      </w:r>
      <w:r>
        <w:t xml:space="preserve">Department of Animal Ecology and Tropical Biology, Biocenter, University of Würzburg, Würzburg, Germany</w:t>
      </w:r>
    </w:p>
    <w:p>
      <w:pPr>
        <w:pStyle w:val="BodyText"/>
      </w:pPr>
      <w:r>
        <w:rPr>
          <w:vertAlign w:val="superscript"/>
        </w:rPr>
        <w:t xml:space="preserve">2</w:t>
      </w:r>
      <w:r>
        <w:t xml:space="preserve"> </w:t>
      </w:r>
      <w:r>
        <w:t xml:space="preserve">Université Paris-Saclay, CNRS, IRD, UMR Évolution, Génomes, Comportement et Écologie, 91198, Gif-sur-Yvette, France</w:t>
      </w:r>
    </w:p>
    <w:p>
      <w:pPr>
        <w:pStyle w:val="BodyText"/>
      </w:pPr>
      <w:r>
        <w:rPr>
          <w:rStyle w:val="VerbatimChar"/>
        </w:rPr>
        <w:t xml:space="preserve">*</w:t>
      </w:r>
      <w:r>
        <w:t xml:space="preserve"> </w:t>
      </w:r>
      <w:r>
        <w:t xml:space="preserve">Corresponding author:</w:t>
      </w:r>
      <w:r>
        <w:t xml:space="preserve"> </w:t>
      </w:r>
      <w:hyperlink r:id="rId20">
        <w:r>
          <w:rPr>
            <w:rStyle w:val="Hyperlink"/>
          </w:rPr>
          <w:t xml:space="preserve">douglas.sponsler@uni-wuerzburg.de</w:t>
        </w:r>
      </w:hyperlink>
    </w:p>
    <w:bookmarkStart w:id="21" w:name="abstract"/>
    <w:p>
      <w:pPr>
        <w:pStyle w:val="Heading1"/>
      </w:pPr>
      <w:r>
        <w:t xml:space="preserve">ABSTRACT</w:t>
      </w:r>
    </w:p>
    <w:p>
      <w:pPr>
        <w:pStyle w:val="FirstParagraph"/>
      </w:pPr>
      <w:r>
        <w:t xml:space="preserve">Write your abstract here.</w:t>
      </w:r>
    </w:p>
    <w:p>
      <w:pPr>
        <w:pStyle w:val="BodyText"/>
      </w:pPr>
      <w:r>
        <w:rPr>
          <w:iCs/>
          <w:i/>
        </w:rPr>
        <w:t xml:space="preserve">Keywords</w:t>
      </w:r>
      <w:r>
        <w:t xml:space="preserve">: climate, elevation gradient, pollinator,</w:t>
      </w:r>
      <w:r>
        <w:t xml:space="preserve"> </w:t>
      </w:r>
      <w:r>
        <w:rPr>
          <w:iCs/>
          <w:i/>
        </w:rPr>
        <w:t xml:space="preserve">Bombus</w:t>
      </w:r>
      <w:r>
        <w:t xml:space="preserve">, alpine</w:t>
      </w:r>
    </w:p>
    <w:bookmarkEnd w:id="21"/>
    <w:bookmarkStart w:id="22" w:name="introduction"/>
    <w:p>
      <w:pPr>
        <w:pStyle w:val="Heading1"/>
      </w:pPr>
      <w:r>
        <w:t xml:space="preserve">INTRODUCTION</w:t>
      </w:r>
    </w:p>
    <w:p>
      <w:pPr>
        <w:pStyle w:val="FirstParagraph"/>
      </w:pPr>
      <w:r>
        <w:t xml:space="preserve">The rate of modern climate change is forcing species to adapt ecologically within the constraints of gene pools shaped by cooler climates</w:t>
      </w:r>
      <w:r>
        <w:t xml:space="preserve"> </w:t>
      </w:r>
      <w:r>
        <w:t xml:space="preserve">(Visser 2008)</w:t>
      </w:r>
      <w:r>
        <w:t xml:space="preserve">. As temperatures rise, species are expected to track suitable conditions to higher latitudes and higher elevations, and such effects are already measurable across a broad range of taxa</w:t>
      </w:r>
      <w:r>
        <w:t xml:space="preserve"> </w:t>
      </w:r>
      <w:r>
        <w:t xml:space="preserve">(Lenoir and Svenning 2015)</w:t>
      </w:r>
      <w:r>
        <w:t xml:space="preserve">. Species range shifts, however, are not merely abstract, Cartesian translations along axes of latitude, elevation, and temperature; they are movements</w:t>
      </w:r>
      <w:r>
        <w:t xml:space="preserve"> </w:t>
      </w:r>
      <w:r>
        <w:rPr>
          <w:iCs/>
          <w:i/>
        </w:rPr>
        <w:t xml:space="preserve">in situ</w:t>
      </w:r>
      <w:r>
        <w:t xml:space="preserve">, involving the advent, extinction, and reorganization of biological interactions</w:t>
      </w:r>
      <w:r>
        <w:t xml:space="preserve"> </w:t>
      </w:r>
      <w:r>
        <w:t xml:space="preserve">(Tylianakis et al. 2008, Blois et al. 2013)</w:t>
      </w:r>
      <w:r>
        <w:t xml:space="preserve"> </w:t>
      </w:r>
      <w:r>
        <w:t xml:space="preserve">as well as the concomitant variation of abiotic conditions other than temperature</w:t>
      </w:r>
      <w:r>
        <w:t xml:space="preserve"> </w:t>
      </w:r>
      <w:r>
        <w:t xml:space="preserve">(Körner 1995, Hodkinson 2005)</w:t>
      </w:r>
      <w:r>
        <w:t xml:space="preserve">. Moreover, some of these factors, unlike temperature, cannot be assumed to vary linearly with latitude or elevation but instead exhibit marked nonlinearities and thresholds. A salient example is the tree line ecotone that marks the elevational transition between forest and grassland. At this relatively discrete band within a continuous elevational temperature gradient, plant communities exhibit rapid species turnover</w:t>
      </w:r>
      <w:r>
        <w:t xml:space="preserve"> </w:t>
      </w:r>
      <w:r>
        <w:t xml:space="preserve">(Descombes et al. 2017)</w:t>
      </w:r>
      <w:r>
        <w:t xml:space="preserve"> </w:t>
      </w:r>
      <w:r>
        <w:t xml:space="preserve">and declining diversity</w:t>
      </w:r>
      <w:r>
        <w:t xml:space="preserve"> </w:t>
      </w:r>
      <w:r>
        <w:t xml:space="preserve">(Becker et al. 2007)</w:t>
      </w:r>
      <w:r>
        <w:t xml:space="preserve"> </w:t>
      </w:r>
      <w:r>
        <w:t xml:space="preserve">as abiotic conditions become more extreme away from the shelter of tree canopy</w:t>
      </w:r>
      <w:r>
        <w:t xml:space="preserve"> </w:t>
      </w:r>
      <w:r>
        <w:t xml:space="preserve">(Slatyer and Noble 1992)</w:t>
      </w:r>
      <w:r>
        <w:t xml:space="preserve">. Thus, species range shifts — and, perhaps more importantly, the ecological consequences thereof — are contingent upon patterns of species distributions and biotic interactions, and community ecology is as much prior as posterior to the ecology of global change.</w:t>
      </w:r>
    </w:p>
    <w:p>
      <w:pPr>
        <w:pStyle w:val="BodyText"/>
      </w:pPr>
      <w:r>
        <w:t xml:space="preserve">Bumble bees (Hymenoptera:</w:t>
      </w:r>
      <w:r>
        <w:t xml:space="preserve"> </w:t>
      </w:r>
      <w:r>
        <w:rPr>
          <w:iCs/>
          <w:i/>
        </w:rPr>
        <w:t xml:space="preserve">Bombus</w:t>
      </w:r>
      <w:r>
        <w:t xml:space="preserve"> </w:t>
      </w:r>
      <w:r>
        <w:t xml:space="preserve">spp.) are both a classic model organism in community ecology and an emergent conservation priority due to recent declines</w:t>
      </w:r>
      <w:r>
        <w:t xml:space="preserve"> </w:t>
      </w:r>
      <w:r>
        <w:t xml:space="preserve">(Goulson et al. 2008)</w:t>
      </w:r>
      <w:r>
        <w:t xml:space="preserve"> </w:t>
      </w:r>
      <w:r>
        <w:t xml:space="preserve">and manifest vulnerability to climate change</w:t>
      </w:r>
      <w:r>
        <w:t xml:space="preserve"> </w:t>
      </w:r>
      <w:r>
        <w:t xml:space="preserve">(Soroye et al. 2020)</w:t>
      </w:r>
      <w:r>
        <w:t xml:space="preserve">. The genus</w:t>
      </w:r>
      <w:r>
        <w:t xml:space="preserve"> </w:t>
      </w:r>
      <w:r>
        <w:rPr>
          <w:iCs/>
          <w:i/>
        </w:rPr>
        <w:t xml:space="preserve">Bombus</w:t>
      </w:r>
      <w:r>
        <w:t xml:space="preserve"> </w:t>
      </w:r>
      <w:r>
        <w:t xml:space="preserve">is believed to have arisen in the mountains of Asia during the cooling climate of the Eocene-Oligocene boundary (~34 mya), and its subsequent spread and diversification along mountain corridors and into lowland habitats was likely driven by alternating range expansion during cooling periods and retreat to higher elevations during warming periods</w:t>
      </w:r>
      <w:r>
        <w:t xml:space="preserve"> </w:t>
      </w:r>
      <w:r>
        <w:t xml:space="preserve">(Hines 2008, Stewart et al. 2010, Martinet et al. 2018)</w:t>
      </w:r>
      <w:r>
        <w:t xml:space="preserve">. Today, bumble bees remain characteristically cold-adapted species</w:t>
      </w:r>
      <w:r>
        <w:t xml:space="preserve"> </w:t>
      </w:r>
      <w:r>
        <w:t xml:space="preserve">(Heinrich and Esch 1994)</w:t>
      </w:r>
      <w:r>
        <w:t xml:space="preserve">, with peak abundance and diversity associated with mountain ranges and northern latitudes, where they are often the dominant guild of flower-visiting insects and the principal pollinators of entomophilous flora</w:t>
      </w:r>
      <w:r>
        <w:t xml:space="preserve"> </w:t>
      </w:r>
      <w:r>
        <w:t xml:space="preserve">(Williams 1998, Goulson 2010)</w:t>
      </w:r>
      <w:r>
        <w:t xml:space="preserve">. Climate-induced range shifts are expected to be especially pronounced in the mountain habitats that host the core of bumble bee biodiversity, together with their floral mutualists, and upward movement of bumble bee species has already been documented</w:t>
      </w:r>
      <w:r>
        <w:t xml:space="preserve"> </w:t>
      </w:r>
      <w:r>
        <w:t xml:space="preserve">(Ploquin et al. 2013, Kerr et al. 2015, Pyke et al. 2016, Fourcade et al. 2019, Soroye et al. 2020, Marshall et al. 2020)</w:t>
      </w:r>
      <w:r>
        <w:t xml:space="preserve">. Populations of bumble bee species already restricted to the highest elevation zones can be expected to suffer geometric habitat shrinkage and increasing genetic isolation as they move toward mountain peaks; the upward advance of lowland species may induce novel competitive pressures and disrupt the pollination networks in which bumble bees participate</w:t>
      </w:r>
      <w:r>
        <w:t xml:space="preserve"> </w:t>
      </w:r>
      <w:r>
        <w:t xml:space="preserve">(Ishii 2013, Brosi and Briggs 2013)</w:t>
      </w:r>
      <w:r>
        <w:t xml:space="preserve">; and concurrent elevational</w:t>
      </w:r>
      <w:r>
        <w:t xml:space="preserve"> </w:t>
      </w:r>
      <w:r>
        <w:t xml:space="preserve">(Lenoir et al. 2008)</w:t>
      </w:r>
      <w:r>
        <w:t xml:space="preserve"> </w:t>
      </w:r>
      <w:r>
        <w:t xml:space="preserve">and/or phenological</w:t>
      </w:r>
      <w:r>
        <w:t xml:space="preserve"> </w:t>
      </w:r>
      <w:r>
        <w:t xml:space="preserve">(Pyke et al. 2016)</w:t>
      </w:r>
      <w:r>
        <w:t xml:space="preserve"> </w:t>
      </w:r>
      <w:r>
        <w:t xml:space="preserve">shifts in the floral community could generate mismatches between bumble bee species and their historic floral hosts.</w:t>
      </w:r>
    </w:p>
    <w:p>
      <w:pPr>
        <w:pStyle w:val="BodyText"/>
      </w:pPr>
      <w:r>
        <w:t xml:space="preserve">The outcomes of range shifts in mountain bumble bee and floral communities have obvious significance from a conservation perspective, but they also provide a model system in which to study the general phenomenon of community assembly under climate change, a phenomenon of both historical interest and prospective urgency. The goal of anticipating, interpreting, and potentially mitigating the effects of ranges shifts, however, is predicated upon understanding the current elevational and temporal patterns of bumble bee communities and those of their floral hosts. In particular, it is important to detect nonlinearities in species-, community-, and interaction-level responses to elevational climate gradients, such as the floristic threshold effect that has been documented at the tree line ecotone</w:t>
      </w:r>
      <w:r>
        <w:t xml:space="preserve"> </w:t>
      </w:r>
      <w:r>
        <w:t xml:space="preserve">(Descombes et al. 2017)</w:t>
      </w:r>
      <w:r>
        <w:t xml:space="preserve">.</w:t>
      </w:r>
    </w:p>
    <w:p>
      <w:pPr>
        <w:pStyle w:val="BodyText"/>
      </w:pPr>
      <w:r>
        <w:t xml:space="preserve">In the present study, we approach this topic at three levels of biological organization. First, we ask how mountain bumble bee species are distributed in elevation and intra-annual time with respect to one another and with respect to their floral hosts. Then, we move from the level of individual species to that of community composition and explore the structure of species turnover (i.e. β-diversity) of bumble bees and flora in response to elevation. Finally, propagate the question to the level of species interactions, investigating the turnover of bee-flower interaction partners through elevation. In each of these analyses, we employ flexible modeling techniques capable of capturing nonlinear responses to elevation and time with the goal of identifying where, when, and for which species the impacts of climate-induced range shifts should be expected to be most acute.</w:t>
      </w:r>
    </w:p>
    <w:bookmarkEnd w:id="22"/>
    <w:bookmarkStart w:id="25" w:name="methods"/>
    <w:p>
      <w:pPr>
        <w:pStyle w:val="Heading1"/>
      </w:pPr>
      <w:r>
        <w:t xml:space="preserve">METHODS</w:t>
      </w:r>
    </w:p>
    <w:bookmarkStart w:id="23" w:name="field-system"/>
    <w:p>
      <w:pPr>
        <w:pStyle w:val="Heading2"/>
      </w:pPr>
      <w:r>
        <w:t xml:space="preserve">Field system</w:t>
      </w:r>
    </w:p>
    <w:p>
      <w:pPr>
        <w:pStyle w:val="FirstParagraph"/>
      </w:pPr>
      <w:r>
        <w:t xml:space="preserve">The study was conducted in Berchtesgaden National Park (47.55°N, 12.92°E), located in the Northern Limestone Alps of southeast Germany. The landscape is composed of mountain pastures mainly surrounded by coniferous forests. We selected 25 study sites (60 x 60 m) on mountain pastures at elevations ranging from 641-2032 m above sea level. Fourteen of these pastures are extensively grazed by cattle or sheep, three are mowed for hay production, and eight have been abandoned throughout the last century and are no longer subject to any human management. The sites sampled in this study are the same as those used in a series of previous studies</w:t>
      </w:r>
      <w:r>
        <w:t xml:space="preserve"> </w:t>
      </w:r>
      <w:r>
        <w:t xml:space="preserve">(Hoiss et al. 2012a, 2012b, 2015)</w:t>
      </w:r>
      <w:r>
        <w:t xml:space="preserve">, but the data reported here are otherwise independent.</w:t>
      </w:r>
    </w:p>
    <w:p>
      <w:pPr>
        <w:pStyle w:val="BodyText"/>
      </w:pPr>
      <w:r>
        <w:t xml:space="preserve">Sampling consisted of repeated visits to each study site at approximately weekly intervals. Samples were only collected on dry days when the air temperature was at least 6°C. During each visit, bumble bees and their activity were recorded during a 50-minute transect walk. Bumblebees observed on or a given flower were counted as floral visitors. Bumble bee queens were identified to species level in the field, while workers and males were stored in individually labeled tubes in the freezer for later identification in the laboratory after</w:t>
      </w:r>
      <w:r>
        <w:t xml:space="preserve"> </w:t>
      </w:r>
      <w:r>
        <w:t xml:space="preserve">(Amiet 1996)</w:t>
      </w:r>
      <w:r>
        <w:t xml:space="preserve">. Floral visitation by male bumble bees was recorded during visitation sampling, but we chose to analyze only visitation by queens and workers.</w:t>
      </w:r>
    </w:p>
    <w:p>
      <w:pPr>
        <w:pStyle w:val="BodyText"/>
      </w:pPr>
      <w:r>
        <w:t xml:space="preserve">In conjunction with visitation observations, we estimated the flower cover of each herbaceous or shrubby plant species within each 60 x 60 m study plot to the nearest 0.1 m</w:t>
      </w:r>
      <w:r>
        <w:rPr>
          <w:vertAlign w:val="superscript"/>
        </w:rPr>
        <w:t xml:space="preserve">2</w:t>
      </w:r>
      <w:r>
        <w:t xml:space="preserve">. Species identification followed</w:t>
      </w:r>
      <w:r>
        <w:t xml:space="preserve"> </w:t>
      </w:r>
      <w:r>
        <w:t xml:space="preserve">Lauber and Wagner (2007)</w:t>
      </w:r>
      <w:r>
        <w:t xml:space="preserve"> </w:t>
      </w:r>
      <w:r>
        <w:t xml:space="preserve">and</w:t>
      </w:r>
      <w:r>
        <w:t xml:space="preserve"> </w:t>
      </w:r>
      <w:r>
        <w:t xml:space="preserve">Oberndorfer (2001)</w:t>
      </w:r>
      <w:r>
        <w:t xml:space="preserve">.</w:t>
      </w:r>
    </w:p>
    <w:bookmarkEnd w:id="23"/>
    <w:bookmarkStart w:id="24" w:name="data-analysis"/>
    <w:p>
      <w:pPr>
        <w:pStyle w:val="Heading2"/>
      </w:pPr>
      <w:r>
        <w:t xml:space="preserve">Data analysis</w:t>
      </w:r>
    </w:p>
    <w:p>
      <w:pPr>
        <w:pStyle w:val="FirstParagraph"/>
      </w:pPr>
      <w:r>
        <w:t xml:space="preserve">Bumble bee abundance was quantified as the total number of recorded floral visits per bumble bee species per site-date (excluding males). To represent floral abundance from the perspective of each bumble bee species in our network, we first scored each plant genus in our data set as either visited or not visited by each bumble bee species. We then calculated the total floral resource availability for each bumble bee species for each site-date by summing the observed flower cover of visited genera. We opted to work at the genus level based on the reasoning that if a bumble bee species visits one member of a given genus, other members of the same genus should also be considered potential floral hosts. This approach was intended to dampen the effects of false non-detection on the estimation of floral resource abundance, particularly for rare bumble bee species whose diet breadth would tend to be underestimated simply due to sparsity of observations</w:t>
      </w:r>
      <w:r>
        <w:t xml:space="preserve"> </w:t>
      </w:r>
      <w:r>
        <w:t xml:space="preserve">(Williams 2005)</w:t>
      </w:r>
      <w:r>
        <w:t xml:space="preserve">.</w:t>
      </w:r>
    </w:p>
    <w:p>
      <w:pPr>
        <w:pStyle w:val="BodyText"/>
      </w:pPr>
      <w:r>
        <w:t xml:space="preserve">We analyzed bumble bee abundance and floral abundance using separate hierarchical generalized additive models (HGAM)</w:t>
      </w:r>
      <w:r>
        <w:t xml:space="preserve"> </w:t>
      </w:r>
      <w:r>
        <w:t xml:space="preserve">(Wood 2011, Pedersen et al. 2019)</w:t>
      </w:r>
      <w:r>
        <w:t xml:space="preserve">, with abundance modeled as a response to the interaction (tensor product) of elevation and day-of-year. Bumble bee species was included in each model as both a smoothing factor and a random intercept term, resulting in centered 2-dimensional abundance smooths for each bumble bee species. We also included year and site as random intercept effects to account for annual differences in abundance patterns and repeated measurements within sites.</w:t>
      </w:r>
    </w:p>
    <w:p>
      <w:pPr>
        <w:pStyle w:val="BodyText"/>
      </w:pPr>
      <w:r>
        <w:t xml:space="preserve">To complement GAM-based analysis of abundance patterns through elevation and time, we also analyzed the site occupancy pattern of each bumble bee species using cluster and ordination analyses. We first calculated the mean abundance across dates of each bumble bee species for each site in our study system. Then, we applied a Hellinger transformation to the matrix of mean abundances and calculated the Horn-Morisita distance metric for each pair of species. The resulting distance matrix was then used to generate a principal coordinates analysis (PCoA) and a cluster dendrogram, each depicting the (dis)similarity between species pairs in their distribution across sites. The primary purpose of this analysis was to organize the presentation of the GAM results by grouping species with similar site affinities, but because our sites were arranged along an elevation gradient, our cluster and ordination analyses also highlight differences between species in elevational distribution.</w:t>
      </w:r>
    </w:p>
    <w:p>
      <w:pPr>
        <w:pStyle w:val="BodyText"/>
      </w:pPr>
      <w:r>
        <w:t xml:space="preserve">For our analyses of species and interaction β-diversity, we opted to focus on elevational patterns by pooling samples within sites, since the sparse observations of individual sampling events tended to inflate β-diversity and its variance to a degree that impaired model fitting and interpretation. After pooling, we calculated the species and interaction β-diversity between all pairs of sites and partitioned total interaction β-diversity into its components of species turnover (further partitioned into bumble bee and plant turnover, respectively) and interaction rewiring</w:t>
      </w:r>
      <w:r>
        <w:t xml:space="preserve"> </w:t>
      </w:r>
      <w:r>
        <w:t xml:space="preserve">(Novotny 2009, Poisot et al. 2012)</w:t>
      </w:r>
      <w:r>
        <w:t xml:space="preserve">.</w:t>
      </w:r>
    </w:p>
    <w:p>
      <w:pPr>
        <w:pStyle w:val="BodyText"/>
      </w:pPr>
      <w:r>
        <w:t xml:space="preserve">As an initial analysis, we plotted the relationship between site-wise elevation difference and each metric of β-diversity and verified the significance of the relationship using logistic matrix regression</w:t>
      </w:r>
      <w:r>
        <w:t xml:space="preserve"> </w:t>
      </w:r>
      <w:r>
        <w:t xml:space="preserve">(Goslee 2009)</w:t>
      </w:r>
      <w:r>
        <w:t xml:space="preserve">, with the difference in number of sampling dates between sites as a covariate to control for potential confounding effects of sampling frequency.</w:t>
      </w:r>
    </w:p>
    <w:p>
      <w:pPr>
        <w:pStyle w:val="BodyText"/>
      </w:pPr>
      <w:r>
        <w:t xml:space="preserve">To investigate the relationship between elevation and β-diversity more deeply, we performed a second analysis using generalized dissimilarity modeling (GDM)</w:t>
      </w:r>
      <w:r>
        <w:t xml:space="preserve"> </w:t>
      </w:r>
      <w:r>
        <w:t xml:space="preserve">(Ferrier et al. 2007)</w:t>
      </w:r>
      <w:r>
        <w:t xml:space="preserve"> </w:t>
      </w:r>
      <w:r>
        <w:t xml:space="preserve">to analyze the elevational variation in the β-diversity of bumble bees, flora, and (unpartitioned) interactions. In addition to estimating the relationship between differences in the response variable and differences in the predictor variables, GDM captures the slope of this relationship over the range of each predictor variable, revealing potential variation in the amount of change in the response induced by a given change in a predictor. This enabled us to ask whether the relationship between β-diversity and elevation exhibits thresholds or other nonlinearities. To control for potential confounding effects of geographic proximity and number of sampling dates per site, these terms were added as covariates in the GDM.</w:t>
      </w:r>
    </w:p>
    <w:p>
      <w:pPr>
        <w:pStyle w:val="BodyText"/>
      </w:pPr>
      <w:r>
        <w:t xml:space="preserve">All analyses were conducted in</w:t>
      </w:r>
      <w:r>
        <w:t xml:space="preserve"> </w:t>
      </w:r>
      <w:r>
        <w:rPr>
          <w:rStyle w:val="VerbatimChar"/>
        </w:rPr>
        <w:t xml:space="preserve">R</w:t>
      </w:r>
      <w:r>
        <w:t xml:space="preserve"> </w:t>
      </w:r>
      <w:r>
        <w:t xml:space="preserve">(R Core Team 2020)</w:t>
      </w:r>
      <w:r>
        <w:t xml:space="preserve">. GAM analyses were performed with packages</w:t>
      </w:r>
      <w:r>
        <w:t xml:space="preserve"> </w:t>
      </w:r>
      <w:r>
        <w:rPr>
          <w:rStyle w:val="VerbatimChar"/>
        </w:rPr>
        <w:t xml:space="preserve">mgcv</w:t>
      </w:r>
      <w:r>
        <w:t xml:space="preserve"> </w:t>
      </w:r>
      <w:r>
        <w:t xml:space="preserve">(Wood 2017)</w:t>
      </w:r>
      <w:r>
        <w:t xml:space="preserve"> </w:t>
      </w:r>
      <w:r>
        <w:t xml:space="preserve">and</w:t>
      </w:r>
      <w:r>
        <w:t xml:space="preserve"> </w:t>
      </w:r>
      <w:r>
        <w:rPr>
          <w:rStyle w:val="VerbatimChar"/>
        </w:rPr>
        <w:t xml:space="preserve">mgcViz</w:t>
      </w:r>
      <w:r>
        <w:t xml:space="preserve"> </w:t>
      </w:r>
      <w:r>
        <w:t xml:space="preserve">(Fasiolo et al. 2018)</w:t>
      </w:r>
      <w:r>
        <w:t xml:space="preserve">, and the models we fit correspond to the</w:t>
      </w:r>
      <w:r>
        <w:t xml:space="preserve"> </w:t>
      </w:r>
      <w:r>
        <w:t xml:space="preserve">“</w:t>
      </w:r>
      <w:r>
        <w:t xml:space="preserve">type I</w:t>
      </w:r>
      <w:r>
        <w:t xml:space="preserve">”</w:t>
      </w:r>
      <w:r>
        <w:t xml:space="preserve"> </w:t>
      </w:r>
      <w:r>
        <w:t xml:space="preserve">model form described in</w:t>
      </w:r>
      <w:r>
        <w:t xml:space="preserve"> </w:t>
      </w:r>
      <w:r>
        <w:t xml:space="preserve">Pedersen et al. (2019)</w:t>
      </w:r>
      <w:r>
        <w:t xml:space="preserve">. PCoA and species β-diversity calculation were performed with the package</w:t>
      </w:r>
      <w:r>
        <w:t xml:space="preserve"> </w:t>
      </w:r>
      <w:r>
        <w:rPr>
          <w:rStyle w:val="VerbatimChar"/>
        </w:rPr>
        <w:t xml:space="preserve">vegan</w:t>
      </w:r>
      <w:r>
        <w:t xml:space="preserve"> </w:t>
      </w:r>
      <w:r>
        <w:t xml:space="preserve">(Oksanen et al. 2019)</w:t>
      </w:r>
      <w:r>
        <w:t xml:space="preserve">. Calculation and partitioning of interaction β-diversity were performed with the package</w:t>
      </w:r>
      <w:r>
        <w:t xml:space="preserve"> </w:t>
      </w:r>
      <w:r>
        <w:rPr>
          <w:rStyle w:val="VerbatimChar"/>
        </w:rPr>
        <w:t xml:space="preserve">bipartite</w:t>
      </w:r>
      <w:r>
        <w:t xml:space="preserve"> </w:t>
      </w:r>
      <w:r>
        <w:t xml:space="preserve">(Dormann et al. 2008, 2009, Dormann 2011)</w:t>
      </w:r>
      <w:r>
        <w:t xml:space="preserve">. Matrix regression was performed with the package</w:t>
      </w:r>
      <w:r>
        <w:t xml:space="preserve"> </w:t>
      </w:r>
      <w:r>
        <w:rPr>
          <w:rStyle w:val="VerbatimChar"/>
        </w:rPr>
        <w:t xml:space="preserve">ecodist</w:t>
      </w:r>
      <w:r>
        <w:t xml:space="preserve"> </w:t>
      </w:r>
      <w:r>
        <w:t xml:space="preserve">(Goslee and Urban 2007)</w:t>
      </w:r>
      <w:r>
        <w:t xml:space="preserve">. GDM analysis of β-diversity was performed with the package</w:t>
      </w:r>
      <w:r>
        <w:t xml:space="preserve"> </w:t>
      </w:r>
      <w:r>
        <w:rPr>
          <w:rStyle w:val="VerbatimChar"/>
        </w:rPr>
        <w:t xml:space="preserve">gdm</w:t>
      </w:r>
      <w:r>
        <w:t xml:space="preserve"> </w:t>
      </w:r>
      <w:r>
        <w:t xml:space="preserve">(Fitzpatrick et al. 2020)</w:t>
      </w:r>
      <w:r>
        <w:t xml:space="preserve">. Data handling and visualization was performed with the</w:t>
      </w:r>
      <w:r>
        <w:t xml:space="preserve"> </w:t>
      </w:r>
      <w:r>
        <w:rPr>
          <w:rStyle w:val="VerbatimChar"/>
        </w:rPr>
        <w:t xml:space="preserve">tidyverse</w:t>
      </w:r>
      <w:r>
        <w:t xml:space="preserve"> </w:t>
      </w:r>
      <w:r>
        <w:t xml:space="preserve">suite of R packages</w:t>
      </w:r>
      <w:r>
        <w:t xml:space="preserve"> </w:t>
      </w:r>
      <w:r>
        <w:t xml:space="preserve">(Fitzpatrick et al. 2020)</w:t>
      </w:r>
      <w:r>
        <w:t xml:space="preserve">. Annotated R code is available in the Supplementary Material.</w:t>
      </w:r>
    </w:p>
    <w:bookmarkEnd w:id="24"/>
    <w:bookmarkEnd w:id="25"/>
    <w:bookmarkStart w:id="33" w:name="results"/>
    <w:p>
      <w:pPr>
        <w:pStyle w:val="Heading1"/>
      </w:pPr>
      <w:r>
        <w:t xml:space="preserve">RESULTS</w:t>
      </w:r>
    </w:p>
    <w:bookmarkStart w:id="27" w:name="Xb4881447998f9e5535b7a7167c2af58e3903626"/>
    <w:p>
      <w:pPr>
        <w:pStyle w:val="Heading2"/>
      </w:pPr>
      <w:r>
        <w:t xml:space="preserve">Summary of visitation and floral survey data</w:t>
      </w:r>
    </w:p>
    <w:p>
      <w:pPr>
        <w:pStyle w:val="FirstParagraph"/>
      </w:pPr>
      <w:r>
        <w:t xml:space="preserve">We recorded a total of 12,918 bumble- bee-flower interactions (excluding males) over the three years of our study. The metaweb across all sites and dates consisted of 16 bumble bee species (with</w:t>
      </w:r>
      <w:r>
        <w:t xml:space="preserve"> </w:t>
      </w:r>
      <w:r>
        <w:rPr>
          <w:iCs/>
          <w:i/>
        </w:rPr>
        <w:t xml:space="preserve">Bombus terrestric/lucorum</w:t>
      </w:r>
      <w:r>
        <w:t xml:space="preserve"> </w:t>
      </w:r>
      <w:r>
        <w:t xml:space="preserve">and</w:t>
      </w:r>
      <w:r>
        <w:t xml:space="preserve"> </w:t>
      </w:r>
      <w:r>
        <w:rPr>
          <w:iCs/>
          <w:i/>
        </w:rPr>
        <w:t xml:space="preserve">Bombus psithyrus</w:t>
      </w:r>
      <w:r>
        <w:t xml:space="preserve"> </w:t>
      </w:r>
      <w:r>
        <w:t xml:space="preserve">species groups lumped into species groups), 163 plant species (110 genera, 37 families), and 736 unique bumble- bee-plant interaction pairs. Five species —</w:t>
      </w:r>
      <w:r>
        <w:t xml:space="preserve"> </w:t>
      </w:r>
      <w:r>
        <w:rPr>
          <w:iCs/>
          <w:i/>
        </w:rPr>
        <w:t xml:space="preserve">B. pascuorum</w:t>
      </w:r>
      <w:r>
        <w:t xml:space="preserve">,</w:t>
      </w:r>
      <w:r>
        <w:t xml:space="preserve"> </w:t>
      </w:r>
      <w:r>
        <w:rPr>
          <w:iCs/>
          <w:i/>
        </w:rPr>
        <w:t xml:space="preserve">B. pratorum</w:t>
      </w:r>
      <w:r>
        <w:t xml:space="preserve">,</w:t>
      </w:r>
      <w:r>
        <w:t xml:space="preserve"> </w:t>
      </w:r>
      <w:r>
        <w:rPr>
          <w:iCs/>
          <w:i/>
        </w:rPr>
        <w:t xml:space="preserve">B. soroensis</w:t>
      </w:r>
      <w:r>
        <w:t xml:space="preserve">,</w:t>
      </w:r>
      <w:r>
        <w:t xml:space="preserve"> </w:t>
      </w:r>
      <w:r>
        <w:rPr>
          <w:iCs/>
          <w:i/>
        </w:rPr>
        <w:t xml:space="preserve">B. terrestris-lucorum</w:t>
      </w:r>
      <w:r>
        <w:t xml:space="preserve">, and</w:t>
      </w:r>
      <w:r>
        <w:t xml:space="preserve"> </w:t>
      </w:r>
      <w:r>
        <w:rPr>
          <w:iCs/>
          <w:i/>
        </w:rPr>
        <w:t xml:space="preserve">B. wurflenii</w:t>
      </w:r>
      <w:r>
        <w:t xml:space="preserve"> </w:t>
      </w:r>
      <w:r>
        <w:t xml:space="preserve">— accounted for the bulk of overall bumble bee abundance and were present over the entire elevation range of our sites</w:t>
      </w:r>
      <w:r>
        <w:t xml:space="preserve"> </w:t>
      </w:r>
      <w:r>
        <w:rPr>
          <w:bCs/>
          <w:b/>
        </w:rPr>
        <w:t xml:space="preserve">(Figure 1)</w:t>
      </w:r>
      <w:r>
        <w:t xml:space="preserve">.</w:t>
      </w:r>
      <w:r>
        <w:t xml:space="preserve"> </w:t>
      </w:r>
      <w:r>
        <w:rPr>
          <w:iCs/>
          <w:i/>
        </w:rPr>
        <w:t xml:space="preserve">B. hortorum</w:t>
      </w:r>
      <w:r>
        <w:t xml:space="preserve">,</w:t>
      </w:r>
      <w:r>
        <w:t xml:space="preserve"> </w:t>
      </w:r>
      <w:r>
        <w:rPr>
          <w:iCs/>
          <w:i/>
        </w:rPr>
        <w:t xml:space="preserve">B. jonellus</w:t>
      </w:r>
      <w:r>
        <w:t xml:space="preserve">, and</w:t>
      </w:r>
      <w:r>
        <w:t xml:space="preserve"> </w:t>
      </w:r>
      <w:r>
        <w:rPr>
          <w:iCs/>
          <w:i/>
        </w:rPr>
        <w:t xml:space="preserve">B. psithyrus</w:t>
      </w:r>
      <w:r>
        <w:t xml:space="preserve"> </w:t>
      </w:r>
      <w:r>
        <w:t xml:space="preserve">(species-group) were widespread but at lower abundance.</w:t>
      </w:r>
      <w:r>
        <w:t xml:space="preserve"> </w:t>
      </w:r>
      <w:r>
        <w:rPr>
          <w:iCs/>
          <w:i/>
        </w:rPr>
        <w:t xml:space="preserve">B. monticola</w:t>
      </w:r>
      <w:r>
        <w:t xml:space="preserve"> </w:t>
      </w:r>
      <w:r>
        <w:t xml:space="preserve">occurred at moderate abundance but was rare or absent at sites below 1000 m. The remaining species were relatively rare in our study system.</w:t>
      </w:r>
      <w:r>
        <w:t xml:space="preserve"> </w:t>
      </w:r>
      <w:r>
        <w:rPr>
          <w:iCs/>
          <w:i/>
        </w:rPr>
        <w:t xml:space="preserve">B. mendax</w:t>
      </w:r>
      <w:r>
        <w:t xml:space="preserve">,</w:t>
      </w:r>
      <w:r>
        <w:t xml:space="preserve"> </w:t>
      </w:r>
      <w:r>
        <w:rPr>
          <w:iCs/>
          <w:i/>
        </w:rPr>
        <w:t xml:space="preserve">B. mucidus</w:t>
      </w:r>
      <w:r>
        <w:t xml:space="preserve">, and</w:t>
      </w:r>
      <w:r>
        <w:t xml:space="preserve"> </w:t>
      </w:r>
      <w:r>
        <w:rPr>
          <w:iCs/>
          <w:i/>
        </w:rPr>
        <w:t xml:space="preserve">B. pyrenaeus</w:t>
      </w:r>
      <w:r>
        <w:t xml:space="preserve"> </w:t>
      </w:r>
      <w:r>
        <w:t xml:space="preserve">occurred primarily above 1500 m, consistent with their known affinity for high elevation habitats</w:t>
      </w:r>
      <w:r>
        <w:t xml:space="preserve"> </w:t>
      </w:r>
      <w:r>
        <w:t xml:space="preserve">(Rasmont and Iserbyt 2010-2014)</w:t>
      </w:r>
      <w:r>
        <w:t xml:space="preserve">.</w:t>
      </w:r>
      <w:r>
        <w:t xml:space="preserve"> </w:t>
      </w:r>
      <w:r>
        <w:rPr>
          <w:iCs/>
          <w:i/>
        </w:rPr>
        <w:t xml:space="preserve">B. gerstaeckeri</w:t>
      </w:r>
      <w:r>
        <w:t xml:space="preserve">,</w:t>
      </w:r>
      <w:r>
        <w:t xml:space="preserve"> </w:t>
      </w:r>
      <w:r>
        <w:rPr>
          <w:iCs/>
          <w:i/>
        </w:rPr>
        <w:t xml:space="preserve">B. hypnorum</w:t>
      </w:r>
      <w:r>
        <w:t xml:space="preserve">,</w:t>
      </w:r>
      <w:r>
        <w:t xml:space="preserve"> </w:t>
      </w:r>
      <w:r>
        <w:rPr>
          <w:iCs/>
          <w:i/>
        </w:rPr>
        <w:t xml:space="preserve">B. lapidarius</w:t>
      </w:r>
      <w:r>
        <w:t xml:space="preserve"> </w:t>
      </w:r>
      <w:r>
        <w:t xml:space="preserve">were sparsely distributed across mid-elevation sites.</w:t>
      </w:r>
      <w:r>
        <w:t xml:space="preserve"> </w:t>
      </w:r>
      <w:r>
        <w:rPr>
          <w:iCs/>
          <w:i/>
        </w:rPr>
        <w:t xml:space="preserve">B. humilis</w:t>
      </w:r>
      <w:r>
        <w:t xml:space="preserve"> </w:t>
      </w:r>
      <w:r>
        <w:t xml:space="preserve">was recorded only three times and only in one year, so we omitted it from all analyses.</w:t>
      </w:r>
    </w:p>
    <w:p>
      <w:pPr>
        <w:pStyle w:val="CaptionedFigure"/>
      </w:pPr>
      <w:r>
        <w:drawing>
          <wp:inline>
            <wp:extent cx="5504749" cy="3669832"/>
            <wp:effectExtent b="0" l="0" r="0" t="0"/>
            <wp:docPr descr="Figure 1: Mean abundances and elevational distributions of bumble bee species. Sampled points along the elevation gradient are depicted as circles, the diameter of which is scaled to the mean abundance (pooled across study years) of the given bumble bee species at that elevation. Abundances of zero are not plotted. Lines span between the highest and lowest occurrence of each species, highlighting its observed elevation range." title="" id="1" name="Picture"/>
            <a:graphic>
              <a:graphicData uri="http://schemas.openxmlformats.org/drawingml/2006/picture">
                <pic:pic>
                  <pic:nvPicPr>
                    <pic:cNvPr descr="../output/bb_range.png" id="0" name="Picture"/>
                    <pic:cNvPicPr>
                      <a:picLocks noChangeArrowheads="1" noChangeAspect="1"/>
                    </pic:cNvPicPr>
                  </pic:nvPicPr>
                  <pic:blipFill>
                    <a:blip r:embed="rId26"/>
                    <a:stretch>
                      <a:fillRect/>
                    </a:stretch>
                  </pic:blipFill>
                  <pic:spPr bwMode="auto">
                    <a:xfrm>
                      <a:off x="0" y="0"/>
                      <a:ext cx="5504749" cy="3669832"/>
                    </a:xfrm>
                    <a:prstGeom prst="rect">
                      <a:avLst/>
                    </a:prstGeom>
                    <a:noFill/>
                    <a:ln w="9525">
                      <a:noFill/>
                      <a:headEnd/>
                      <a:tailEnd/>
                    </a:ln>
                  </pic:spPr>
                </pic:pic>
              </a:graphicData>
            </a:graphic>
          </wp:inline>
        </w:drawing>
      </w:r>
    </w:p>
    <w:p>
      <w:pPr>
        <w:pStyle w:val="ImageCaption"/>
      </w:pPr>
      <w:r>
        <w:t xml:space="preserve">Figure 1: Mean abundances and elevational distributions of bumble bee species. Sampled points along the elevation gradient are depicted as circles, the diameter of which is scaled to the mean abundance (pooled across study years) of the given bumble bee species at that elevation. Abundances of zero are not plotted. Lines span between the highest and lowest occurrence of each species, highlighting its observed elevation range.</w:t>
      </w:r>
    </w:p>
    <w:p>
      <w:pPr>
        <w:pStyle w:val="BodyText"/>
      </w:pPr>
      <w:r>
        <w:t xml:space="preserve">Floral surveying yielded a total of 352 plant species, representing 191 genera and 52 families. Of these, 155 species from 103 genera and 35 families were observed to be visited by bumble bees. Eight species —</w:t>
      </w:r>
      <w:r>
        <w:t xml:space="preserve"> </w:t>
      </w:r>
      <w:r>
        <w:rPr>
          <w:iCs/>
          <w:i/>
        </w:rPr>
        <w:t xml:space="preserve">Rubus idaeus</w:t>
      </w:r>
      <w:r>
        <w:t xml:space="preserve">,</w:t>
      </w:r>
      <w:r>
        <w:t xml:space="preserve"> </w:t>
      </w:r>
      <w:r>
        <w:rPr>
          <w:iCs/>
          <w:i/>
        </w:rPr>
        <w:t xml:space="preserve">Rosa canina</w:t>
      </w:r>
      <w:r>
        <w:t xml:space="preserve">,</w:t>
      </w:r>
      <w:r>
        <w:t xml:space="preserve"> </w:t>
      </w:r>
      <w:r>
        <w:rPr>
          <w:iCs/>
          <w:i/>
        </w:rPr>
        <w:t xml:space="preserve">Juniperus communis</w:t>
      </w:r>
      <w:r>
        <w:t xml:space="preserve">,</w:t>
      </w:r>
      <w:r>
        <w:t xml:space="preserve"> </w:t>
      </w:r>
      <w:r>
        <w:rPr>
          <w:iCs/>
          <w:i/>
        </w:rPr>
        <w:t xml:space="preserve">Larix decidua</w:t>
      </w:r>
      <w:r>
        <w:t xml:space="preserve">,</w:t>
      </w:r>
      <w:r>
        <w:t xml:space="preserve"> </w:t>
      </w:r>
      <w:r>
        <w:rPr>
          <w:iCs/>
          <w:i/>
        </w:rPr>
        <w:t xml:space="preserve">Salix</w:t>
      </w:r>
      <w:r>
        <w:t xml:space="preserve"> </w:t>
      </w:r>
      <w:r>
        <w:t xml:space="preserve">sp.,</w:t>
      </w:r>
      <w:r>
        <w:t xml:space="preserve"> </w:t>
      </w:r>
      <w:r>
        <w:rPr>
          <w:iCs/>
          <w:i/>
        </w:rPr>
        <w:t xml:space="preserve">Caltha palustris</w:t>
      </w:r>
      <w:r>
        <w:t xml:space="preserve">,</w:t>
      </w:r>
      <w:r>
        <w:t xml:space="preserve"> </w:t>
      </w:r>
      <w:r>
        <w:rPr>
          <w:iCs/>
          <w:i/>
        </w:rPr>
        <w:t xml:space="preserve">Pulmonaria officinalis</w:t>
      </w:r>
      <w:r>
        <w:t xml:space="preserve">, and</w:t>
      </w:r>
      <w:r>
        <w:t xml:space="preserve"> </w:t>
      </w:r>
      <w:r>
        <w:rPr>
          <w:iCs/>
          <w:i/>
        </w:rPr>
        <w:t xml:space="preserve">Rheum barbarum</w:t>
      </w:r>
      <w:r>
        <w:t xml:space="preserve"> </w:t>
      </w:r>
      <w:r>
        <w:t xml:space="preserve">— were recorded in visitation data but not recorded during floral surveying. Each accounted for no more than 4 visits in total over the three years of our study, and they were omitted from the analysis of floral abundance.</w:t>
      </w:r>
    </w:p>
    <w:bookmarkEnd w:id="27"/>
    <w:bookmarkStart w:id="29" w:name="abundance-over-elevation-and-time"/>
    <w:p>
      <w:pPr>
        <w:pStyle w:val="Heading2"/>
      </w:pPr>
      <w:r>
        <w:t xml:space="preserve">Abundance over elevation and time</w:t>
      </w:r>
    </w:p>
    <w:p>
      <w:pPr>
        <w:pStyle w:val="FirstParagraph"/>
      </w:pPr>
      <w:r>
        <w:t xml:space="preserve">Cluster</w:t>
      </w:r>
      <w:r>
        <w:t xml:space="preserve"> </w:t>
      </w:r>
      <w:r>
        <w:rPr>
          <w:bCs/>
          <w:b/>
        </w:rPr>
        <w:t xml:space="preserve">(Figure 2A)</w:t>
      </w:r>
      <w:r>
        <w:t xml:space="preserve"> </w:t>
      </w:r>
      <w:r>
        <w:t xml:space="preserve">and ordination</w:t>
      </w:r>
      <w:r>
        <w:t xml:space="preserve"> </w:t>
      </w:r>
      <w:r>
        <w:rPr>
          <w:bCs/>
          <w:b/>
        </w:rPr>
        <w:t xml:space="preserve">(Figure 2B)</w:t>
      </w:r>
      <w:r>
        <w:t xml:space="preserve"> </w:t>
      </w:r>
      <w:r>
        <w:t xml:space="preserve">analyses highlighted the strong differences in site affinity between the high-elevation species</w:t>
      </w:r>
      <w:r>
        <w:t xml:space="preserve"> </w:t>
      </w:r>
      <w:r>
        <w:rPr>
          <w:iCs/>
          <w:i/>
        </w:rPr>
        <w:t xml:space="preserve">B. mucidus</w:t>
      </w:r>
      <w:r>
        <w:t xml:space="preserve">,</w:t>
      </w:r>
      <w:r>
        <w:t xml:space="preserve"> </w:t>
      </w:r>
      <w:r>
        <w:rPr>
          <w:iCs/>
          <w:i/>
        </w:rPr>
        <w:t xml:space="preserve">B. monticola</w:t>
      </w:r>
      <w:r>
        <w:t xml:space="preserve">,</w:t>
      </w:r>
      <w:r>
        <w:t xml:space="preserve"> </w:t>
      </w:r>
      <w:r>
        <w:rPr>
          <w:iCs/>
          <w:i/>
        </w:rPr>
        <w:t xml:space="preserve">B. mendax</w:t>
      </w:r>
      <w:r>
        <w:t xml:space="preserve">, and</w:t>
      </w:r>
      <w:r>
        <w:t xml:space="preserve"> </w:t>
      </w:r>
      <w:r>
        <w:rPr>
          <w:iCs/>
          <w:i/>
        </w:rPr>
        <w:t xml:space="preserve">B. pyrenaeus</w:t>
      </w:r>
      <w:r>
        <w:t xml:space="preserve"> </w:t>
      </w:r>
      <w:r>
        <w:t xml:space="preserve">and the rest of the bumble bee community. PCoA captured 59% of total variation in site affinity.</w:t>
      </w:r>
    </w:p>
    <w:p>
      <w:pPr>
        <w:pStyle w:val="BodyText"/>
      </w:pPr>
      <w:r>
        <w:t xml:space="preserve">Elevation-time GAM smooths</w:t>
      </w:r>
      <w:r>
        <w:t xml:space="preserve"> </w:t>
      </w:r>
      <w:r>
        <w:rPr>
          <w:bCs/>
          <w:b/>
        </w:rPr>
        <w:t xml:space="preserve">(Figure 2C)</w:t>
      </w:r>
      <w:r>
        <w:t xml:space="preserve"> </w:t>
      </w:r>
      <w:r>
        <w:t xml:space="preserve">of bumble bee abundance differed significantly from a flat surface (p &lt; 0.00001) for all species except</w:t>
      </w:r>
      <w:r>
        <w:t xml:space="preserve"> </w:t>
      </w:r>
      <w:r>
        <w:rPr>
          <w:iCs/>
          <w:i/>
        </w:rPr>
        <w:t xml:space="preserve">B. hypnorum</w:t>
      </w:r>
      <w:r>
        <w:t xml:space="preserve"> </w:t>
      </w:r>
      <w:r>
        <w:t xml:space="preserve">(p = 0.8). Overall, the model explained 57.6% of total deviance (adjusted R</w:t>
      </w:r>
      <w:r>
        <w:rPr>
          <w:vertAlign w:val="superscript"/>
        </w:rPr>
        <w:t xml:space="preserve">2</w:t>
      </w:r>
      <w:r>
        <w:t xml:space="preserve"> </w:t>
      </w:r>
      <w:r>
        <w:t xml:space="preserve">= 0.346). The distinction between</w:t>
      </w:r>
      <w:r>
        <w:t xml:space="preserve"> </w:t>
      </w:r>
      <w:r>
        <w:rPr>
          <w:iCs/>
          <w:i/>
        </w:rPr>
        <w:t xml:space="preserve">B. mucidus</w:t>
      </w:r>
      <w:r>
        <w:t xml:space="preserve">,</w:t>
      </w:r>
      <w:r>
        <w:t xml:space="preserve"> </w:t>
      </w:r>
      <w:r>
        <w:rPr>
          <w:iCs/>
          <w:i/>
        </w:rPr>
        <w:t xml:space="preserve">B. monticola</w:t>
      </w:r>
      <w:r>
        <w:t xml:space="preserve">,</w:t>
      </w:r>
      <w:r>
        <w:t xml:space="preserve"> </w:t>
      </w:r>
      <w:r>
        <w:rPr>
          <w:iCs/>
          <w:i/>
        </w:rPr>
        <w:t xml:space="preserve">B. mendax</w:t>
      </w:r>
      <w:r>
        <w:t xml:space="preserve">, and</w:t>
      </w:r>
      <w:r>
        <w:t xml:space="preserve"> </w:t>
      </w:r>
      <w:r>
        <w:rPr>
          <w:iCs/>
          <w:i/>
        </w:rPr>
        <w:t xml:space="preserve">B. pyrenaeus</w:t>
      </w:r>
      <w:r>
        <w:t xml:space="preserve"> </w:t>
      </w:r>
      <w:r>
        <w:t xml:space="preserve">and the rest of the community was again clear; all 4 high-elevation species exhibited peak abundance at the upper extreme of our elevation gradient, and only</w:t>
      </w:r>
      <w:r>
        <w:t xml:space="preserve"> </w:t>
      </w:r>
      <w:r>
        <w:rPr>
          <w:iCs/>
          <w:i/>
        </w:rPr>
        <w:t xml:space="preserve">B. monticola</w:t>
      </w:r>
      <w:r>
        <w:t xml:space="preserve"> </w:t>
      </w:r>
      <w:r>
        <w:t xml:space="preserve">was found at high abundance below 1500 m.</w:t>
      </w:r>
      <w:r>
        <w:t xml:space="preserve"> </w:t>
      </w:r>
      <w:r>
        <w:rPr>
          <w:iCs/>
          <w:i/>
        </w:rPr>
        <w:t xml:space="preserve">B. monticola</w:t>
      </w:r>
      <w:r>
        <w:t xml:space="preserve"> </w:t>
      </w:r>
      <w:r>
        <w:t xml:space="preserve">also peaked in abundance earlier in the season than the other high-elevation species.</w:t>
      </w:r>
    </w:p>
    <w:p>
      <w:pPr>
        <w:pStyle w:val="BodyText"/>
      </w:pPr>
      <w:r>
        <w:rPr>
          <w:iCs/>
          <w:i/>
        </w:rPr>
        <w:t xml:space="preserve">B. gerstaeckeri</w:t>
      </w:r>
      <w:r>
        <w:t xml:space="preserve"> </w:t>
      </w:r>
      <w:r>
        <w:t xml:space="preserve">and</w:t>
      </w:r>
      <w:r>
        <w:t xml:space="preserve"> </w:t>
      </w:r>
      <w:r>
        <w:rPr>
          <w:iCs/>
          <w:i/>
        </w:rPr>
        <w:t xml:space="preserve">B. pratorum</w:t>
      </w:r>
      <w:r>
        <w:t xml:space="preserve"> </w:t>
      </w:r>
      <w:r>
        <w:t xml:space="preserve">exhibited well-defined mid-elevation abundance peaks, with that of</w:t>
      </w:r>
      <w:r>
        <w:t xml:space="preserve"> </w:t>
      </w:r>
      <w:r>
        <w:rPr>
          <w:iCs/>
          <w:i/>
        </w:rPr>
        <w:t xml:space="preserve">B. gerstaeckeri</w:t>
      </w:r>
      <w:r>
        <w:t xml:space="preserve"> </w:t>
      </w:r>
      <w:r>
        <w:t xml:space="preserve">occurring very late in the season. The apparent mid-elevation abundance peak of</w:t>
      </w:r>
      <w:r>
        <w:t xml:space="preserve"> </w:t>
      </w:r>
      <w:r>
        <w:rPr>
          <w:iCs/>
          <w:i/>
        </w:rPr>
        <w:t xml:space="preserve">B. hypnorum</w:t>
      </w:r>
      <w:r>
        <w:t xml:space="preserve"> </w:t>
      </w:r>
      <w:r>
        <w:t xml:space="preserve">was not significant and should not be interpreted strongly.</w:t>
      </w:r>
    </w:p>
    <w:p>
      <w:pPr>
        <w:pStyle w:val="BodyText"/>
      </w:pPr>
      <w:r>
        <w:rPr>
          <w:iCs/>
          <w:i/>
        </w:rPr>
        <w:t xml:space="preserve">B. pascuorum</w:t>
      </w:r>
      <w:r>
        <w:t xml:space="preserve"> </w:t>
      </w:r>
      <w:r>
        <w:t xml:space="preserve">and</w:t>
      </w:r>
      <w:r>
        <w:t xml:space="preserve"> </w:t>
      </w:r>
      <w:r>
        <w:rPr>
          <w:iCs/>
          <w:i/>
        </w:rPr>
        <w:t xml:space="preserve">B. psithyrus</w:t>
      </w:r>
      <w:r>
        <w:t xml:space="preserve"> </w:t>
      </w:r>
      <w:r>
        <w:t xml:space="preserve">had well-defined low-elevation peaks, with that of</w:t>
      </w:r>
      <w:r>
        <w:t xml:space="preserve"> </w:t>
      </w:r>
      <w:r>
        <w:rPr>
          <w:iCs/>
          <w:i/>
        </w:rPr>
        <w:t xml:space="preserve">B. psithyrus</w:t>
      </w:r>
      <w:r>
        <w:t xml:space="preserve"> </w:t>
      </w:r>
      <w:r>
        <w:t xml:space="preserve">occurring early in the season, during the colony-founding — or, in the case of</w:t>
      </w:r>
      <w:r>
        <w:t xml:space="preserve"> </w:t>
      </w:r>
      <w:r>
        <w:rPr>
          <w:iCs/>
          <w:i/>
        </w:rPr>
        <w:t xml:space="preserve">B. psithryus</w:t>
      </w:r>
      <w:r>
        <w:t xml:space="preserve">, colony-usurping — phase of the bumble bee life cycle.</w:t>
      </w:r>
    </w:p>
    <w:p>
      <w:pPr>
        <w:pStyle w:val="BodyText"/>
      </w:pPr>
      <w:r>
        <w:t xml:space="preserve">The remaining species exhibited relatively diffuse patterns of abundance. Of these,</w:t>
      </w:r>
      <w:r>
        <w:t xml:space="preserve"> </w:t>
      </w:r>
      <w:r>
        <w:rPr>
          <w:iCs/>
          <w:i/>
        </w:rPr>
        <w:t xml:space="preserve">B. soroensis</w:t>
      </w:r>
      <w:r>
        <w:t xml:space="preserve"> </w:t>
      </w:r>
      <w:r>
        <w:t xml:space="preserve">was exceptional in that it exhibited peak abundance at the highest sites, but it was also found at relatively high abundance across the whole elevation gradient, peaking at mid-season.</w:t>
      </w:r>
      <w:r>
        <w:t xml:space="preserve"> </w:t>
      </w:r>
      <w:r>
        <w:rPr>
          <w:iCs/>
          <w:i/>
        </w:rPr>
        <w:t xml:space="preserve">B. hortorum</w:t>
      </w:r>
      <w:r>
        <w:t xml:space="preserve"> </w:t>
      </w:r>
      <w:r>
        <w:t xml:space="preserve">and</w:t>
      </w:r>
      <w:r>
        <w:t xml:space="preserve"> </w:t>
      </w:r>
      <w:r>
        <w:rPr>
          <w:iCs/>
          <w:i/>
        </w:rPr>
        <w:t xml:space="preserve">B. lapidarius</w:t>
      </w:r>
      <w:r>
        <w:t xml:space="preserve"> </w:t>
      </w:r>
      <w:r>
        <w:t xml:space="preserve">peaked at low elevation.</w:t>
      </w:r>
      <w:r>
        <w:t xml:space="preserve"> </w:t>
      </w:r>
      <w:r>
        <w:rPr>
          <w:iCs/>
          <w:i/>
        </w:rPr>
        <w:t xml:space="preserve">B. jonellus</w:t>
      </w:r>
      <w:r>
        <w:t xml:space="preserve"> </w:t>
      </w:r>
      <w:r>
        <w:t xml:space="preserve">exhibited little elevational variation in abundance until declining above 1500 m, but its abundance was strongly patterned in time, peaking early in the season.</w:t>
      </w:r>
      <w:r>
        <w:t xml:space="preserve"> </w:t>
      </w:r>
      <w:r>
        <w:rPr>
          <w:iCs/>
          <w:i/>
        </w:rPr>
        <w:t xml:space="preserve">B. terrestris/lucorum</w:t>
      </w:r>
      <w:r>
        <w:t xml:space="preserve"> </w:t>
      </w:r>
      <w:r>
        <w:t xml:space="preserve">was generally abundant across the whole elevation gradient and throughout the whole season, but it showed a weakly trimodal pattern in elevation, with abundance peaks at low, middle, and high sites. Its strongest abundance peak occurred at low elevation, early in the season during colony-founding.</w:t>
      </w:r>
      <w:r>
        <w:t xml:space="preserve"> </w:t>
      </w:r>
      <w:r>
        <w:rPr>
          <w:iCs/>
          <w:i/>
        </w:rPr>
        <w:t xml:space="preserve">B. wurflenii</w:t>
      </w:r>
      <w:r>
        <w:t xml:space="preserve"> </w:t>
      </w:r>
      <w:r>
        <w:t xml:space="preserve">was broadly abundant above 1000 m but was rarer at lower sites.</w:t>
      </w:r>
    </w:p>
    <w:p>
      <w:pPr>
        <w:pStyle w:val="BodyText"/>
      </w:pPr>
      <w:r>
        <w:t xml:space="preserve">Elevation-time GAM smooths of floral abundance differed significantly from a flat surface for all species (p &lt;&lt; 0.00001) and explained 64.8% of total deviance (adjusted R</w:t>
      </w:r>
      <w:r>
        <w:rPr>
          <w:vertAlign w:val="superscript"/>
        </w:rPr>
        <w:t xml:space="preserve">2</w:t>
      </w:r>
      <w:r>
        <w:t xml:space="preserve"> </w:t>
      </w:r>
      <w:r>
        <w:t xml:space="preserve">= 0.425). Floral resource availability exhibited similar patterns for most bumble bee species, with peak floral resources occurring below 1500 m and during mid-season</w:t>
      </w:r>
      <w:r>
        <w:t xml:space="preserve"> </w:t>
      </w:r>
      <w:r>
        <w:rPr>
          <w:bCs/>
          <w:b/>
        </w:rPr>
        <w:t xml:space="preserve">(Figure 2)</w:t>
      </w:r>
      <w:r>
        <w:t xml:space="preserve">. There was a noticeable temporal lag in floral resource availability associated with increasing elevation, consistent with expected temperature constraints on plant phenology. The only species to exhibit marked anomalies in floral resource availability was</w:t>
      </w:r>
      <w:r>
        <w:t xml:space="preserve"> </w:t>
      </w:r>
      <w:r>
        <w:rPr>
          <w:iCs/>
          <w:i/>
        </w:rPr>
        <w:t xml:space="preserve">B. gerstaeckeri</w:t>
      </w:r>
      <w:r>
        <w:t xml:space="preserve">, which specializes on the genus</w:t>
      </w:r>
      <w:r>
        <w:t xml:space="preserve"> </w:t>
      </w:r>
      <w:r>
        <w:rPr>
          <w:iCs/>
          <w:i/>
        </w:rPr>
        <w:t xml:space="preserve">Aconitum</w:t>
      </w:r>
      <w:r>
        <w:t xml:space="preserve">(Ponchau et al. 2006)</w:t>
      </w:r>
      <w:r>
        <w:t xml:space="preserve"> </w:t>
      </w:r>
      <w:r>
        <w:t xml:space="preserve">but was also observed (presumably collecting nectar) on</w:t>
      </w:r>
      <w:r>
        <w:t xml:space="preserve"> </w:t>
      </w:r>
      <w:r>
        <w:rPr>
          <w:iCs/>
          <w:i/>
        </w:rPr>
        <w:t xml:space="preserve">Gentiana</w:t>
      </w:r>
      <w:r>
        <w:t xml:space="preserve">,</w:t>
      </w:r>
      <w:r>
        <w:t xml:space="preserve"> </w:t>
      </w:r>
      <w:r>
        <w:rPr>
          <w:iCs/>
          <w:i/>
        </w:rPr>
        <w:t xml:space="preserve">Salvia</w:t>
      </w:r>
      <w:r>
        <w:t xml:space="preserve">,</w:t>
      </w:r>
      <w:r>
        <w:t xml:space="preserve"> </w:t>
      </w:r>
      <w:r>
        <w:rPr>
          <w:iCs/>
          <w:i/>
        </w:rPr>
        <w:t xml:space="preserve">Rhinanthus</w:t>
      </w:r>
      <w:r>
        <w:t xml:space="preserve">,</w:t>
      </w:r>
      <w:r>
        <w:t xml:space="preserve"> </w:t>
      </w:r>
      <w:r>
        <w:rPr>
          <w:iCs/>
          <w:i/>
        </w:rPr>
        <w:t xml:space="preserve">Cirsium</w:t>
      </w:r>
      <w:r>
        <w:t xml:space="preserve">, and</w:t>
      </w:r>
      <w:r>
        <w:t xml:space="preserve"> </w:t>
      </w:r>
      <w:r>
        <w:rPr>
          <w:iCs/>
          <w:i/>
        </w:rPr>
        <w:t xml:space="preserve">Clinopodium.</w:t>
      </w:r>
      <w:r>
        <w:t xml:space="preserve"> </w:t>
      </w:r>
      <w:r>
        <w:t xml:space="preserve">Its floral resources were concentrated in two discrete peaks, the first at low elevation and mid-season, and the second at high elevation and late-season.</w:t>
      </w:r>
    </w:p>
    <w:p>
      <w:pPr>
        <w:pStyle w:val="CaptionedFigure"/>
      </w:pPr>
      <w:r>
        <w:drawing>
          <wp:inline>
            <wp:extent cx="5727700" cy="5010135"/>
            <wp:effectExtent b="0" l="0" r="0" t="0"/>
            <wp:docPr descr="Figure 2: Abundance of bumble bee species and their floral resources through elevation and time. For each bumble bee species, surface plots are arranged in two columns labeled BB and FL. Surface plots in the BB columns show the abundance of the bumble bee species, while plots in the FL columns show the abundance of floral resources for the corresponding bumble bee species. The color ramp of each smooth has been scaled to equal color range, thereby obscuring the absolute magnitude of effect. To avoid cluttering the figure, we have opted not to include a unique color ramp key for each plot, since the focus of our inference is on relative rather than absolute patterns. Surface plots with original color ramp scales are available in Appendix X." title="" id="1" name="Picture"/>
            <a:graphic>
              <a:graphicData uri="http://schemas.openxmlformats.org/drawingml/2006/picture">
                <pic:pic>
                  <pic:nvPicPr>
                    <pic:cNvPr descr="../output/gam_BB_FL4.png" id="0" name="Picture"/>
                    <pic:cNvPicPr>
                      <a:picLocks noChangeArrowheads="1" noChangeAspect="1"/>
                    </pic:cNvPicPr>
                  </pic:nvPicPr>
                  <pic:blipFill>
                    <a:blip r:embed="rId28"/>
                    <a:stretch>
                      <a:fillRect/>
                    </a:stretch>
                  </pic:blipFill>
                  <pic:spPr bwMode="auto">
                    <a:xfrm>
                      <a:off x="0" y="0"/>
                      <a:ext cx="5727700" cy="5010135"/>
                    </a:xfrm>
                    <a:prstGeom prst="rect">
                      <a:avLst/>
                    </a:prstGeom>
                    <a:noFill/>
                    <a:ln w="9525">
                      <a:noFill/>
                      <a:headEnd/>
                      <a:tailEnd/>
                    </a:ln>
                  </pic:spPr>
                </pic:pic>
              </a:graphicData>
            </a:graphic>
          </wp:inline>
        </w:drawing>
      </w:r>
    </w:p>
    <w:p>
      <w:pPr>
        <w:pStyle w:val="ImageCaption"/>
      </w:pPr>
      <w:r>
        <w:t xml:space="preserve">Figure 2: Abundance of bumble bee species and their floral resources through elevation and time. For each bumble bee species, surface plots are arranged in two columns labeled BB and FL. Surface plots in the BB columns show the abundance of the bumble bee species, while plots in the FL columns show the abundance of floral resources for the corresponding bumble bee species. The color ramp of each smooth has been scaled to equal color range, thereby obscuring the absolute magnitude of effect. To avoid cluttering the figure, we have opted not to include a unique color ramp key for each plot, since the focus of our inference is on relative rather than absolute patterns. Surface plots with original color ramp scales are available in Appendix X.</w:t>
      </w:r>
    </w:p>
    <w:bookmarkEnd w:id="29"/>
    <w:bookmarkStart w:id="32" w:name="species-and-interaction-β-diversity"/>
    <w:p>
      <w:pPr>
        <w:pStyle w:val="Heading2"/>
      </w:pPr>
      <w:r>
        <w:t xml:space="preserve">Species and interaction β-diversity</w:t>
      </w:r>
    </w:p>
    <w:p>
      <w:pPr>
        <w:pStyle w:val="FirstParagraph"/>
      </w:pPr>
      <w:r>
        <w:t xml:space="preserve">Floral β-diversity among our study sites was very high overall and responded steeply to elevation difference between sites</w:t>
      </w:r>
      <w:r>
        <w:t xml:space="preserve"> </w:t>
      </w:r>
      <w:r>
        <w:rPr>
          <w:bCs/>
          <w:b/>
        </w:rPr>
        <w:t xml:space="preserve">(Figure 3A)</w:t>
      </w:r>
      <w:r>
        <w:t xml:space="preserve">. Even sites at similar elevation exhibited ~40% species turnover, and the most widely separated sites (elevation difference &gt; 1250 m) differed by more than 85%.</w:t>
      </w:r>
    </w:p>
    <w:p>
      <w:pPr>
        <w:pStyle w:val="BodyText"/>
      </w:pPr>
      <w:r>
        <w:t xml:space="preserve">Bumble bee β-diversity was, in comparison to floral β-diversity, both lower overall and less responsive to elevational difference between sites</w:t>
      </w:r>
      <w:r>
        <w:t xml:space="preserve"> </w:t>
      </w:r>
      <w:r>
        <w:rPr>
          <w:bCs/>
          <w:b/>
        </w:rPr>
        <w:t xml:space="preserve">(Figure 3A)</w:t>
      </w:r>
      <w:r>
        <w:t xml:space="preserve">. Sites at similar elevation exhibited ~25%</w:t>
      </w:r>
      <w:r>
        <w:t xml:space="preserve"> </w:t>
      </w:r>
      <w:r>
        <w:t xml:space="preserve">species turnover, and species turnover between the most widely separated sites remained less than 50%.</w:t>
      </w:r>
    </w:p>
    <w:p>
      <w:pPr>
        <w:pStyle w:val="BodyText"/>
      </w:pPr>
      <w:r>
        <w:t xml:space="preserve">Total interaction β-diversity was &gt;75% between sites at similar elevation and approached perfect dissimilarity in the most widely separated sites</w:t>
      </w:r>
      <w:r>
        <w:t xml:space="preserve"> </w:t>
      </w:r>
      <w:r>
        <w:rPr>
          <w:bCs/>
          <w:b/>
        </w:rPr>
        <w:t xml:space="preserve">(Figure 3B)</w:t>
      </w:r>
      <w:r>
        <w:t xml:space="preserve">. Partitioning revealed that total interaction β-diversity was driven primarily by species turnover, which accounted for ~50% of total β-diversity for sites at similar elevation and ~90% of total β-diversity for the most widely separated sites. Species turnover consisted mainly of turnover in the floral community</w:t>
      </w:r>
      <w:r>
        <w:t xml:space="preserve"> </w:t>
      </w:r>
      <w:r>
        <w:rPr>
          <w:bCs/>
          <w:b/>
        </w:rPr>
        <w:t xml:space="preserve">(Figure 3C)</w:t>
      </w:r>
      <w:r>
        <w:t xml:space="preserve">, though the joint turnover of plants and bumble bees accounted for ~25% of total species turnover between the most widely separated sites. Interaction rewiring was most significant between sites at similar elevation, where it accounted for ~30% of total β-diversity, but its share of total β-diversity declined to ~10% in the most widely separated sites</w:t>
      </w:r>
      <w:r>
        <w:t xml:space="preserve"> </w:t>
      </w:r>
      <w:r>
        <w:rPr>
          <w:bCs/>
          <w:b/>
        </w:rPr>
        <w:t xml:space="preserve">(Figure 3B)</w:t>
      </w:r>
      <w:r>
        <w:t xml:space="preserve">.</w:t>
      </w:r>
    </w:p>
    <w:p>
      <w:pPr>
        <w:pStyle w:val="BodyText"/>
      </w:pPr>
      <w:r>
        <w:t xml:space="preserve">Logistic matrix regression confirmed the significance (p &lt; 0.01) of the relationship between each β-diversity metric and elevation</w:t>
      </w:r>
      <w:r>
        <w:t xml:space="preserve"> </w:t>
      </w:r>
      <w:r>
        <w:rPr>
          <w:bCs/>
          <w:b/>
        </w:rPr>
        <w:t xml:space="preserve">(Table 1)</w:t>
      </w:r>
      <w:r>
        <w:t xml:space="preserve">.</w:t>
      </w:r>
    </w:p>
    <w:p>
      <w:pPr>
        <w:pStyle w:val="CaptionedFigure"/>
      </w:pPr>
      <w:r>
        <w:drawing>
          <wp:inline>
            <wp:extent cx="5727700" cy="3965330"/>
            <wp:effectExtent b="0" l="0" r="0" t="0"/>
            <wp:docPr descr="Figure 3: Species-level (A) and interaction-level (B, C) plotted against elevational difference. Each point represents the β-diversity (or β-diversity partition) between a pair of sites, and lines represent the overall relationship between β-diversity and elevation difference using binomial regression smooths. Standard errors are not plotted because they would be misleading due to the non-independence inherent to distance matrix regression, but all regressions were significant (p &lt; 0.01). Interaction β-diversity (B, C) is partitioned using Poisot et al.’s (2012) notation: WN = unpartitioned β-diversity, ST = β-diversity due to species turnover, OS = β-diversity due to interaction rewiring, ST.h = β-diversity due to species turnover in the higher trophic level (bumble bees), ST.l = β-diversity due to species turnover in the lower trophic level (plants), and ST.lh = β-diversity due to joint species turnover in higher and lower trophic levels." title="" id="1" name="Picture"/>
            <a:graphic>
              <a:graphicData uri="http://schemas.openxmlformats.org/drawingml/2006/picture">
                <pic:pic>
                  <pic:nvPicPr>
                    <pic:cNvPr descr="../output/beta_stack.png" id="0" name="Picture"/>
                    <pic:cNvPicPr>
                      <a:picLocks noChangeArrowheads="1" noChangeAspect="1"/>
                    </pic:cNvPicPr>
                  </pic:nvPicPr>
                  <pic:blipFill>
                    <a:blip r:embed="rId30"/>
                    <a:stretch>
                      <a:fillRect/>
                    </a:stretch>
                  </pic:blipFill>
                  <pic:spPr bwMode="auto">
                    <a:xfrm>
                      <a:off x="0" y="0"/>
                      <a:ext cx="5727700" cy="3965330"/>
                    </a:xfrm>
                    <a:prstGeom prst="rect">
                      <a:avLst/>
                    </a:prstGeom>
                    <a:noFill/>
                    <a:ln w="9525">
                      <a:noFill/>
                      <a:headEnd/>
                      <a:tailEnd/>
                    </a:ln>
                  </pic:spPr>
                </pic:pic>
              </a:graphicData>
            </a:graphic>
          </wp:inline>
        </w:drawing>
      </w:r>
    </w:p>
    <w:p>
      <w:pPr>
        <w:pStyle w:val="ImageCaption"/>
      </w:pPr>
      <w:r>
        <w:t xml:space="preserve">Figure 3: Species-level (A) and interaction-level (B, C) plotted against elevational difference. Each point represents the β-diversity (or β-diversity partition) between a pair of sites, and lines represent the overall relationship between β-diversity and elevation difference using binomial regression smooths. Standard errors are not plotted because they would be misleading due to the non-independence inherent to distance matrix regression, but all regressions were significant (p &lt; 0.01). Interaction β-diversity (B, C) is partitioned using Poisot et al.’s (2012) notation: WN = unpartitioned β-diversity, ST = β-diversity due to species turnover, OS = β-diversity due to interaction rewiring, ST.h = β-diversity due to species turnover in the higher trophic level (bumble bees), ST.l = β-diversity due to species turnover in the lower trophic level (plants), and ST.lh = β-diversity due to joint species turnover in higher and lower trophic levels.</w:t>
      </w:r>
    </w:p>
    <w:p>
      <w:pPr>
        <w:pStyle w:val="BodyText"/>
      </w:pPr>
      <w:r>
        <w:t xml:space="preserve">GDM analysis reproduced the finding that overall β-diversity was dominated by floral turnover, but it also revealed a strongly nonlinear response of floral and interaction β-diversity to elevation</w:t>
      </w:r>
      <w:r>
        <w:t xml:space="preserve"> </w:t>
      </w:r>
      <w:r>
        <w:rPr>
          <w:bCs/>
          <w:b/>
        </w:rPr>
        <w:t xml:space="preserve">(Figure 4)</w:t>
      </w:r>
      <w:r>
        <w:t xml:space="preserve">. Turnover was high from ~600-1000 m, representing the transition from valley floor to lower slopes, and then leveled off from ~1000-1500 m. At around 1500 m, turnover accelerated sharply and remained steep for the remainder of the elevation gradient. The partial effects of geographic proximity and sampling intensity were negligible in all cases.</w:t>
      </w:r>
    </w:p>
    <w:p>
      <w:pPr>
        <w:pStyle w:val="CaptionedFigure"/>
      </w:pPr>
      <w:r>
        <w:drawing>
          <wp:inline>
            <wp:extent cx="5727700" cy="4168030"/>
            <wp:effectExtent b="0" l="0" r="0" t="0"/>
            <wp:docPr descr="Figure 4: GDM splines of species-level and interaction-level β-diversity in response to geographic, elevational, and temporal distance between site-dates. The maximum height of each spline represents a given variable’s partial effect on β-diversity (its effect when covariates are held constant), and the shape of each spline represents to the rate of species turnover as it varies along the corresponding gradient (i.e. geographic distance, elevation, or day of year), with steeper parts of the curve indicating regions of the gradient over which species/interaction turnover is more rapid. Within-site comparisons were omitted from GDM analysis to avoid pseudoreplication. Shaded bands depict the uncertainty of each partial effect curve (+/- one standard deviation) based on bootstrapping. Note the differences in scale between the y-axes of each variable." title="" id="1" name="Picture"/>
            <a:graphic>
              <a:graphicData uri="http://schemas.openxmlformats.org/drawingml/2006/picture">
                <pic:pic>
                  <pic:nvPicPr>
                    <pic:cNvPr descr="../output/gdm_stack.png" id="0" name="Picture"/>
                    <pic:cNvPicPr>
                      <a:picLocks noChangeArrowheads="1" noChangeAspect="1"/>
                    </pic:cNvPicPr>
                  </pic:nvPicPr>
                  <pic:blipFill>
                    <a:blip r:embed="rId31"/>
                    <a:stretch>
                      <a:fillRect/>
                    </a:stretch>
                  </pic:blipFill>
                  <pic:spPr bwMode="auto">
                    <a:xfrm>
                      <a:off x="0" y="0"/>
                      <a:ext cx="5727700" cy="4168030"/>
                    </a:xfrm>
                    <a:prstGeom prst="rect">
                      <a:avLst/>
                    </a:prstGeom>
                    <a:noFill/>
                    <a:ln w="9525">
                      <a:noFill/>
                      <a:headEnd/>
                      <a:tailEnd/>
                    </a:ln>
                  </pic:spPr>
                </pic:pic>
              </a:graphicData>
            </a:graphic>
          </wp:inline>
        </w:drawing>
      </w:r>
    </w:p>
    <w:p>
      <w:pPr>
        <w:pStyle w:val="ImageCaption"/>
      </w:pPr>
      <w:r>
        <w:t xml:space="preserve">Figure 4: GDM splines of species-level and interaction-level β-diversity in response to geographic, elevational, and temporal distance between site-dates. The maximum height of each spline represents a given variable’s partial effect on β-diversity (its effect when covariates are held constant), and the shape of each spline represents to the rate of species turnover as it varies along the corresponding gradient (i.e. geographic distance, elevation, or day of year), with steeper parts of the curve indicating regions of the gradient over which species/interaction turnover is more rapid. Within-site comparisons were omitted from GDM analysis to avoid pseudoreplication. Shaded bands depict the uncertainty of each partial effect curve (+/- one standard deviation) based on bootstrapping. Note the differences in scale between the y-axes of each variable.</w:t>
      </w:r>
    </w:p>
    <w:bookmarkEnd w:id="32"/>
    <w:bookmarkEnd w:id="33"/>
    <w:bookmarkStart w:id="34" w:name="discussion"/>
    <w:p>
      <w:pPr>
        <w:pStyle w:val="Heading1"/>
      </w:pPr>
      <w:r>
        <w:t xml:space="preserve">DISCUSSION</w:t>
      </w:r>
    </w:p>
    <w:p>
      <w:pPr>
        <w:pStyle w:val="FirstParagraph"/>
      </w:pPr>
      <w:r>
        <w:t xml:space="preserve">The floristic importance of the tree line ecotone has been noted in previous work</w:t>
      </w:r>
      <w:r>
        <w:t xml:space="preserve"> </w:t>
      </w:r>
      <w:r>
        <w:t xml:space="preserve">(Pellissier et al. 2010, Descombes et al. 2017)</w:t>
      </w:r>
      <w:r>
        <w:t xml:space="preserve">. By studying the floral community through the lens of foraging bumble bees, we provide a functional extension of this floristic pattern, showing that the tree line ecotone both a boundary above which floral resource availability sharply declines and a critical distributional interface between high-elevation bumble bees and their habitat-generalist counterparts. Similar patterns with respect to the tree line ecotone have been described for bumble bees and their floral hosts in the Mediterranean system of Mount Olympus</w:t>
      </w:r>
      <w:r>
        <w:t xml:space="preserve"> </w:t>
      </w:r>
      <w:r>
        <w:t xml:space="preserve">(Minachilis et al. 2020)</w:t>
      </w:r>
      <w:r>
        <w:t xml:space="preserve">, suggesting that these findings are a general property of mountain ecosystems.</w:t>
      </w:r>
    </w:p>
    <w:p>
      <w:pPr>
        <w:pStyle w:val="BodyText"/>
      </w:pPr>
      <w:r>
        <w:t xml:space="preserve">The fact that</w:t>
      </w:r>
    </w:p>
    <w:p>
      <w:pPr>
        <w:pStyle w:val="BodyText"/>
      </w:pPr>
      <w:r>
        <w:t xml:space="preserve">As such, the tree line ecotone deserves special consideration in conservation management, and targeted studies of plant-pollinator relationships at the tree line ecotone would be warranted.</w:t>
      </w:r>
    </w:p>
    <w:p>
      <w:pPr>
        <w:pStyle w:val="BodyText"/>
      </w:pPr>
      <w:r>
        <w:t xml:space="preserve">A salient question that could not be answered by our sampling approach is whether mountain bumble bees adaptively forage up- or downslope, as suggested by</w:t>
      </w:r>
      <w:r>
        <w:t xml:space="preserve"> </w:t>
      </w:r>
      <w:r>
        <w:t xml:space="preserve">Lundberg and Ranta (1980)</w:t>
      </w:r>
      <w:r>
        <w:t xml:space="preserve">. Bumble bees have large foraging ranges and have been shown both to track resources through space and time</w:t>
      </w:r>
      <w:r>
        <w:t xml:space="preserve"> </w:t>
      </w:r>
      <w:r>
        <w:t xml:space="preserve">(Devoto et al. 2014)</w:t>
      </w:r>
      <w:r>
        <w:t xml:space="preserve"> </w:t>
      </w:r>
      <w:r>
        <w:t xml:space="preserve">and to cross forest matrix to reach patches of foraging habitat</w:t>
      </w:r>
      <w:r>
        <w:t xml:space="preserve"> </w:t>
      </w:r>
      <w:r>
        <w:t xml:space="preserve">(Mola et al. 2020)</w:t>
      </w:r>
      <w:r>
        <w:t xml:space="preserve">. Assuming an average slope of 20° and a foraging range of 1 km, a bumble bee could travel up- or downslope by more than 340 m, thus spanning an elevation belt nearly 700 m wide. Such 3-dimensional foraging would enable bumble bees both to exploit the elevational turnover of floral species and to track preferred species through their elevationally staggered phenology, the latter constituting a sort of physiological time travel [</w:t>
      </w:r>
      <w:r>
        <w:t xml:space="preserve">Straalen (1983)</w:t>
      </w:r>
      <w:r>
        <w:t xml:space="preserve">.</w:t>
      </w:r>
    </w:p>
    <w:p>
      <w:pPr>
        <w:pStyle w:val="BodyText"/>
      </w:pPr>
      <w:r>
        <w:t xml:space="preserve">he rate of β-diversity — whether that of bumble bees, flora, or interactions — accelerates sharply near the tree line ecotone (~1500 m) and continues accelerating for the remainder of the elevation gradient (Figure 8). Thus, a linear elevation gradient generates a nonlinear biological response, punctuated by the tree line ecotone, above which further increase in elevation becomes an increasingly stringent filter of community assembly. Such patterns have been described previously for plants (Pellissier et al. 2010, Descombes et al. 2017); our study suggests they extend also to bumble bees, and that they are propagated from the level of community composition to that of species interactions between bumble bees and their floral hosts.</w:t>
      </w:r>
    </w:p>
    <w:bookmarkEnd w:id="34"/>
    <w:bookmarkStart w:id="35" w:name="conclusions"/>
    <w:p>
      <w:pPr>
        <w:pStyle w:val="Heading1"/>
      </w:pPr>
      <w:r>
        <w:t xml:space="preserve">CONCLUSIONS</w:t>
      </w:r>
    </w:p>
    <w:p>
      <w:pPr>
        <w:pStyle w:val="FirstParagraph"/>
      </w:pPr>
      <w:r>
        <w:t xml:space="preserve">The central finding of our study, evident in each of our analyses, is that a linear elevation gradient can generate nonlinear biological responses in terms of both abundance and β-diversity, and the latter at both at the level of community composition and at the level of species interactions. While elevational climate variation cannot be completely disentangled from other variables that covary with elevation</w:t>
      </w:r>
      <w:r>
        <w:t xml:space="preserve"> </w:t>
      </w:r>
      <w:r>
        <w:t xml:space="preserve">(Hodkinson 2005)</w:t>
      </w:r>
      <w:r>
        <w:t xml:space="preserve">, nonlinear responses of plants and pollinators along an elevational climate gradient suggest that we might expect similar nonlinearities in response to temporal climate change. Indeed, such nonlinear responses to climate have already been reported, including a recent study that documented nonlinear decline of insect abundance over a 37-year temporal climate gradient</w:t>
      </w:r>
      <w:r>
        <w:t xml:space="preserve"> </w:t>
      </w:r>
      <w:r>
        <w:t xml:space="preserve">(Lister and Garcia 2018)</w:t>
      </w:r>
      <w:r>
        <w:t xml:space="preserve">.</w:t>
      </w:r>
    </w:p>
    <w:p>
      <w:pPr>
        <w:pStyle w:val="BodyText"/>
      </w:pPr>
      <w:r>
        <w:t xml:space="preserve">Independent of their utility as space-for-time climate proxies, mountains per se are unique ecological theaters in which extrinsic temporal climate change interacts with an intrinsic elevational climate gradation to alter the spatial and temporal distributions of species and interactions</w:t>
      </w:r>
      <w:r>
        <w:t xml:space="preserve"> </w:t>
      </w:r>
      <w:r>
        <w:t xml:space="preserve">(Telwala et al. 2013, CaraDonna et al. 2014, Miller-Struttmann and Galen 2014, Rafferty et al. 2020)</w:t>
      </w:r>
      <w:r>
        <w:t xml:space="preserve">. The nonlinearity of abundance observed in our study warns that temporal climate change on mountain slopes should be expected to involve the redistribution of discrete peaks of species abundance.</w:t>
      </w:r>
    </w:p>
    <w:p>
      <w:pPr>
        <w:pStyle w:val="BodyText"/>
      </w:pPr>
      <w:r>
        <w:t xml:space="preserve">It should also be expected that climate change on mountain slopes will be punctuated by the tree line ecotone, which constitutes, at least with respect to bumble bees and wildflowers, a region of unique resource abundance and a transition to high and accelerating turnover of species and interactions</w:t>
      </w:r>
      <w:r>
        <w:t xml:space="preserve"> </w:t>
      </w:r>
      <w:r>
        <w:t xml:space="preserve">(@ Descombes et al. 2017)</w:t>
      </w:r>
      <w:r>
        <w:t xml:space="preserve">. The observation that the upslope advancement of alpine tree lines often lags behind climate warming</w:t>
      </w:r>
      <w:r>
        <w:t xml:space="preserve"> </w:t>
      </w:r>
      <w:r>
        <w:t xml:space="preserve">(Dullinger et al. 2004)</w:t>
      </w:r>
      <w:r>
        <w:t xml:space="preserve"> </w:t>
      </w:r>
      <w:r>
        <w:t xml:space="preserve">suggests a danger that high elevation florivores could move upslope faster than their floral resources, or perhaps be forced to cope with increased competitive pressure from other florivore species formerly restricted to lower elevations</w:t>
      </w:r>
      <w:r>
        <w:t xml:space="preserve"> </w:t>
      </w:r>
      <w:r>
        <w:t xml:space="preserve">(Hoiss et al. 2012b)</w:t>
      </w:r>
      <w:r>
        <w:t xml:space="preserve">.</w:t>
      </w:r>
    </w:p>
    <w:p>
      <w:pPr>
        <w:pStyle w:val="BodyText"/>
      </w:pPr>
      <w:r>
        <w:t xml:space="preserve">though as a matter of applied conservation it is perhaps doubtful that local interventions could forestall for long the consequences of a process occurring at a global scale.</w:t>
      </w:r>
    </w:p>
    <w:bookmarkEnd w:id="35"/>
    <w:bookmarkStart w:id="36" w:name="acknowledgements"/>
    <w:p>
      <w:pPr>
        <w:pStyle w:val="Heading1"/>
      </w:pPr>
      <w:r>
        <w:t xml:space="preserve">ACKNOWLEDGEMENTS</w:t>
      </w:r>
    </w:p>
    <w:p>
      <w:pPr>
        <w:pStyle w:val="FirstParagraph"/>
      </w:pPr>
      <w:r>
        <w:t xml:space="preserve">We thank D.J. McNeil for helpful conversations during data analysis.</w:t>
      </w:r>
    </w:p>
    <w:bookmarkEnd w:id="36"/>
    <w:bookmarkStart w:id="99" w:name="references"/>
    <w:p>
      <w:pPr>
        <w:pStyle w:val="Heading1"/>
      </w:pPr>
      <w:r>
        <w:t xml:space="preserve">REFERENCES</w:t>
      </w:r>
    </w:p>
    <w:bookmarkStart w:id="98" w:name="refs"/>
    <w:bookmarkStart w:id="37" w:name="ref-Amiet1996-jz"/>
    <w:p>
      <w:pPr>
        <w:pStyle w:val="Bibliography"/>
      </w:pPr>
      <w:r>
        <w:t xml:space="preserve">Amiet, F. 1996. Hymenoptera apidae, 1.</w:t>
      </w:r>
      <w:r>
        <w:t xml:space="preserve"> </w:t>
      </w:r>
      <w:r>
        <w:t xml:space="preserve">Teil.Allgemeiner</w:t>
      </w:r>
      <w:r>
        <w:t xml:space="preserve"> </w:t>
      </w:r>
      <w:r>
        <w:t xml:space="preserve">teil, gattungsschl</w:t>
      </w:r>
      <w:r>
        <w:t xml:space="preserve">ü</w:t>
      </w:r>
      <w:r>
        <w:t xml:space="preserve">ssel, die</w:t>
      </w:r>
      <w:r>
        <w:t xml:space="preserve"> </w:t>
      </w:r>
      <w:r>
        <w:t xml:space="preserve">GattungenApis,BombusundPsithyrus</w:t>
      </w:r>
      <w:r>
        <w:t xml:space="preserve">.</w:t>
      </w:r>
    </w:p>
    <w:bookmarkEnd w:id="37"/>
    <w:bookmarkStart w:id="38" w:name="ref-Becker2007-cg"/>
    <w:p>
      <w:pPr>
        <w:pStyle w:val="Bibliography"/>
      </w:pPr>
      <w:r>
        <w:t xml:space="preserve">Becker, A., C. Korner, J. J. Brun, A. Guisan, and U. Tappeiner. 2007. Ecological and land use studies along elevational gradients. Mt. Res. Dev. 27:58–65.</w:t>
      </w:r>
    </w:p>
    <w:bookmarkEnd w:id="38"/>
    <w:bookmarkStart w:id="39" w:name="ref-Blois2013-dz"/>
    <w:p>
      <w:pPr>
        <w:pStyle w:val="Bibliography"/>
      </w:pPr>
      <w:r>
        <w:t xml:space="preserve">Blois, J. L., P. L. Zarnetske, M. C. Fitzpatrick, and S. Finnegan. 2013. Climate change and the past, present, and future of biotic interactions. Science 341:499–504.</w:t>
      </w:r>
    </w:p>
    <w:bookmarkEnd w:id="39"/>
    <w:bookmarkStart w:id="40" w:name="ref-Brosi2013-mu"/>
    <w:p>
      <w:pPr>
        <w:pStyle w:val="Bibliography"/>
      </w:pPr>
      <w:r>
        <w:t xml:space="preserve">Brosi, B. J., and H. M. Briggs. 2013. Single pollinator species losses reduce floral fidelity and plant reproductive function. Proc. Natl. Acad. Sci. U. S. A. 110:13044–13048.</w:t>
      </w:r>
    </w:p>
    <w:bookmarkEnd w:id="40"/>
    <w:bookmarkStart w:id="41" w:name="ref-CaraDonna2014-nq"/>
    <w:p>
      <w:pPr>
        <w:pStyle w:val="Bibliography"/>
      </w:pPr>
      <w:r>
        <w:t xml:space="preserve">CaraDonna, P. J., A. M. Iler, and D. W. Inouye. 2014. Shifts in flowering phenology reshape a subalpine plant community. Proc. Natl. Acad. Sci. U. S. A. 111:4916–4921.</w:t>
      </w:r>
    </w:p>
    <w:bookmarkEnd w:id="41"/>
    <w:bookmarkStart w:id="42" w:name="ref-Descombes2017-id"/>
    <w:p>
      <w:pPr>
        <w:pStyle w:val="Bibliography"/>
      </w:pPr>
      <w:r>
        <w:t xml:space="preserve">Descombes, P., P. Vittoz, A. Guisan, and L. Pellissier. 2017. Uneven rate of plant turnover along elevation in grasslands. Alpine botany.</w:t>
      </w:r>
    </w:p>
    <w:bookmarkEnd w:id="42"/>
    <w:bookmarkStart w:id="43" w:name="ref-Devoto2014-ay"/>
    <w:p>
      <w:pPr>
        <w:pStyle w:val="Bibliography"/>
      </w:pPr>
      <w:r>
        <w:t xml:space="preserve">Devoto, M., S. Bailey, and J. Memmott. 2014. Ecological meta-networks integrate spatial and temporal dynamics of plant–bumble bee interactions. Oikos 123:714–720.</w:t>
      </w:r>
    </w:p>
    <w:bookmarkEnd w:id="43"/>
    <w:bookmarkStart w:id="44" w:name="ref-Dormann_2011"/>
    <w:p>
      <w:pPr>
        <w:pStyle w:val="Bibliography"/>
      </w:pPr>
      <w:r>
        <w:t xml:space="preserve">Dormann, C. F. 2011. How to be a specialist? Quantifying specialisation in pollination networks. Network Biology 1:1–20.</w:t>
      </w:r>
    </w:p>
    <w:bookmarkEnd w:id="44"/>
    <w:bookmarkStart w:id="45" w:name="ref-Dormann_2009"/>
    <w:p>
      <w:pPr>
        <w:pStyle w:val="Bibliography"/>
      </w:pPr>
      <w:r>
        <w:t xml:space="preserve">Dormann, C. F., J. Frueund, N. Bluethgen, and B. Gruber. 2009. Indices, graphs and null models: Analyzing bipartite ecological networks. The Open Ecology Journal 2:7–24.</w:t>
      </w:r>
    </w:p>
    <w:bookmarkEnd w:id="45"/>
    <w:bookmarkStart w:id="46" w:name="ref-Dormann_2008"/>
    <w:p>
      <w:pPr>
        <w:pStyle w:val="Bibliography"/>
      </w:pPr>
      <w:r>
        <w:t xml:space="preserve">Dormann, C. F., B. Gruber, and J. Fruend. 2008. Introducing the bipartite package: Analysing ecological networks. R News 8:8–11.</w:t>
      </w:r>
    </w:p>
    <w:bookmarkEnd w:id="46"/>
    <w:bookmarkStart w:id="47" w:name="ref-Dullinger2004-qu"/>
    <w:p>
      <w:pPr>
        <w:pStyle w:val="Bibliography"/>
      </w:pPr>
      <w:r>
        <w:t xml:space="preserve">Dullinger, S., T. Dirnböck, and G. Grabherr. 2004. Modelling climate change‐driven treeline shifts: Relative effects of temperature increase, dispersal and invasibility. J. Ecol.</w:t>
      </w:r>
    </w:p>
    <w:bookmarkEnd w:id="47"/>
    <w:bookmarkStart w:id="48" w:name="ref-Fasiolo2018aa"/>
    <w:p>
      <w:pPr>
        <w:pStyle w:val="Bibliography"/>
      </w:pPr>
      <w:r>
        <w:t xml:space="preserve">Fasiolo, M., R. Nedellec, Y. Goude, and S. N. Wood. 2018. Scalable visualisation methods for modern generalized additive models. Arxiv preprint.</w:t>
      </w:r>
    </w:p>
    <w:bookmarkEnd w:id="48"/>
    <w:bookmarkStart w:id="49" w:name="ref-Ferrier2007-ji"/>
    <w:p>
      <w:pPr>
        <w:pStyle w:val="Bibliography"/>
      </w:pPr>
      <w:r>
        <w:t xml:space="preserve">Ferrier, S., G. Manion, J. Elith, and K. Richardson. 2007. Using generalized dissimilarity modelling to analyse and predict patterns of beta diversity in regional biodiversity assessment. Diversity and Distributions 13:252–264.</w:t>
      </w:r>
    </w:p>
    <w:bookmarkEnd w:id="49"/>
    <w:bookmarkStart w:id="50" w:name="ref-Fitzpatrick_2020"/>
    <w:p>
      <w:pPr>
        <w:pStyle w:val="Bibliography"/>
      </w:pPr>
      <w:r>
        <w:t xml:space="preserve">Fitzpatrick, M. C., K. Mokany, G. Manion, M. Lisk, S. Ferrier, and D. Nieto-Lugilde. 2020. Gdm: Generalized dissimilarity modeling.</w:t>
      </w:r>
    </w:p>
    <w:bookmarkEnd w:id="50"/>
    <w:bookmarkStart w:id="51" w:name="ref-Fourcade2019-ct"/>
    <w:p>
      <w:pPr>
        <w:pStyle w:val="Bibliography"/>
      </w:pPr>
      <w:r>
        <w:t xml:space="preserve">Fourcade, Y., S. Åström, and E. Öckinger. 2019. Climate and land-cover change alter bumblebee species richness and community composition in subalpine areas. Biodivers. Conserv. 28:639–653.</w:t>
      </w:r>
    </w:p>
    <w:bookmarkEnd w:id="51"/>
    <w:bookmarkStart w:id="52" w:name="ref-Goslee2009-ln"/>
    <w:p>
      <w:pPr>
        <w:pStyle w:val="Bibliography"/>
      </w:pPr>
      <w:r>
        <w:t xml:space="preserve">Goslee, S. C. 2009. Correlation analysis of dissimilarity matrices. Plant Ecol. 206:279.</w:t>
      </w:r>
    </w:p>
    <w:bookmarkEnd w:id="52"/>
    <w:bookmarkStart w:id="53" w:name="ref-Goslee2007-aa"/>
    <w:p>
      <w:pPr>
        <w:pStyle w:val="Bibliography"/>
      </w:pPr>
      <w:r>
        <w:t xml:space="preserve">Goslee, S. C., and D. L. Urban. 2007. The ecodist package for dissimilarity-based analysis of ecological data. Journal of Statistical Software 22:1–19.</w:t>
      </w:r>
    </w:p>
    <w:bookmarkEnd w:id="53"/>
    <w:bookmarkStart w:id="54" w:name="ref-Goulson2010-lo"/>
    <w:p>
      <w:pPr>
        <w:pStyle w:val="Bibliography"/>
      </w:pPr>
      <w:r>
        <w:t xml:space="preserve">Goulson, D. 2010. Bumblebees: Behaviour, ecology, and conservation. OUP Oxford.</w:t>
      </w:r>
    </w:p>
    <w:bookmarkEnd w:id="54"/>
    <w:bookmarkStart w:id="55" w:name="ref-Goulson2008-oe"/>
    <w:p>
      <w:pPr>
        <w:pStyle w:val="Bibliography"/>
      </w:pPr>
      <w:r>
        <w:t xml:space="preserve">Goulson, D., G. C. Lye, and B. Darvill. 2008. Decline and conservation of bumble bees. Annu. Rev. Entomol. 53:191–208.</w:t>
      </w:r>
    </w:p>
    <w:bookmarkEnd w:id="55"/>
    <w:bookmarkStart w:id="56" w:name="ref-Heinrich1994-cv"/>
    <w:p>
      <w:pPr>
        <w:pStyle w:val="Bibliography"/>
      </w:pPr>
      <w:r>
        <w:t xml:space="preserve">Heinrich, B., and H. Esch. 1994. Thermoregulation in bees. Am. Sci. 82:164–170.</w:t>
      </w:r>
    </w:p>
    <w:bookmarkEnd w:id="56"/>
    <w:bookmarkStart w:id="57" w:name="ref-Hines2008-er"/>
    <w:p>
      <w:pPr>
        <w:pStyle w:val="Bibliography"/>
      </w:pPr>
      <w:r>
        <w:t xml:space="preserve">Hines, H. M. 2008. Historical biogeography, divergence times, and diversification patterns of bumble bees (hymenoptera: Apidae: bombus). Syst. Biol. 57:58–75.</w:t>
      </w:r>
    </w:p>
    <w:bookmarkEnd w:id="57"/>
    <w:bookmarkStart w:id="58" w:name="ref-Hodkinson2005-af"/>
    <w:p>
      <w:pPr>
        <w:pStyle w:val="Bibliography"/>
      </w:pPr>
      <w:r>
        <w:t xml:space="preserve">Hodkinson, I. D. 2005. Terrestrial insects along elevation gradients: Species and community responses to altitude. Biol. Rev. Camb. Philos. Soc. 80:489–513.</w:t>
      </w:r>
    </w:p>
    <w:bookmarkEnd w:id="58"/>
    <w:bookmarkStart w:id="59" w:name="ref-Hoiss2012-kr"/>
    <w:p>
      <w:pPr>
        <w:pStyle w:val="Bibliography"/>
      </w:pPr>
      <w:r>
        <w:t xml:space="preserve">Hoiss, B., J. Gaviria, A. Leingärtner, J. Krauss, and I. Steffan-Dewenter. 2012a. Combined effects of climate and management on plant diversity and pollination type in alpine grasslands. Divers. Distrib. 19.</w:t>
      </w:r>
    </w:p>
    <w:bookmarkEnd w:id="59"/>
    <w:bookmarkStart w:id="60" w:name="ref-Hoiss2012-sn"/>
    <w:p>
      <w:pPr>
        <w:pStyle w:val="Bibliography"/>
      </w:pPr>
      <w:r>
        <w:t xml:space="preserve">Hoiss, B., J. Krauss, S. G. Potts, S. Roberts, and I. Steffan-Dewenter. 2012b. Altitude acts as an environmental filter on phylogenetic composition, traits and diversity in bee communities. Proc. Biol. Sci. 279:4447–4456.</w:t>
      </w:r>
    </w:p>
    <w:bookmarkEnd w:id="60"/>
    <w:bookmarkStart w:id="61" w:name="ref-Hoiss2015-gv"/>
    <w:p>
      <w:pPr>
        <w:pStyle w:val="Bibliography"/>
      </w:pPr>
      <w:r>
        <w:t xml:space="preserve">Hoiss, B., J. Krauss, and I. Steffan-Dewenter. 2015. Interactive effects of elevation, species richness and extreme climatic events on plant–pollinator networks. Glob. Chang. Biol. 21:4086–4097.</w:t>
      </w:r>
    </w:p>
    <w:bookmarkEnd w:id="61"/>
    <w:bookmarkStart w:id="62" w:name="ref-Ishii2013-sm"/>
    <w:p>
      <w:pPr>
        <w:pStyle w:val="Bibliography"/>
      </w:pPr>
      <w:r>
        <w:t xml:space="preserve">Ishii, H. S. 2013. Community-dependent foraging habits of flower visitors: Cascading indirect interactions among five bumble bee species. Ecol. Res. 28:603–613.</w:t>
      </w:r>
    </w:p>
    <w:bookmarkEnd w:id="62"/>
    <w:bookmarkStart w:id="63" w:name="ref-Kerr2015-dg"/>
    <w:p>
      <w:pPr>
        <w:pStyle w:val="Bibliography"/>
      </w:pPr>
      <w:r>
        <w:t xml:space="preserve">Kerr, J. T., A. Pindar, P. Galpern, L. Packer, S. G. Potts, S. M. Roberts, P. Rasmont, O. Schweiger, S. R. Colla, L. L. Richardson, D. L. Wagner, L. F. Gall, D. S. Sikes, and A. Pantoja. 2015. Climate change impacts on bumblebees converge across continents. Science 349:177–180.</w:t>
      </w:r>
    </w:p>
    <w:bookmarkEnd w:id="63"/>
    <w:bookmarkStart w:id="64" w:name="ref-Korner1995-mh"/>
    <w:p>
      <w:pPr>
        <w:pStyle w:val="Bibliography"/>
      </w:pPr>
      <w:r>
        <w:t xml:space="preserve">Körner, C. 1995. Alpine plant diversity: A global survey and functional interpretations. Pages 45–62</w:t>
      </w:r>
      <w:r>
        <w:t xml:space="preserve"> </w:t>
      </w:r>
      <w:r>
        <w:rPr>
          <w:iCs/>
          <w:i/>
        </w:rPr>
        <w:t xml:space="preserve">in</w:t>
      </w:r>
      <w:r>
        <w:t xml:space="preserve"> </w:t>
      </w:r>
      <w:r>
        <w:t xml:space="preserve">F. S. Chapin and C. Körner, editors. Arctic and alpine biodiversity: Patterns, causes and ecosystem consequences. Springer Berlin Heidelberg, Berlin, Heidelberg.</w:t>
      </w:r>
    </w:p>
    <w:bookmarkEnd w:id="64"/>
    <w:bookmarkStart w:id="65" w:name="ref-Lauber2007-ha"/>
    <w:p>
      <w:pPr>
        <w:pStyle w:val="Bibliography"/>
      </w:pPr>
      <w:r>
        <w:t xml:space="preserve">Lauber, K., and G. Wagner. 2007. Flora helvetica. Haupt.</w:t>
      </w:r>
    </w:p>
    <w:bookmarkEnd w:id="65"/>
    <w:bookmarkStart w:id="66" w:name="ref-Lenoir2008-yn"/>
    <w:p>
      <w:pPr>
        <w:pStyle w:val="Bibliography"/>
      </w:pPr>
      <w:r>
        <w:t xml:space="preserve">Lenoir, J., J. C. Gégout, P. A. Marquet, P. de Ruffray, and H. Brisse. 2008. A significant upward shift in plant species optimum elevation during the 20th century. Science 320:1768–1771.</w:t>
      </w:r>
    </w:p>
    <w:bookmarkEnd w:id="66"/>
    <w:bookmarkStart w:id="67" w:name="ref-Lenoir2015-tj"/>
    <w:p>
      <w:pPr>
        <w:pStyle w:val="Bibliography"/>
      </w:pPr>
      <w:r>
        <w:t xml:space="preserve">Lenoir, J., and J.-C. Svenning. 2015. Climate-related range shifts - a global multidimensional synthesis and new research directions. Ecography 38:15–28.</w:t>
      </w:r>
    </w:p>
    <w:bookmarkEnd w:id="67"/>
    <w:bookmarkStart w:id="68" w:name="ref-Lister2018-jp"/>
    <w:p>
      <w:pPr>
        <w:pStyle w:val="Bibliography"/>
      </w:pPr>
      <w:r>
        <w:t xml:space="preserve">Lister, B. C., and A. Garcia. 2018. Climate-driven declines in arthropod abundance restructure a rainforest food web. Proc. Natl. Acad. Sci. U. S. A.:201722477.</w:t>
      </w:r>
    </w:p>
    <w:bookmarkEnd w:id="68"/>
    <w:bookmarkStart w:id="69" w:name="ref-Lundberg1980-qk"/>
    <w:p>
      <w:pPr>
        <w:pStyle w:val="Bibliography"/>
      </w:pPr>
      <w:r>
        <w:t xml:space="preserve">Lundberg, H., and E. Ranta. 1980. Habitat and food utilization in a subarctic bumblebee community. Oikos 35:303–310.</w:t>
      </w:r>
    </w:p>
    <w:bookmarkEnd w:id="69"/>
    <w:bookmarkStart w:id="70" w:name="ref-Marshall2020-pc"/>
    <w:p>
      <w:pPr>
        <w:pStyle w:val="Bibliography"/>
      </w:pPr>
      <w:r>
        <w:t xml:space="preserve">Marshall, L., F. Perdijk, N. Dendoncker, W. Kunin, S. Roberts, and J. C. Biesmeijer. 2020. Bumblebees moving up: Shifts in elevation ranges in the pyrenees over 115 years. Proc. Biol. Sci. 287:20202201.</w:t>
      </w:r>
    </w:p>
    <w:bookmarkEnd w:id="70"/>
    <w:bookmarkStart w:id="71" w:name="ref-Martinet2018-rb"/>
    <w:p>
      <w:pPr>
        <w:pStyle w:val="Bibliography"/>
      </w:pPr>
      <w:r>
        <w:t xml:space="preserve">Martinet, B., T. Lecocq, N. Brasero, P. Biella, K. Urbanova, I. Valterova, M. Cornalba, J. O. Gjershaug, D. Michez, and P. Rasmont. 2018. Following the cold: Geographical differentiation between interglacial refugia and speciation in the arcto-alpine species complex bombus monticola (hymenoptera: apidae). Syst. Entomol. 43:200–217.</w:t>
      </w:r>
    </w:p>
    <w:bookmarkEnd w:id="71"/>
    <w:bookmarkStart w:id="72" w:name="ref-Miller-Struttmann2014-wz"/>
    <w:p>
      <w:pPr>
        <w:pStyle w:val="Bibliography"/>
      </w:pPr>
      <w:r>
        <w:t xml:space="preserve">Miller-Struttmann, N. E., and C. Galen. 2014. High-altitude multi-taskers: Bumble bee food plant use broadens along an altitudinal productivity gradient. Oecologia 176:1033–1045.</w:t>
      </w:r>
    </w:p>
    <w:bookmarkEnd w:id="72"/>
    <w:bookmarkStart w:id="73" w:name="ref-Minachilis2020-xd"/>
    <w:p>
      <w:pPr>
        <w:pStyle w:val="Bibliography"/>
      </w:pPr>
      <w:r>
        <w:t xml:space="preserve">Minachilis, K., A. Kantsa, J. Devalez, P. Trigas, T. Tscheulin, and T. Petanidou. 2020. Bumblebee diversity and pollination networks along the elevation gradient of mount olympus, greece. Diversity and Distributions n/a.</w:t>
      </w:r>
    </w:p>
    <w:bookmarkEnd w:id="73"/>
    <w:bookmarkStart w:id="74" w:name="ref-Mola2020-yc"/>
    <w:p>
      <w:pPr>
        <w:pStyle w:val="Bibliography"/>
      </w:pPr>
      <w:r>
        <w:t xml:space="preserve">Mola, J. M., M. R. Miller, S. M. O’Rourke, and N. M. Williams. 2020. Forests do not limit bumble bee foraging movements in a montane meadow complex. Ecol. Entomol. 202:389.</w:t>
      </w:r>
    </w:p>
    <w:bookmarkEnd w:id="74"/>
    <w:bookmarkStart w:id="75" w:name="ref-Novotny2009-my"/>
    <w:p>
      <w:pPr>
        <w:pStyle w:val="Bibliography"/>
      </w:pPr>
      <w:r>
        <w:t xml:space="preserve">Novotny, V. 2009. Beta diversity of plant–insect food webs in tropical forests: A conceptual framework. Insect Conserv. Divers.</w:t>
      </w:r>
    </w:p>
    <w:bookmarkEnd w:id="75"/>
    <w:bookmarkStart w:id="76" w:name="ref-Oberndorfer2001-ro"/>
    <w:p>
      <w:pPr>
        <w:pStyle w:val="Bibliography"/>
      </w:pPr>
      <w:r>
        <w:t xml:space="preserve">Oberndorfer, E. 2001. Pflanzensoziologische exkursionsflora f</w:t>
      </w:r>
      <w:r>
        <w:t xml:space="preserve">ü</w:t>
      </w:r>
      <w:r>
        <w:t xml:space="preserve">r deutschland und angrenzende gebiete. Verlag Eugen Ulmer, Stuttgart.</w:t>
      </w:r>
    </w:p>
    <w:bookmarkEnd w:id="76"/>
    <w:bookmarkStart w:id="77" w:name="ref-Oksanen_2019"/>
    <w:p>
      <w:pPr>
        <w:pStyle w:val="Bibliography"/>
      </w:pPr>
      <w:r>
        <w:t xml:space="preserve">Oksanen, J., F. G. Blanchet, M. Friendly, R. Kindt, P. Legendre, D. McGlinn, P. R. Minchin, R. B. O’Hara, G. L. Simpson, P. Solymos, M. H. H. Stevens, E. Szoecs, and H. Wagner. 2019. Vegan: Community ecology package.</w:t>
      </w:r>
    </w:p>
    <w:bookmarkEnd w:id="77"/>
    <w:bookmarkStart w:id="78" w:name="ref-Pedersen2019-kf"/>
    <w:p>
      <w:pPr>
        <w:pStyle w:val="Bibliography"/>
      </w:pPr>
      <w:r>
        <w:t xml:space="preserve">Pedersen, E. J., D. L. Miller, G. L. Simpson, and N. Ross. 2019. Hierarchical generalized additive models in ecology: An introduction with mgcv. PeerJ 7:e6876.</w:t>
      </w:r>
    </w:p>
    <w:bookmarkEnd w:id="78"/>
    <w:bookmarkStart w:id="79" w:name="ref-Pellissier2010-kg"/>
    <w:p>
      <w:pPr>
        <w:pStyle w:val="Bibliography"/>
      </w:pPr>
      <w:r>
        <w:t xml:space="preserve">Pellissier, L., B. Fournier, A. Guisan, and P. Vittoz. 2010. Plant traits co-vary with altitude in grasslands and forests in the european alps. Plant Ecol. 211:351–365.</w:t>
      </w:r>
    </w:p>
    <w:bookmarkEnd w:id="79"/>
    <w:bookmarkStart w:id="80" w:name="ref-Ploquin2013-da"/>
    <w:p>
      <w:pPr>
        <w:pStyle w:val="Bibliography"/>
      </w:pPr>
      <w:r>
        <w:t xml:space="preserve">Ploquin, E. F., J. M. Herrera, and J. R. Obeso. 2013. Bumblebee community homogenization after uphill shifts in montane areas of northern spain. Oecologia 173:1649–1660.</w:t>
      </w:r>
    </w:p>
    <w:bookmarkEnd w:id="80"/>
    <w:bookmarkStart w:id="81" w:name="ref-Poisot2012-fk"/>
    <w:p>
      <w:pPr>
        <w:pStyle w:val="Bibliography"/>
      </w:pPr>
      <w:r>
        <w:t xml:space="preserve">Poisot, T., E. Canard, D. Mouillot, N. Mouquet, and D. Gravel. 2012. The dissimilarity of species interaction networks. Ecol. Lett. 15:1353–1361.</w:t>
      </w:r>
    </w:p>
    <w:bookmarkEnd w:id="81"/>
    <w:bookmarkStart w:id="82" w:name="ref-Ponchau2006-af"/>
    <w:p>
      <w:pPr>
        <w:pStyle w:val="Bibliography"/>
      </w:pPr>
      <w:r>
        <w:t xml:space="preserve">Ponchau, O., S. Iserbyt, J.-C. Verhaeghe, and P. Rasmont. 2006. Is the caste-ratio of the oligolectic bumblebee bombus gerstaeckeri morawitz (hymenoptera: Apidae) biased to queens? Ann. Soc. Entomol. Fr. 42:207–214.</w:t>
      </w:r>
    </w:p>
    <w:bookmarkEnd w:id="82"/>
    <w:bookmarkStart w:id="83" w:name="ref-Pyke2016-ll"/>
    <w:p>
      <w:pPr>
        <w:pStyle w:val="Bibliography"/>
      </w:pPr>
      <w:r>
        <w:t xml:space="preserve">Pyke, G. H., J. D. Thomson, D. W. Inouye, and T. J. Miller. 2016. Effects of climate change on phenologies and distributions of bumble bees and the plants they visit. Ecosphere 7:1.</w:t>
      </w:r>
    </w:p>
    <w:bookmarkEnd w:id="83"/>
    <w:bookmarkStart w:id="84" w:name="ref-R_Core_Team_2020"/>
    <w:p>
      <w:pPr>
        <w:pStyle w:val="Bibliography"/>
      </w:pPr>
      <w:r>
        <w:t xml:space="preserve">R Core Team. 2020. R: A language and environment for statistical computing. R Foundation for Statistical Computing, Vienna, Austria.</w:t>
      </w:r>
    </w:p>
    <w:bookmarkEnd w:id="84"/>
    <w:bookmarkStart w:id="85" w:name="ref-Rafferty2020-aj"/>
    <w:p>
      <w:pPr>
        <w:pStyle w:val="Bibliography"/>
      </w:pPr>
      <w:r>
        <w:t xml:space="preserve">Rafferty, N. E., J. M. Diez, and C. D. Bertelsen. 2020. Changing climate drives divergent and nonlinear shifts in flowering phenology across elevations. Curr. Biol. 30:432–441.e3.</w:t>
      </w:r>
    </w:p>
    <w:bookmarkEnd w:id="85"/>
    <w:bookmarkStart w:id="86" w:name="ref-Rasmont2010-ci"/>
    <w:p>
      <w:pPr>
        <w:pStyle w:val="Bibliography"/>
      </w:pPr>
      <w:r>
        <w:t xml:space="preserve">Rasmont, P., and S. Iserbyt. 2010-2014. Atlas of the european bees: Genus bombus. STEP Project, Atlas Hymenoptera, Mons, Gembloux.</w:t>
      </w:r>
    </w:p>
    <w:bookmarkEnd w:id="86"/>
    <w:bookmarkStart w:id="87" w:name="ref-Slatyer1992-ir"/>
    <w:p>
      <w:pPr>
        <w:pStyle w:val="Bibliography"/>
      </w:pPr>
      <w:r>
        <w:t xml:space="preserve">Slatyer, R. O., and I. R. Noble. 1992. Dynamics of montane treelines. Pages 346–359</w:t>
      </w:r>
      <w:r>
        <w:t xml:space="preserve"> </w:t>
      </w:r>
      <w:r>
        <w:rPr>
          <w:iCs/>
          <w:i/>
        </w:rPr>
        <w:t xml:space="preserve">in</w:t>
      </w:r>
      <w:r>
        <w:t xml:space="preserve"> </w:t>
      </w:r>
      <w:r>
        <w:t xml:space="preserve">A. J. Hansen and F. di Castri, editors. Landscape boundaries: Consequences for biotic diversity and ecological flows. Springer New York, New York, NY.</w:t>
      </w:r>
    </w:p>
    <w:bookmarkEnd w:id="87"/>
    <w:bookmarkStart w:id="88" w:name="ref-Soroye2020-zb"/>
    <w:p>
      <w:pPr>
        <w:pStyle w:val="Bibliography"/>
      </w:pPr>
      <w:r>
        <w:t xml:space="preserve">Soroye, P., T. Newbold, and J. Kerr. 2020. Climate change contributes to widespread declines among bumble bees across continents. Science 367:685–688.</w:t>
      </w:r>
    </w:p>
    <w:bookmarkEnd w:id="88"/>
    <w:bookmarkStart w:id="89" w:name="ref-Stewart2010-jn"/>
    <w:p>
      <w:pPr>
        <w:pStyle w:val="Bibliography"/>
      </w:pPr>
      <w:r>
        <w:t xml:space="preserve">Stewart, J. R., A. M. Lister, I. Barnes, and L. Dalén. 2010. Refugia revisited: Individualistic responses of species in space and time. Proceedings of the Royal Society B: Biological Sciences 277:661–671.</w:t>
      </w:r>
    </w:p>
    <w:bookmarkEnd w:id="89"/>
    <w:bookmarkStart w:id="90" w:name="ref-Van_Straalen1983-df"/>
    <w:p>
      <w:pPr>
        <w:pStyle w:val="Bibliography"/>
      </w:pPr>
      <w:r>
        <w:t xml:space="preserve">Straalen, N. M. van. 1983. Physiological time and time-invariance. J. Theor. Biol. 104:349–357.</w:t>
      </w:r>
    </w:p>
    <w:bookmarkEnd w:id="90"/>
    <w:bookmarkStart w:id="91" w:name="ref-Telwala2013-sc"/>
    <w:p>
      <w:pPr>
        <w:pStyle w:val="Bibliography"/>
      </w:pPr>
      <w:r>
        <w:t xml:space="preserve">Telwala, Y., B. W. Brook, K. Manish, and M. K. Pandit. 2013. Climate-induced elevational range shifts and increase in plant species richness in a himalayan biodiversity epicentre. PLoS One 8:e57103.</w:t>
      </w:r>
    </w:p>
    <w:bookmarkEnd w:id="91"/>
    <w:bookmarkStart w:id="92" w:name="ref-Tylianakis2008-fi"/>
    <w:p>
      <w:pPr>
        <w:pStyle w:val="Bibliography"/>
      </w:pPr>
      <w:r>
        <w:t xml:space="preserve">Tylianakis, J. M., R. K. Didham, J. Bascompte, and D. A. Wardle. 2008. Global change and species interactions in terrestrial ecosystems. Ecol. Lett. 11:1351–1363.</w:t>
      </w:r>
    </w:p>
    <w:bookmarkEnd w:id="92"/>
    <w:bookmarkStart w:id="93" w:name="ref-Visser2008-ct"/>
    <w:p>
      <w:pPr>
        <w:pStyle w:val="Bibliography"/>
      </w:pPr>
      <w:r>
        <w:t xml:space="preserve">Visser, M. E. 2008. Keeping up with a warming world; assessing the rate of adaptation to climate change. Proc. Biol. Sci. 275:649–659.</w:t>
      </w:r>
    </w:p>
    <w:bookmarkEnd w:id="93"/>
    <w:bookmarkStart w:id="94" w:name="ref-Williams1998-xi"/>
    <w:p>
      <w:pPr>
        <w:pStyle w:val="Bibliography"/>
      </w:pPr>
      <w:r>
        <w:t xml:space="preserve">Williams, P. H. 1998. An annotated checklist of bumble bees with an analysis of patterns of description. Bulletin of the Natural History Museum 67.</w:t>
      </w:r>
    </w:p>
    <w:bookmarkEnd w:id="94"/>
    <w:bookmarkStart w:id="95" w:name="ref-Williams2005-yp"/>
    <w:p>
      <w:pPr>
        <w:pStyle w:val="Bibliography"/>
      </w:pPr>
      <w:r>
        <w:t xml:space="preserve">Williams, P. H. 2005. Does specialization explain rarity and decline among british bumblebees? A response to goulson et al. Biol. Conserv. 122:33–43.</w:t>
      </w:r>
    </w:p>
    <w:bookmarkEnd w:id="95"/>
    <w:bookmarkStart w:id="96" w:name="ref-Wood2011-pg"/>
    <w:p>
      <w:pPr>
        <w:pStyle w:val="Bibliography"/>
      </w:pPr>
      <w:r>
        <w:t xml:space="preserve">Wood, S. N. 2011. Fast stable restricted maximum likelihood and marginal likelihood estimation of semiparametric generalized linear models. J. R. Stat. Soc. Series B Stat. Methodol. 73:3–36.</w:t>
      </w:r>
    </w:p>
    <w:bookmarkEnd w:id="96"/>
    <w:bookmarkStart w:id="97" w:name="ref-Wood_2017"/>
    <w:p>
      <w:pPr>
        <w:pStyle w:val="Bibliography"/>
      </w:pPr>
      <w:r>
        <w:t xml:space="preserve">Wood, S. N. 2017. Generalized additive models: An introduction with r. Second edition. Chapman; Hall/CRC.</w:t>
      </w:r>
    </w:p>
    <w:bookmarkEnd w:id="97"/>
    <w:bookmarkEnd w:id="98"/>
    <w:bookmarkEnd w:id="99"/>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hyperlink" Id="rId20" Target="mailto:douglas.sponsler@uni-wuerzburg.de" TargetMode="External" /></Relationships>
</file>

<file path=word/_rels/footnotes.xml.rels><?xml version="1.0" encoding="UTF-8"?>
<Relationships xmlns="http://schemas.openxmlformats.org/package/2006/relationships"><Relationship Type="http://schemas.openxmlformats.org/officeDocument/2006/relationships/hyperlink" Id="rId20" Target="mailto:douglas.sponsler@uni-wuerzburg.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Bumble bees and wildflowers along a mountain slope exhibit nonlinear patterns of abundance and turnover, punctuated by the tree line ecotone</dc:title>
  <dc:creator>Douglas B. Sponsler1*, Fabrice Requier2, Katharina Kallnik1, Alice Claßen1, A. Fabienne Maihoff1, Ingolf Steffan-Dewenter1</dc:creator>
  <cp:keywords/>
  <dcterms:created xsi:type="dcterms:W3CDTF">2021-02-18T05:37:27Z</dcterms:created>
  <dcterms:modified xsi:type="dcterms:W3CDTF">2021-02-18T05:37:27Z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