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Metacognitive Assignment #1 (10%)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Before essay outline conferencing with your professor, identify three specific areas of strength in your Critical Response Essay Outline. Record them below, providing examples of each one: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Clear Argument and Timeliness</w:t>
        <w:br w:type="textWrapping"/>
        <w:t xml:space="preserve">The essay makes a well-defined case regarding how AI is replacing illustrators in China's gaming business, which is a very relevant and timely topic.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example, it highlights that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“some gaming companies have reduced their reliance on human illustrators, even laying off entire art teams.”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Use of Real Cases and Expert Opinions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Instead of making unclear statements, the article backs up its case with concrete facts, interviews, and insights from industry experts, giving it more credibility.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example, it quotes an illustrator who said,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“I lost my job overnight because the company decided to switch to AI-generated art.”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This demonstrates the real-life impact of AI on employment.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Multiple Perspectives and Critical Thinking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article explores not only the issues provided by AI but also industry transformations, possible futures, and the benefits and drawbacks of AI adoption.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example, it mentions,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“Some companies see AI as a way to cut costs and speed up the game development process.”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This shows how AI can be beneficial from a business perspective.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Identify one or two specific areas to revise/improve in your Critical Response Essay Outline. Record them below, again providing examples of each one: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Take the conversation beyond illustrators and into the broader gaming industry.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present essay outline concentrates on artists, but the paper also explores how AI affects the entire game development process, including writers and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Address ethical and legal problems around AI-generated material.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Does not properly investigate the ethical quandaries of AI, such as copyright issues and unlawful use of artists' work.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B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Note: If your professor has not recommended any changes, share two to three specific things you will do to transform your outline into a polished piece of writing and explain how these changes will make your essay effective.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Strengthen the structure and logic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 the essay's structure is obvious, with seamless transitions and logical flow.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Refine your arguments and supporting evidence.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Add more real examples, statistics, or expert opinions to back up your claims.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