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also records two simple tests of generalizability for Prescient2DL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dielectric material attributes of scatterers. Although input parameters are comparable across simulation incidences, conventional methods require full wave simulation and cannot be estimated with very low or high-frequency approximations. Generating large volumes of such simulations is considered uneconomical.</w:t>
      </w:r>
    </w:p>
    <w:p>
      <w:pPr>
        <w:pStyle w:val="Text"/>
      </w:pPr>
      <w:r>
        <w:t xml:space="preserve">The motivation of this paper is to report on the construction of a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Krylov iterative solver Biconjugate Gradient Stabilized Method (BICGSTAB), to calculate the solution to contrast-source integral equations. This high performance code uses circular convolutions to accelerate multiplication steps via Fast Fourier Transforms. SolverEMF2 is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3347720</wp:posOffset>
                </wp:positionH>
                <wp:positionV relativeFrom="margin">
                  <wp:posOffset>3288665</wp:posOffset>
                </wp:positionV>
                <wp:extent cx="1534795" cy="1741170"/>
                <wp:effectExtent l="0" t="0" r="8255" b="0"/>
                <wp:wrapSquare wrapText="bothSides"/>
                <wp:docPr id="3" name="Text Box 5"/>
                <wp:cNvGraphicFramePr/>
                <a:graphic xmlns:a="http://schemas.openxmlformats.org/drawingml/2006/main">
                  <a:graphicData uri="http://schemas.microsoft.com/office/word/2010/wordprocessingShape">
                    <wps:wsp>
                      <wps:cNvSpPr/>
                      <wps:spPr>
                        <a:xfrm>
                          <a:off x="0" y="0"/>
                          <a:ext cx="1534795" cy="17411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Fig. 1.  Canonical Problem Diagram</w:t>
                            </w:r>
                          </w:p>
                          <w:p>
                            <w:pPr>
                              <w:pStyle w:val="FootnoteText"/>
                              <w:ind w:firstLine="0"/>
                            </w:pPr>
                            <w:r>
                              <w:t xml:space="preserve"> </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6pt;margin-top:258.95pt;width:120.85pt;height:13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" o:allowincell="f" stroked="f" strokeweight="0">
                <v:textbox inset="0,0,0,0">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Fig. 1.  Canonical Problem Diagram</w:t>
                      </w:r>
                    </w:p>
                    <w:p>
                      <w:pPr>
                        <w:pStyle w:val="FootnoteText"/>
                        <w:ind w:firstLine="0"/>
                      </w:pPr>
                      <w:r>
                        <w:t xml:space="preserve"> </w:t>
                      </w:r>
                    </w:p>
                  </w:txbxContent>
                </v:textbox>
                <w10:wrap type="square" anchorx="margin" anchory="margin"/>
              </v:rect>
            </w:pict>
          </mc:Fallback>
        </mc:AlternateContent>
      </w:r>
      <w:r>
        <w:t>The paper reports on the forward H-polarization problem, otherwise known as the Transverse Electric (TE) problem, solving for the electric field strength in a domain with two contrast scatterers, one inside the other, receiving a dipole incident wave with E</w:t>
      </w:r>
      <w:r>
        <w:rPr>
          <w:vertAlign w:val="subscript"/>
        </w:rPr>
        <w:t>x</w:t>
      </w:r>
      <w:r>
        <w:t>, E</w:t>
      </w:r>
      <w:r>
        <w:rPr>
          <w:vertAlign w:val="subscript"/>
        </w:rPr>
        <w:t>y</w:t>
      </w:r>
      <w:r>
        <w:t xml:space="preserve"> and ZH</w:t>
      </w:r>
      <w:r>
        <w:rPr>
          <w:vertAlign w:val="subscript"/>
        </w:rPr>
        <w:t>z</w:t>
      </w:r>
      <w:r>
        <w:t xml:space="preserve"> components.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The problem requires finding two electric fields and as a result is a full vector problem.  As the task motivation is based around future medical developments, and the permeability of biological tissues can be considered roughly equal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The incident waves are generated by a vertical electric-dipole line source and their componets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r>
            <w:rPr>
              <w:rFonts w:ascii="Cambria Math" w:hAnsi="Cambria Math"/>
              <w:sz w:val="16"/>
              <w:szCs w:val="16"/>
            </w:rPr>
            <m:t>)</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r>
            <w:rPr>
              <w:rFonts w:ascii="Cambria Math" w:hAnsi="Cambria Math"/>
              <w:sz w:val="16"/>
              <w:szCs w:val="16"/>
            </w:rPr>
            <m:t>)</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As the model assumes that there is an invariance in the permittivity contrast in the z-direction, the corresponding equation for the total electric field using contrast source notation as follows:</w:t>
      </w:r>
    </w:p>
    <w:p>
      <w:pPr>
        <w:rPr>
          <w:sz w:val="14"/>
          <w:szCs w:val="14"/>
        </w:rPr>
      </w:pPr>
      <m:oMathPara>
        <m:oMath>
          <m:sSup>
            <m:sSupPr>
              <m:ctrlPr>
                <w:rPr>
                  <w:rFonts w:ascii="Cambria Math" w:hAnsi="Cambria Math"/>
                  <w:i/>
                  <w:sz w:val="14"/>
                  <w:szCs w:val="14"/>
                </w:rPr>
              </m:ctrlPr>
            </m:sSupPr>
            <m:e>
              <m:acc>
                <m:accPr>
                  <m:ctrlPr>
                    <w:rPr>
                      <w:rFonts w:ascii="Cambria Math" w:hAnsi="Cambria Math"/>
                      <w:i/>
                      <w:sz w:val="14"/>
                      <w:szCs w:val="14"/>
                    </w:rPr>
                  </m:ctrlPr>
                </m:accPr>
                <m:e>
                  <m:r>
                    <w:rPr>
                      <w:rFonts w:ascii="Cambria Math" w:hAnsi="Cambria Math"/>
                      <w:sz w:val="14"/>
                      <w:szCs w:val="14"/>
                    </w:rPr>
                    <m:t>χ</m:t>
                  </m:r>
                </m:e>
              </m:acc>
            </m:e>
            <m:sup>
              <m:r>
                <w:rPr>
                  <w:rFonts w:ascii="Cambria Math" w:hAnsi="Cambria Math"/>
                  <w:sz w:val="14"/>
                  <w:szCs w:val="14"/>
                </w:rPr>
                <m:t>ε</m:t>
              </m:r>
            </m:sup>
          </m:sSup>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inc</m:t>
              </m:r>
            </m:sup>
          </m:sSup>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d>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j</m:t>
                  </m:r>
                </m:sub>
              </m:sSub>
            </m:e>
            <m:sup>
              <m:r>
                <w:rPr>
                  <w:rFonts w:ascii="Cambria Math" w:hAnsi="Cambria Math"/>
                  <w:sz w:val="14"/>
                  <w:szCs w:val="14"/>
                </w:rPr>
                <m:t>E</m:t>
              </m:r>
            </m:sup>
          </m:sSup>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d>
          <m:r>
            <w:rPr>
              <w:rFonts w:ascii="Cambria Math" w:hAnsi="Cambria Math"/>
              <w:sz w:val="14"/>
              <w:szCs w:val="14"/>
            </w:rPr>
            <m:t>-</m:t>
          </m:r>
          <m:sSup>
            <m:sSupPr>
              <m:ctrlPr>
                <w:rPr>
                  <w:rFonts w:ascii="Cambria Math" w:hAnsi="Cambria Math"/>
                  <w:i/>
                  <w:sz w:val="14"/>
                  <w:szCs w:val="14"/>
                </w:rPr>
              </m:ctrlPr>
            </m:sSupPr>
            <m:e>
              <m:acc>
                <m:accPr>
                  <m:ctrlPr>
                    <w:rPr>
                      <w:rFonts w:ascii="Cambria Math" w:hAnsi="Cambria Math"/>
                      <w:i/>
                      <w:sz w:val="14"/>
                      <w:szCs w:val="14"/>
                    </w:rPr>
                  </m:ctrlPr>
                </m:accPr>
                <m:e>
                  <m:r>
                    <w:rPr>
                      <w:rFonts w:ascii="Cambria Math" w:hAnsi="Cambria Math"/>
                      <w:sz w:val="14"/>
                      <w:szCs w:val="14"/>
                    </w:rPr>
                    <m:t>χ</m:t>
                  </m:r>
                </m:e>
              </m:acc>
            </m:e>
            <m:sup>
              <m:r>
                <w:rPr>
                  <w:rFonts w:ascii="Cambria Math" w:hAnsi="Cambria Math"/>
                  <w:sz w:val="14"/>
                  <w:szCs w:val="14"/>
                </w:rPr>
                <m:t>ε</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d>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acc>
                <m:accPr>
                  <m:ctrlPr>
                    <w:rPr>
                      <w:rFonts w:ascii="Cambria Math" w:hAnsi="Cambria Math"/>
                      <w:i/>
                      <w:sz w:val="14"/>
                      <w:szCs w:val="14"/>
                    </w:rPr>
                  </m:ctrlPr>
                </m:accPr>
                <m:e>
                  <m:r>
                    <w:rPr>
                      <w:rFonts w:ascii="Cambria Math" w:hAnsi="Cambria Math"/>
                      <w:sz w:val="14"/>
                      <w:szCs w:val="14"/>
                    </w:rPr>
                    <m:t>G</m:t>
                  </m:r>
                </m:e>
              </m:acc>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e>
              </m:d>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e>
              </m:d>
            </m:e>
          </m:nary>
          <m:r>
            <w:rPr>
              <w:rFonts w:ascii="Cambria Math" w:hAnsi="Cambria Math"/>
              <w:sz w:val="14"/>
              <w:szCs w:val="14"/>
            </w:rPr>
            <m:t>dA</m:t>
          </m:r>
        </m:oMath>
      </m:oMathPara>
    </w:p>
    <w:p>
      <w: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w:t>
      </w:r>
      <w:r>
        <w:lastRenderedPageBreak/>
        <w:t xml:space="preserve">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electric field components at the recievers given by </w:t>
      </w:r>
    </w:p>
    <w:p>
      <w:pPr>
        <w:rPr>
          <w:sz w:val="14"/>
          <w:szCs w:val="14"/>
        </w:rPr>
      </w:pPr>
      <m:oMath>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sct</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e>
        </m:d>
        <m:r>
          <w:rPr>
            <w:rFonts w:ascii="Cambria Math" w:hAnsi="Cambria Math"/>
            <w:sz w:val="14"/>
            <w:szCs w:val="14"/>
          </w:rPr>
          <m:t>=</m:t>
        </m:r>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e>
                  <m:sup>
                    <m:r>
                      <w:rPr>
                        <w:rFonts w:ascii="Cambria Math" w:hAnsi="Cambria Math"/>
                        <w:sz w:val="14"/>
                        <w:szCs w:val="14"/>
                      </w:rPr>
                      <m:t>R</m:t>
                    </m:r>
                  </m:sup>
                </m:sSup>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sup>
                    <m:r>
                      <w:rPr>
                        <w:rFonts w:ascii="Cambria Math" w:hAnsi="Cambria Math"/>
                        <w:sz w:val="14"/>
                        <w:szCs w:val="14"/>
                      </w:rPr>
                      <m:t>R</m:t>
                    </m:r>
                  </m:sup>
                </m:sSup>
              </m:e>
            </m:d>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w:r>
        <w:rPr>
          <w:sz w:val="14"/>
          <w:szCs w:val="14"/>
        </w:rPr>
        <w:t>.</w:t>
      </w:r>
    </w:p>
    <w:p>
      <w:r>
        <w:t xml:space="preserve">The permittivity contrasts also assume only a real component with zero conductivity and are frequency independent. This is a permittivity contrast only problem.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 Function 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 Within the main scatterer lies a second scatter, not pictured, with contrast value lying between the background embedding and main scatterer.</w:t>
      </w:r>
    </w:p>
    <w:p>
      <w:pPr>
        <w:rPr>
          <w:smallCaps/>
          <w:kern w:val="2"/>
        </w:rPr>
      </w:pPr>
    </w:p>
    <w:p>
      <w:pPr>
        <w:pStyle w:val="Heading1"/>
        <w:numPr>
          <w:ilvl w:val="0"/>
          <w:numId w:val="2"/>
        </w:numPr>
      </w:pPr>
      <w:r>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r>
        <w:br w:type="page"/>
      </w:r>
    </w:p>
    <w:p>
      <w:pPr>
        <w:pStyle w:val="Heading1"/>
        <w:numPr>
          <w:ilvl w:val="0"/>
          <w:numId w:val="2"/>
        </w:numPr>
      </w:pPr>
      <w:r>
        <w:lastRenderedPageBreak/>
        <w:t>Technical Description</w:t>
      </w:r>
    </w:p>
    <w:p>
      <w:r>
        <w:t xml:space="preserve">This section details key aspects in the overall workflow required to test experimental hypothesis surround the hybrid-methodology as outlined in the abstract and introduction. </w:t>
      </w:r>
    </w:p>
    <w:p>
      <w:pPr>
        <w:pStyle w:val="Heading2"/>
      </w:pPr>
      <w:r>
        <w:t xml:space="preserve"> Conventional Solver Creation</w:t>
      </w:r>
    </w:p>
    <w:p>
      <w:pPr>
        <w:ind w:firstLine="202"/>
      </w:pPr>
      <w:r>
        <w:t xml:space="preserve">As noted in the introduction, generating solutions to forward electromagnetic scattering problems is a vast,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3"/>
      </w:r>
      <w:r>
        <w:t>. Some key elements of the code are now described below</w:t>
      </w:r>
      <w:r>
        <w:rPr>
          <w:rStyle w:val="FootnoteReference"/>
        </w:rPr>
        <w:footnoteReference w:id="4"/>
      </w:r>
      <w:r>
        <w:t>.</w:t>
      </w:r>
    </w:p>
    <w:p>
      <w:pPr>
        <w:ind w:firstLine="202"/>
      </w:pPr>
    </w:p>
    <w:p>
      <w:pPr>
        <w:pStyle w:val="Heading3"/>
      </w:pPr>
      <w:r>
        <w:t>Problem Formula Description</w:t>
      </w:r>
    </w:p>
    <w:p>
      <w:r>
        <w:t>The problem is formulated in the s-domain (Laplace convention).</w:t>
      </w:r>
    </w:p>
    <w:p>
      <w:pPr>
        <w:pStyle w:val="Heading3"/>
      </w:pPr>
      <w:r>
        <w:t>Green’s Function</w:t>
      </w:r>
    </w:p>
    <w:p>
      <w:r>
        <w:t>There are points where the Green’s Function is singular.</w:t>
      </w:r>
    </w:p>
    <w:p>
      <w:pPr>
        <w:pStyle w:val="Heading3"/>
      </w:pPr>
      <w:r>
        <w:t>Core Solver</w:t>
      </w:r>
    </w:p>
    <w:p>
      <w:r>
        <w:t>BICGSTAB and why that algorithm was choosen</w:t>
      </w:r>
    </w:p>
    <w:p>
      <w:pPr>
        <w:pStyle w:val="Heading3"/>
      </w:pPr>
      <w:r>
        <w:t>FFT Acceleration Technique</w:t>
      </w:r>
    </w:p>
    <w:p>
      <w:r>
        <w:t>Power of 2 requirement, circulant matrices forming the convolutions can be computed using FFT more efficiently.</w:t>
      </w:r>
    </w:p>
    <w:p>
      <w:pPr>
        <w:pStyle w:val="Heading3"/>
      </w:pPr>
      <w:r>
        <w:t>Bessel-Approach Validation</w:t>
      </w:r>
    </w:p>
    <w:p>
      <w:pPr>
        <w:pStyle w:val="Heading3"/>
        <w:numPr>
          <w:ilvl w:val="0"/>
          <w:numId w:val="6"/>
        </w:numPr>
      </w:pPr>
      <w:r>
        <w:t>images of the validation in the appendices</w:t>
      </w:r>
    </w:p>
    <w:p/>
    <w:p>
      <w:pPr>
        <w:pStyle w:val="Text"/>
        <w:ind w:firstLine="0"/>
        <w:rPr>
          <w:b/>
          <w:bCs/>
          <w:u w:val="single"/>
        </w:rPr>
      </w:pPr>
      <w:r>
        <w:rPr>
          <w:b/>
          <w:bCs/>
          <w:u w:val="single"/>
        </w:rPr>
        <w:t>End of page 2 (1 pages)</w:t>
      </w:r>
    </w:p>
    <w:p>
      <w:pPr>
        <w:rPr>
          <w:i/>
          <w:iCs/>
        </w:rPr>
      </w:pPr>
      <w:r>
        <w:rPr>
          <w:i/>
          <w:iCs/>
        </w:rPr>
        <w:br w:type="page"/>
      </w:r>
    </w:p>
    <w:p>
      <w:pPr>
        <w:pStyle w:val="Heading2"/>
      </w:pPr>
      <w:r>
        <w:lastRenderedPageBreak/>
        <w:t>Dataset Generation Description</w:t>
      </w:r>
    </w:p>
    <w:p>
      <w:pPr>
        <w:ind w:firstLine="202"/>
      </w:pPr>
      <w:r>
        <w:t>Three types of dataset were generated to conduct experimental analysis: major base dataset with two contrast scatterers (DS1); minor single lower-contrast scatterer dataset for testing model generalisability of true-negative sample cases (DS2); minor single higher-contrast scatterer dataset for testing model generalisability to increased higher-contrast population (DS3). The input parameters for all simulations were the same except for the scatterer values.</w:t>
      </w:r>
    </w:p>
    <w:p>
      <w:pPr>
        <w:ind w:firstLine="202"/>
      </w:pPr>
      <w:r>
        <w:t>The final generation of the scatterer geometry was kept minimial and close to the canonical formulation in order to reduce generation time. A variation on the generator used to validate against the Bessel-Approach was adapted to create DS1, DS2 and DS3. In all cases, cells outside the major scatterer area were replaced with the zero contrast value, as illustrated in the figures below.</w:t>
      </w:r>
    </w:p>
    <w:tbl>
      <w:tblPr>
        <w:tblStyle w:val="TableGrid"/>
        <w:tblW w:w="0" w:type="auto"/>
        <w:jc w:val="center"/>
        <w:tblLook w:val="04A0" w:firstRow="1" w:lastRow="0" w:firstColumn="1" w:lastColumn="0" w:noHBand="0" w:noVBand="1"/>
      </w:tblPr>
      <w:tblGrid>
        <w:gridCol w:w="1734"/>
        <w:gridCol w:w="1734"/>
        <w:gridCol w:w="1735"/>
      </w:tblGrid>
      <w:tr>
        <w:trPr>
          <w:jc w:val="center"/>
        </w:trPr>
        <w:tc>
          <w:tcPr>
            <w:tcW w:w="1734" w:type="dxa"/>
          </w:tcPr>
          <w:p>
            <w:pPr>
              <w:keepNext/>
              <w:jc w:val="center"/>
            </w:pPr>
            <w:r>
              <w:rPr>
                <w:noProof/>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1</w:t>
            </w:r>
            <w:r>
              <w:rPr>
                <w:sz w:val="20"/>
                <w:szCs w:val="20"/>
              </w:rPr>
              <w:fldChar w:fldCharType="end"/>
            </w:r>
            <w:r>
              <w:rPr>
                <w:sz w:val="20"/>
                <w:szCs w:val="20"/>
              </w:rPr>
              <w:t>. DS1 geometry sample.</w:t>
            </w:r>
          </w:p>
        </w:tc>
        <w:tc>
          <w:tcPr>
            <w:tcW w:w="1734" w:type="dxa"/>
          </w:tcPr>
          <w:p>
            <w:pPr>
              <w:keepNext/>
              <w:jc w:val="center"/>
            </w:pPr>
            <w:r>
              <w:rPr>
                <w:noProof/>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2</w:t>
            </w:r>
            <w:r>
              <w:rPr>
                <w:sz w:val="20"/>
                <w:szCs w:val="20"/>
              </w:rPr>
              <w:fldChar w:fldCharType="end"/>
            </w:r>
            <w:r>
              <w:rPr>
                <w:sz w:val="20"/>
                <w:szCs w:val="20"/>
              </w:rPr>
              <w:t>. DS2 geometry sample.</w:t>
            </w:r>
          </w:p>
        </w:tc>
        <w:tc>
          <w:tcPr>
            <w:tcW w:w="1735" w:type="dxa"/>
          </w:tcPr>
          <w:p>
            <w:pPr>
              <w:keepNext/>
              <w:jc w:val="center"/>
            </w:pPr>
            <w:r>
              <w:rPr>
                <w:noProof/>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3</w:t>
            </w:r>
            <w:r>
              <w:rPr>
                <w:sz w:val="20"/>
                <w:szCs w:val="20"/>
              </w:rPr>
              <w:fldChar w:fldCharType="end"/>
            </w:r>
            <w:r>
              <w:rPr>
                <w:sz w:val="20"/>
                <w:szCs w:val="20"/>
              </w:rPr>
              <w:t>. DS3 geometry sample.</w:t>
            </w:r>
          </w:p>
        </w:tc>
      </w:tr>
    </w:tbl>
    <w:p>
      <w:pPr>
        <w:ind w:firstLine="202"/>
      </w:pPr>
      <w:r>
        <w:t xml:space="preserve">DS1 geometery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centre point of the lower-contrast scatterer was allowed to be within the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in order to mimic a true-positive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cases where no secondary tissue exists in the simulation domain, the case of true negatives.</w:t>
      </w:r>
    </w:p>
    <w:p>
      <w:pPr>
        <w:ind w:firstLine="202"/>
      </w:pPr>
      <w:r>
        <w:t xml:space="preserve">DS3 has all contrast values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true negative scenario which tests the models ability to generalise to larger higher-contrast populations not seen at training time.</w:t>
      </w:r>
    </w:p>
    <w:p>
      <w:pPr>
        <w:ind w:firstLine="202"/>
      </w:pPr>
      <w:r>
        <w:t xml:space="preserve">With carrier frequency at 10 MHz and the highest permitivity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 the deep learning architecture increases</w:t>
      </w:r>
      <w:r>
        <w:rPr>
          <w:rStyle w:val="FootnoteReference"/>
        </w:rPr>
        <w:footnoteReference w:id="5"/>
      </w:r>
      <w:r>
        <w:t>.</w:t>
      </w:r>
    </w:p>
    <w:p>
      <w:r>
        <w:t xml:space="preserve">Although the material contrast parameters in the medical domain are much more extreme for incident frequencies at 10 </w:t>
      </w:r>
      <w:r>
        <w:t xml:space="preserve">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[CHECK: Change this source to something more direct around contrast values], in order to initiate research in the general area a much lower contrast value was choosen to allow for a large volume of samples to be generated in a shorter time frame. All iterative solver computations were carried out on a local laptop CPU i7-11800H @ 2.3 GHz using Python, in particular NumPy and SciPy libraries. DS1 samples took 1 seconds per sample, while DS2 samples took 0.75 seconds per sample and DS3 samples took 2.2 seconds per sample.</w:t>
      </w:r>
    </w:p>
    <w:p>
      <w:pPr>
        <w:ind w:firstLine="202"/>
      </w:pPr>
    </w:p>
    <w:p>
      <w:pPr>
        <w:pStyle w:val="ListParagraph"/>
        <w:numPr>
          <w:ilvl w:val="0"/>
          <w:numId w:val="5"/>
        </w:numPr>
      </w:pPr>
      <w:r>
        <w:t>Put in geometry generation algorithms: base scatter; internal scatterers with base centered at origin; validation scatterers shifted around domain.</w:t>
      </w:r>
    </w:p>
    <w:p>
      <w:pPr>
        <w:ind w:firstLine="202"/>
      </w:pPr>
      <w:r>
        <w:t>The generated data was saved in NumPy format. All outputs were saved by splitting the real, imaginary and absolute components of the complex field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seperately to document the properties of the generated sample: a PNG file illustrating the contained scatter geometry; a separate NumPy file documenting the iteration count, residual error and iteration duration from the iterative solver run information.</w:t>
      </w:r>
    </w:p>
    <w:p>
      <w:pPr>
        <w:pStyle w:val="ListParagraph"/>
        <w:numPr>
          <w:ilvl w:val="0"/>
          <w:numId w:val="5"/>
        </w:numPr>
      </w:pPr>
      <w:r>
        <w:t xml:space="preserve">Illustrate with diagram similar to figure 2 in </w:t>
      </w:r>
      <w:r>
        <w:fldChar w:fldCharType="begin"/>
      </w:r>
      <w:r>
        <w:instrText xml:space="preserve"> ADDIN ZOTERO_ITEM CSL_CITATION {"citationID":"aGakxIV0","properties":{"formattedCitation":"[7]","plainCitation":"[7]","noteIndex":0},"citationItems":[{"id":2696,"uris":["http://zotero.org/users/10162777/items/RH4WJ785"],"itemData":{"id":2696,"type":"article-journal","abstract":"Although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[7]</w:t>
      </w:r>
      <w:r>
        <w:fldChar w:fldCharType="end"/>
      </w:r>
      <w:r>
        <w:t xml:space="preserve"> that covers the incident &amp; geometry inputs and the model architecture and the output predicted fields.</w:t>
      </w:r>
    </w:p>
    <w:p>
      <w:pPr>
        <w:pStyle w:val="Heading2"/>
      </w:pPr>
      <w:r>
        <w:t xml:space="preserve"> Train/Test/Split Approach</w:t>
      </w:r>
    </w:p>
    <w:p>
      <w:pPr>
        <w:ind w:firstLine="202"/>
      </w:pPr>
      <w:r>
        <w:t xml:space="preserve">In this paper, the approach taken was to first establish if the model could emulate the generated examples. The data was saved in folders of 1000 samples. At the train/validate/test splitting stage, 20% of the 1000 samples were retained for testing (200) and 20% of the training data was retained for validation (160) leaving 640 samples for training. The base models were trained on 5000 samples and tested in terms of impact on the SolverEMF2 on the three separate test sets, each of 100 samples (DS1, DS2, DS3). </w:t>
      </w:r>
    </w:p>
    <w:p>
      <w:pPr>
        <w:ind w:firstLine="20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spacing w:before="0" w:after="0"/>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r>
              <w:rPr>
                <w:sz w:val="20"/>
                <w:szCs w:val="20"/>
              </w:rPr>
              <w:t>. Electric Field incident waves in x and y direction.</w:t>
            </w:r>
          </w:p>
        </w:tc>
      </w:tr>
    </w:tbl>
    <w:p/>
    <w:p/>
    <w:p>
      <w:pPr>
        <w:pStyle w:val="Heading2"/>
      </w:pPr>
      <w:r>
        <w:t xml:space="preserve"> Architecture Description</w:t>
      </w:r>
    </w:p>
    <w:p>
      <w:pPr>
        <w:pStyle w:val="ListParagraph"/>
        <w:numPr>
          <w:ilvl w:val="0"/>
          <w:numId w:val="4"/>
        </w:numPr>
      </w:pPr>
      <w:r>
        <w:t>for the iterative wrapping, the predicted scattered field needs to be transformed back into the contrast source formulation though the use of the FFT accelerated operator equation.</w:t>
      </w:r>
    </w:p>
    <w:p>
      <w:pPr>
        <w:ind w:firstLine="202"/>
      </w:pPr>
      <w:r>
        <w:lastRenderedPageBreak/>
        <w:t>All deep learning computations were carried out on a local laptop GeForce RTX 3070 GPU using Tensorflow and Keras Python libraries.</w:t>
      </w:r>
    </w:p>
    <w:p>
      <w:pPr>
        <w:ind w:firstLine="202"/>
      </w:pPr>
      <w:r>
        <w:t>The training inputs were the scatter geometery as a single channel, followed by the real, imaginary and absolute values of the complex incident wave of relevant axis bringing the total input channel count to four. The outputs were the real and imaginary components of the electric field in the axis of interest bringing the output count to two channels. This resulted in a requirement to train two models, one for each field, in order to provide an initial guess to the SolverEMF2 workflow. The target arrays was standardised to a range of [0, 1]. This allows the model to train faster. In order to provide the predictions as inputs in SolverEMF2, the process is reversed at the provision of initial guess time. The information required to perform this standardisation can be estimated from a  small group of sample solutions making it a robust and simple way to accelerate the training process</w:t>
      </w:r>
      <w:r>
        <w:rPr>
          <w:rStyle w:val="FootnoteReference"/>
        </w:rPr>
        <w:footnoteReference w:id="6"/>
      </w:r>
      <w:r>
        <w:t>.</w:t>
      </w:r>
    </w:p>
    <w:p>
      <w:pPr>
        <w:pStyle w:val="Heading3"/>
      </w:pPr>
      <w:r>
        <w:t>Base Model Architecture</w:t>
      </w:r>
    </w:p>
    <w:p>
      <w:pPr>
        <w:ind w:firstLine="202"/>
      </w:pPr>
      <w:r>
        <w:t xml:space="preserve">The base architecture was a 54 layer U-net type architecture using ‘Elu’ activation functions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All layers, where possible, had bias terms included in their configurations. Initially a batch normalisation layer is applied at the input and each downsampling block afterwards contains a convolution layer that has stride two that double the channel count and half the width and height of the input. This is followed by a convolution layer with a single stride to add enhanced complexity to the model. The bottom layer is a bottleneck convolution layer that brings the dimension to 2x2x256. On the upscaling decoding side of the U-net, a transposed convolution layer with stride two halves the channel count and doubles the dimensions. This is followed by a convolution layer to increase the model complexity. The encoder side is connected to the decoder side via skip concatenation layers. In order to add non-linearity after the concatenation step, a convolution layer is added on the decoding side for each skip connection. Max pooling and Up-Sampling were not implemented due to higher error rates near the domain boundaries that caused a degradation in the intial residual error metrics.</w:t>
      </w:r>
    </w:p>
    <w:p>
      <w:pPr>
        <w:pStyle w:val="ListParagraph"/>
        <w:numPr>
          <w:ilvl w:val="0"/>
          <w:numId w:val="4"/>
        </w:numPr>
      </w:pPr>
      <w:r>
        <w:t>How is model saved and loaded</w:t>
      </w:r>
    </w:p>
    <w:p>
      <w:pPr>
        <w:pStyle w:val="ListParagraph"/>
        <w:numPr>
          <w:ilvl w:val="0"/>
          <w:numId w:val="4"/>
        </w:numPr>
      </w:pPr>
      <w:r>
        <w:t>Detail the reasoning behind activation function choice and architecture (use references)</w:t>
      </w:r>
    </w:p>
    <w:p>
      <w:pPr>
        <w:pStyle w:val="ListParagraph"/>
        <w:numPr>
          <w:ilvl w:val="0"/>
          <w:numId w:val="4"/>
        </w:numPr>
      </w:pPr>
      <w:r>
        <w:t>Loss function as an equation</w:t>
      </w:r>
    </w:p>
    <w:p>
      <w:pPr>
        <w:pStyle w:val="Heading2"/>
      </w:pPr>
      <w:r>
        <w:t xml:space="preserve"> Hybrid-Methodology Infusion</w:t>
      </w:r>
    </w:p>
    <w:p>
      <w:pPr>
        <w:pStyle w:val="ListParagraph"/>
        <w:numPr>
          <w:ilvl w:val="0"/>
          <w:numId w:val="4"/>
        </w:numPr>
      </w:pPr>
      <w:r>
        <w:t xml:space="preserve">Put in an algorithmic flow chart like in </w:t>
      </w:r>
      <w:r>
        <w:fldChar w:fldCharType="begin"/>
      </w:r>
      <w:r>
        <w:instrText xml:space="preserve"> ADDIN ZOTERO_ITEM CSL_CITATION {"citationID":"0EjnZtHv","properties":{"formattedCitation":"[8]","plainCitation":"[8]","noteIndex":0},"citationItems":[{"id":3594,"uris":["http://zotero.org/users/10162777/items/GISBUZZI"],"itemData":{"id":3594,"type":"article-journal","abstract":"We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t>[8]</w:t>
      </w:r>
      <w:r>
        <w:fldChar w:fldCharType="end"/>
      </w:r>
      <w:r>
        <w:t xml:space="preserve"> figure 1</w:t>
      </w:r>
    </w:p>
    <w:p>
      <w:pPr>
        <w:pStyle w:val="ListParagraph"/>
        <w:numPr>
          <w:ilvl w:val="0"/>
          <w:numId w:val="4"/>
        </w:numPr>
      </w:pPr>
      <w:r>
        <w:t>Discuss linear convolution layers using appendix piece</w:t>
      </w:r>
    </w:p>
    <w:p/>
    <w:p/>
    <w:p>
      <w:pPr>
        <w:pStyle w:val="Text"/>
        <w:rPr>
          <w:b/>
          <w:bCs/>
          <w:u w:val="single"/>
        </w:rPr>
      </w:pPr>
      <w:r>
        <w:rPr>
          <w:b/>
          <w:bCs/>
          <w:u w:val="single"/>
        </w:rPr>
        <w:t>End of page 3 (1 pages)</w:t>
      </w:r>
    </w:p>
    <w:p>
      <w:pPr>
        <w:pStyle w:val="Text"/>
        <w:rPr>
          <w:b/>
          <w:bCs/>
          <w:u w:val="single"/>
        </w:rPr>
      </w:pPr>
    </w:p>
    <w:p>
      <w:pPr>
        <w:pStyle w:val="Heading2"/>
      </w:pPr>
      <w:r>
        <w:br w:type="page"/>
      </w:r>
    </w:p>
    <w:p>
      <w:pPr>
        <w:pStyle w:val="Heading1"/>
        <w:numPr>
          <w:ilvl w:val="0"/>
          <w:numId w:val="2"/>
        </w:numPr>
      </w:pPr>
      <w:r>
        <w:lastRenderedPageBreak/>
        <w:t>Results Obtained</w:t>
      </w:r>
      <w:r>
        <w:rPr>
          <w:rStyle w:val="FootnoteReference"/>
        </w:rPr>
        <w:footnoteReference w:id="7"/>
      </w:r>
    </w:p>
    <w:p>
      <w:pPr>
        <w:rPr>
          <w:i/>
          <w:iCs/>
        </w:rPr>
      </w:pPr>
      <w:r>
        <w:rPr>
          <w:i/>
          <w:iCs/>
        </w:rPr>
        <w:t>Describe how you know your results are valid. What testing strategies were used? Were enough results obtained? Does your algorithm perform correctly? Does your code implement your algorithm accurately? Does your input data set contain features of the kind the algorithm is supposed to extract?</w:t>
      </w:r>
    </w:p>
    <w:p>
      <w:pPr>
        <w:rPr>
          <w:b/>
          <w:bCs/>
          <w:u w:val="single"/>
        </w:rPr>
      </w:pPr>
      <w:r>
        <w:rPr>
          <w:b/>
          <w:bCs/>
          <w:u w:val="single"/>
        </w:rPr>
        <w:t>End of page 4 (1 page)</w:t>
      </w:r>
    </w:p>
    <w:p/>
    <w:tbl>
      <w:tblPr>
        <w:tblStyle w:val="TableGrid"/>
        <w:tblW w:w="5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tblGrid>
      <w:tr>
        <w:trPr>
          <w:trHeight w:val="1705"/>
        </w:trPr>
        <w:tc>
          <w:tcPr>
            <w:tcW w:w="5391" w:type="dxa"/>
          </w:tcPr>
          <w:tbl>
            <w:tblPr>
              <w:tblStyle w:val="TableGrid"/>
              <w:tblW w:w="0" w:type="auto"/>
              <w:tblInd w:w="4" w:type="dxa"/>
              <w:tblLook w:val="04A0" w:firstRow="1" w:lastRow="0" w:firstColumn="1" w:lastColumn="0" w:noHBand="0" w:noVBand="1"/>
            </w:tblPr>
            <w:tblGrid>
              <w:gridCol w:w="2421"/>
              <w:gridCol w:w="1260"/>
              <w:gridCol w:w="1475"/>
            </w:tblGrid>
            <w:tr>
              <w:trPr>
                <w:trHeight w:val="249"/>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Borders>
                    <w:right w:val="single" w:sz="4" w:space="0" w:color="auto"/>
                  </w:tcBorders>
                </w:tcPr>
                <w:p>
                  <w:pPr>
                    <w:rPr>
                      <w:b/>
                      <w:bCs/>
                      <w:lang w:val="en-GB"/>
                    </w:rPr>
                  </w:pPr>
                  <w:r>
                    <w:rPr>
                      <w:b/>
                      <w:bCs/>
                      <w:lang w:val="en-GB"/>
                    </w:rPr>
                    <w:t>E2 Model</w:t>
                  </w:r>
                </w:p>
              </w:tc>
            </w:tr>
            <w:tr>
              <w:trPr>
                <w:trHeight w:val="222"/>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Borders>
                    <w:right w:val="single" w:sz="4" w:space="0" w:color="auto"/>
                  </w:tcBorders>
                </w:tcPr>
                <w:p>
                  <w:pPr>
                    <w:rPr>
                      <w:lang w:val="en-GB"/>
                    </w:rPr>
                  </w:pPr>
                  <w:r>
                    <w:rPr>
                      <w:lang w:val="en-GB"/>
                    </w:rPr>
                    <w:t>3.7006e-05</w:t>
                  </w:r>
                </w:p>
              </w:tc>
            </w:tr>
            <w:tr>
              <w:trPr>
                <w:trHeight w:val="268"/>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Borders>
                    <w:right w:val="single" w:sz="4" w:space="0" w:color="auto"/>
                  </w:tcBorders>
                </w:tcPr>
                <w:p>
                  <w:pPr>
                    <w:rPr>
                      <w:lang w:val="en-GB"/>
                    </w:rPr>
                  </w:pPr>
                  <w:r>
                    <w:rPr>
                      <w:lang w:val="en-GB"/>
                    </w:rPr>
                    <w:t>3.7967e-05</w:t>
                  </w:r>
                </w:p>
              </w:tc>
            </w:tr>
            <w:tr>
              <w:trPr>
                <w:trHeight w:val="268"/>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Borders>
                    <w:right w:val="single" w:sz="4" w:space="0" w:color="auto"/>
                  </w:tcBorders>
                </w:tcPr>
                <w:p>
                  <w:pPr>
                    <w:rPr>
                      <w:lang w:val="en-GB"/>
                    </w:rPr>
                  </w:pPr>
                  <w:r>
                    <w:rPr>
                      <w:lang w:val="en-GB"/>
                    </w:rPr>
                    <w:t>4.160</w:t>
                  </w:r>
                  <w:r>
                    <w:rPr>
                      <w:lang w:val="en-GB"/>
                    </w:rPr>
                    <w:t>6</w:t>
                  </w:r>
                  <w:r>
                    <w:rPr>
                      <w:lang w:val="en-GB"/>
                    </w:rPr>
                    <w:t>e-05</w:t>
                  </w:r>
                </w:p>
              </w:tc>
            </w:tr>
            <w:tr>
              <w:trPr>
                <w:trHeight w:val="222"/>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Borders>
                    <w:right w:val="single" w:sz="4" w:space="0" w:color="auto"/>
                  </w:tcBorders>
                </w:tcPr>
                <w:p>
                  <w:pPr>
                    <w:keepNext/>
                    <w:rPr>
                      <w:lang w:val="en-GB"/>
                    </w:rPr>
                  </w:pPr>
                  <w:r>
                    <w:rPr>
                      <w:lang w:val="en-GB"/>
                    </w:rPr>
                    <w:t>1.0000e-22</w:t>
                  </w:r>
                </w:p>
              </w:tc>
            </w:tr>
          </w:tbl>
          <w:p>
            <w:pPr>
              <w:pStyle w:val="Caption"/>
              <w:jc w:val="cente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4</w:t>
            </w:r>
            <w:r>
              <w:rPr>
                <w:sz w:val="20"/>
                <w:szCs w:val="20"/>
              </w:rPr>
              <w:fldChar w:fldCharType="end"/>
            </w:r>
            <w:r>
              <w:rPr>
                <w:sz w:val="20"/>
                <w:szCs w:val="20"/>
              </w:rPr>
              <w:t>. Final folder model scores and terminal learning rate</w:t>
            </w:r>
            <w:r>
              <w:rPr>
                <w:noProof/>
                <w:sz w:val="20"/>
                <w:szCs w:val="20"/>
              </w:rPr>
              <w:t>.</w:t>
            </w:r>
          </w:p>
        </w:tc>
      </w:tr>
    </w:tbl>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trPr>
          <w:trHeight w:val="2834"/>
          <w:jc w:val="center"/>
        </w:trPr>
        <w:tc>
          <w:tcPr>
            <w:tcW w:w="4414" w:type="dxa"/>
          </w:tcPr>
          <w:p>
            <w:pPr>
              <w:keepNext/>
              <w:jc w:val="center"/>
            </w:pPr>
            <w:r>
              <w:rPr>
                <w:noProof/>
                <w:lang w:val="en-GB"/>
              </w:rPr>
              <w:drawing>
                <wp:inline distT="0" distB="0" distL="0" distR="0">
                  <wp:extent cx="2569210" cy="18834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9210" cy="18834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5</w:t>
            </w:r>
            <w:r>
              <w:rPr>
                <w:sz w:val="20"/>
                <w:szCs w:val="20"/>
              </w:rPr>
              <w:fldChar w:fldCharType="end"/>
            </w:r>
            <w:r>
              <w:rPr>
                <w:sz w:val="20"/>
                <w:szCs w:val="20"/>
              </w:rPr>
              <w:t>. E1 model final prediction</w:t>
            </w:r>
            <w:r>
              <w:rPr>
                <w:noProof/>
                <w:sz w:val="20"/>
                <w:szCs w:val="20"/>
              </w:rPr>
              <w:t xml:space="preserve"> on DS1.</w:t>
            </w:r>
          </w:p>
        </w:tc>
      </w:tr>
    </w:tbl>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2585085" cy="18611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5085" cy="1861185"/>
                          </a:xfrm>
                          <a:prstGeom prst="rect">
                            <a:avLst/>
                          </a:prstGeom>
                          <a:noFill/>
                          <a:ln>
                            <a:noFill/>
                          </a:ln>
                        </pic:spPr>
                      </pic:pic>
                    </a:graphicData>
                  </a:graphic>
                </wp:inline>
              </w:drawing>
            </w:r>
          </w:p>
          <w:p>
            <w:pPr>
              <w:jc w:val="center"/>
            </w:pPr>
            <w:r>
              <w:t xml:space="preserve">Figure </w:t>
            </w:r>
            <w:r>
              <w:fldChar w:fldCharType="begin"/>
            </w:r>
            <w:r>
              <w:instrText xml:space="preserve"> SEQ Figure \* ARABIC </w:instrText>
            </w:r>
            <w:r>
              <w:fldChar w:fldCharType="separate"/>
            </w:r>
            <w:r>
              <w:rPr>
                <w:noProof/>
              </w:rPr>
              <w:t>6</w:t>
            </w:r>
            <w:r>
              <w:fldChar w:fldCharType="end"/>
            </w:r>
            <w:r>
              <w:t>. E</w:t>
            </w:r>
            <w:r>
              <w:t>2</w:t>
            </w:r>
            <w:r>
              <w:t xml:space="preserve"> model final prediction</w:t>
            </w:r>
            <w:r>
              <w:rPr>
                <w:noProof/>
              </w:rPr>
              <w:t xml:space="preserve"> on DS1.</w:t>
            </w:r>
          </w:p>
        </w:tc>
      </w:tr>
    </w:tbl>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E1 model final prediction on DS3.</w:t>
            </w:r>
          </w:p>
        </w:tc>
      </w:tr>
    </w:tbl>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rPr>
              <w:drawing>
                <wp:inline distT="0" distB="0" distL="0" distR="0">
                  <wp:extent cx="3162300" cy="2002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002790"/>
                          </a:xfrm>
                          <a:prstGeom prst="rect">
                            <a:avLst/>
                          </a:prstGeom>
                          <a:noFill/>
                          <a:ln>
                            <a:noFill/>
                          </a:ln>
                        </pic:spPr>
                      </pic:pic>
                    </a:graphicData>
                  </a:graphic>
                </wp:inline>
              </w:drawing>
            </w:r>
          </w:p>
          <w:p>
            <w:pPr>
              <w:pStyle w:val="Caption"/>
              <w:jc w:val="cente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E2 model final prediction on DS3.</w:t>
            </w:r>
          </w:p>
        </w:tc>
      </w:tr>
    </w:tbl>
    <w:p/>
    <w:p/>
    <w:tbl>
      <w:tblPr>
        <w:tblW w:w="3958" w:type="dxa"/>
        <w:jc w:val="center"/>
        <w:tblLook w:val="04A0" w:firstRow="1" w:lastRow="0" w:firstColumn="1" w:lastColumn="0" w:noHBand="0" w:noVBand="1"/>
      </w:tblPr>
      <w:tblGrid>
        <w:gridCol w:w="1586"/>
        <w:gridCol w:w="509"/>
        <w:gridCol w:w="943"/>
        <w:gridCol w:w="943"/>
      </w:tblGrid>
      <w:tr>
        <w:trPr>
          <w:trHeight w:val="259"/>
          <w:jc w:val="center"/>
        </w:trPr>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943"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943"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169"/>
          <w:jc w:val="center"/>
        </w:trPr>
        <w:tc>
          <w:tcPr>
            <w:tcW w:w="3958"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42"/>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300"/>
          <w:jc w:val="center"/>
        </w:trPr>
        <w:tc>
          <w:tcPr>
            <w:tcW w:w="1563"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943"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60"/>
          <w:jc w:val="center"/>
        </w:trPr>
        <w:tc>
          <w:tcPr>
            <w:tcW w:w="1563"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943" w:type="dxa"/>
            <w:tcBorders>
              <w:top w:val="nil"/>
              <w:left w:val="nil"/>
              <w:bottom w:val="nil"/>
              <w:right w:val="nil"/>
            </w:tcBorders>
            <w:shd w:val="clear" w:color="auto" w:fill="auto"/>
            <w:noWrap/>
            <w:hideMark/>
          </w:tcPr>
          <w:p>
            <w:pPr>
              <w:suppressAutoHyphens w:val="0"/>
              <w:rPr>
                <w:sz w:val="18"/>
                <w:szCs w:val="18"/>
              </w:rPr>
            </w:pPr>
          </w:p>
        </w:tc>
        <w:tc>
          <w:tcPr>
            <w:tcW w:w="943" w:type="dxa"/>
            <w:tcBorders>
              <w:top w:val="nil"/>
              <w:left w:val="nil"/>
              <w:bottom w:val="nil"/>
              <w:right w:val="nil"/>
            </w:tcBorders>
            <w:shd w:val="clear" w:color="auto" w:fill="auto"/>
            <w:noWrap/>
            <w:hideMark/>
          </w:tcPr>
          <w:p>
            <w:pPr>
              <w:suppressAutoHyphens w:val="0"/>
              <w:rPr>
                <w:sz w:val="18"/>
                <w:szCs w:val="18"/>
              </w:rPr>
            </w:pPr>
          </w:p>
        </w:tc>
      </w:tr>
      <w:tr>
        <w:trPr>
          <w:trHeight w:val="213"/>
          <w:jc w:val="center"/>
        </w:trPr>
        <w:tc>
          <w:tcPr>
            <w:tcW w:w="3958"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197"/>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300"/>
          <w:jc w:val="center"/>
        </w:trPr>
        <w:tc>
          <w:tcPr>
            <w:tcW w:w="1563"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943"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84"/>
          <w:jc w:val="center"/>
        </w:trPr>
        <w:tc>
          <w:tcPr>
            <w:tcW w:w="1563"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943" w:type="dxa"/>
            <w:tcBorders>
              <w:top w:val="nil"/>
              <w:left w:val="nil"/>
              <w:bottom w:val="nil"/>
              <w:right w:val="nil"/>
            </w:tcBorders>
            <w:shd w:val="clear" w:color="auto" w:fill="auto"/>
            <w:noWrap/>
            <w:hideMark/>
          </w:tcPr>
          <w:p>
            <w:pPr>
              <w:suppressAutoHyphens w:val="0"/>
              <w:rPr>
                <w:sz w:val="18"/>
                <w:szCs w:val="18"/>
              </w:rPr>
            </w:pPr>
          </w:p>
        </w:tc>
        <w:tc>
          <w:tcPr>
            <w:tcW w:w="943" w:type="dxa"/>
            <w:tcBorders>
              <w:top w:val="nil"/>
              <w:left w:val="nil"/>
              <w:bottom w:val="nil"/>
              <w:right w:val="nil"/>
            </w:tcBorders>
            <w:shd w:val="clear" w:color="auto" w:fill="auto"/>
            <w:noWrap/>
            <w:hideMark/>
          </w:tcPr>
          <w:p>
            <w:pPr>
              <w:suppressAutoHyphens w:val="0"/>
              <w:rPr>
                <w:sz w:val="18"/>
                <w:szCs w:val="18"/>
              </w:rPr>
            </w:pPr>
          </w:p>
        </w:tc>
      </w:tr>
      <w:tr>
        <w:trPr>
          <w:trHeight w:val="30"/>
          <w:jc w:val="center"/>
        </w:trPr>
        <w:tc>
          <w:tcPr>
            <w:tcW w:w="3958"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51"/>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88"/>
          <w:jc w:val="center"/>
        </w:trPr>
        <w:tc>
          <w:tcPr>
            <w:tcW w:w="1563"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943"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300"/>
          <w:jc w:val="center"/>
        </w:trPr>
        <w:tc>
          <w:tcPr>
            <w:tcW w:w="1563"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943"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943"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0.011</w:t>
            </w:r>
          </w:p>
        </w:tc>
      </w:tr>
    </w:tbl>
    <w:p>
      <w:pPr>
        <w:pStyle w:val="Heading1"/>
        <w:numPr>
          <w:ilvl w:val="0"/>
          <w:numId w:val="2"/>
        </w:numPr>
      </w:pPr>
      <w:r>
        <w:lastRenderedPageBreak/>
        <w:t xml:space="preserve"> Analysis</w:t>
      </w:r>
      <w:r>
        <w:rPr>
          <w:rStyle w:val="FootnoteReference"/>
        </w:rPr>
        <w:footnoteReference w:id="8"/>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 revised paper format must have an aggregate length of four pages for the sections equivalent to the above four.</w:t>
      </w:r>
    </w:p>
    <w:p>
      <w:pPr>
        <w:rPr>
          <w:b/>
          <w:bCs/>
          <w:u w:val="single"/>
        </w:rPr>
      </w:pPr>
      <w:r>
        <w:rPr>
          <w:b/>
          <w:bCs/>
          <w:u w:val="single"/>
        </w:rPr>
        <w:t>End of page 5 (1 page)</w:t>
      </w:r>
    </w:p>
    <w:p/>
    <w:p/>
    <w:p>
      <w:pPr>
        <w:pStyle w:val="Heading2"/>
      </w:pPr>
      <w:r>
        <w:t>Experimental Results</w:t>
      </w:r>
    </w:p>
    <w:p>
      <w:pPr>
        <w:pStyle w:val="ListParagraph"/>
        <w:numPr>
          <w:ilvl w:val="0"/>
          <w:numId w:val="4"/>
        </w:numPr>
      </w:pPr>
      <w:r>
        <w:t>T-tests for the three metrics from the project plan proposal. There needs to be results for the two architectures tested (final architecture and alternative with max pooling) and there needs to be results for the moved geometry validation set too.</w:t>
      </w:r>
    </w:p>
    <w:p>
      <w:pPr>
        <w:pStyle w:val="ListParagraph"/>
        <w:numPr>
          <w:ilvl w:val="0"/>
          <w:numId w:val="4"/>
        </w:numPr>
      </w:pPr>
      <w:r>
        <w:t>Wobbley training line in loss curve at the end means the model is starting to overfit</w:t>
      </w:r>
    </w:p>
    <w:p>
      <w:r>
        <w:t>There are two out of distribution tests changing the contrast values. One frops cancer to zero contrast. Slight degradation in performance but visually not too bad. The second ups the main scatter to that of cancer. This takes double the amount of iterations to solve…what is the result? Visually poor but statistically still lower error than naïve guess.</w:t>
      </w:r>
    </w:p>
    <w:p/>
    <w:tbl>
      <w:tblPr>
        <w:tblW w:w="4490" w:type="dxa"/>
        <w:jc w:val="center"/>
        <w:tblLook w:val="04A0" w:firstRow="1" w:lastRow="0" w:firstColumn="1" w:lastColumn="0" w:noHBand="0" w:noVBand="1"/>
      </w:tblPr>
      <w:tblGrid>
        <w:gridCol w:w="501"/>
        <w:gridCol w:w="1230"/>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Iteration_Count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Error_Initial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9</w:t>
      </w:r>
      <w:r>
        <w:rPr>
          <w:sz w:val="20"/>
          <w:szCs w:val="20"/>
        </w:rPr>
        <w:fldChar w:fldCharType="end"/>
      </w:r>
      <w:r>
        <w:rPr>
          <w:sz w:val="20"/>
          <w:szCs w:val="20"/>
        </w:rPr>
        <w:t>. Paired Samples T-Test</w:t>
      </w:r>
      <w:r>
        <w:rPr>
          <w:noProof/>
          <w:sz w:val="20"/>
          <w:szCs w:val="20"/>
        </w:rPr>
        <w:t>s comparing naive to model-assisted performance.</w:t>
      </w:r>
    </w:p>
    <w:p/>
    <w:tbl>
      <w:tblPr>
        <w:tblStyle w:val="TableGrid"/>
        <w:tblW w:w="0" w:type="auto"/>
        <w:jc w:val="center"/>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199" cy="2147477"/>
                          </a:xfrm>
                          <a:prstGeom prst="rect">
                            <a:avLst/>
                          </a:prstGeom>
                        </pic:spPr>
                      </pic:pic>
                    </a:graphicData>
                  </a:graphic>
                </wp:inline>
              </w:drawing>
            </w:r>
          </w:p>
          <w:p>
            <w:pPr>
              <w:jc w:val="center"/>
            </w:pPr>
            <w:r>
              <w:t xml:space="preserve">Figure </w:t>
            </w:r>
            <w:r>
              <w:fldChar w:fldCharType="begin"/>
            </w:r>
            <w:r>
              <w:instrText xml:space="preserve"> SEQ Figure \* ARABIC </w:instrText>
            </w:r>
            <w:r>
              <w:fldChar w:fldCharType="separate"/>
            </w:r>
            <w:r>
              <w:rPr>
                <w:noProof/>
              </w:rPr>
              <w:t>14</w:t>
            </w:r>
            <w:r>
              <w:rPr>
                <w:noProof/>
              </w:rPr>
              <w:fldChar w:fldCharType="end"/>
            </w:r>
            <w:r>
              <w:t>. Raincloud plot</w:t>
            </w:r>
            <w:r>
              <w:rPr>
                <w:noProof/>
              </w:rPr>
              <w:t xml:space="preserve"> of initial error comparison. While the initial error in the model-assisted approach is lower and more consistant then the naive approach, it is not low enough to impact SolverEMF2.</w:t>
            </w:r>
          </w:p>
        </w:tc>
      </w:tr>
    </w:tbl>
    <w:p>
      <w:r>
        <w:br w:type="page"/>
      </w:r>
    </w:p>
    <w:p>
      <w:pPr>
        <w:pStyle w:val="Heading1"/>
        <w:numPr>
          <w:ilvl w:val="0"/>
          <w:numId w:val="2"/>
        </w:numPr>
      </w:pPr>
      <w:r>
        <w:lastRenderedPageBreak/>
        <w:t>Conclusions</w:t>
      </w:r>
    </w:p>
    <w:p>
      <w:pPr>
        <w:pStyle w:val="Text"/>
        <w:rPr>
          <w:i/>
          <w:iCs/>
        </w:rPr>
      </w:pPr>
      <w:r>
        <w:t xml:space="preserve">This is the conclusion. </w:t>
      </w:r>
      <w:r>
        <w:rPr>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Text"/>
        <w:rPr>
          <w:i/>
          <w:iCs/>
        </w:rPr>
      </w:pPr>
    </w:p>
    <w:p/>
    <w:p>
      <w:pPr>
        <w:pStyle w:val="Text"/>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380"/>
        <w:gridCol w:w="1520"/>
      </w:tblGrid>
      <w:tr>
        <w:trPr>
          <w:trHeight w:val="588"/>
          <w:jc w:val="center"/>
        </w:trPr>
        <w:tc>
          <w:tcPr>
            <w:tcW w:w="1240" w:type="dxa"/>
            <w:shd w:val="clear" w:color="auto" w:fill="auto"/>
            <w:noWrap/>
            <w:vAlign w:val="center"/>
            <w:hideMark/>
          </w:tcPr>
          <w:p>
            <w:pPr>
              <w:suppressAutoHyphens w:val="0"/>
              <w:jc w:val="center"/>
              <w:rPr>
                <w:b/>
                <w:bCs/>
                <w:color w:val="000000"/>
                <w:sz w:val="16"/>
                <w:szCs w:val="16"/>
              </w:rPr>
            </w:pPr>
            <w:r>
              <w:rPr>
                <w:b/>
                <w:bCs/>
                <w:color w:val="000000"/>
                <w:sz w:val="16"/>
                <w:szCs w:val="16"/>
              </w:rPr>
              <w:t>Sample 5101</w:t>
            </w:r>
          </w:p>
        </w:tc>
        <w:tc>
          <w:tcPr>
            <w:tcW w:w="1380" w:type="dxa"/>
            <w:shd w:val="clear" w:color="auto" w:fill="auto"/>
            <w:vAlign w:val="center"/>
            <w:hideMark/>
          </w:tcPr>
          <w:p>
            <w:pPr>
              <w:suppressAutoHyphens w:val="0"/>
              <w:jc w:val="center"/>
              <w:rPr>
                <w:b/>
                <w:bCs/>
                <w:color w:val="000000"/>
                <w:sz w:val="16"/>
                <w:szCs w:val="16"/>
              </w:rPr>
            </w:pPr>
            <w:r>
              <w:rPr>
                <w:b/>
                <w:bCs/>
                <w:color w:val="000000"/>
                <w:sz w:val="16"/>
                <w:szCs w:val="16"/>
              </w:rPr>
              <w:t>Naïve</w:t>
            </w:r>
            <w:r>
              <w:rPr>
                <w:b/>
                <w:bCs/>
                <w:color w:val="000000"/>
                <w:sz w:val="16"/>
                <w:szCs w:val="16"/>
              </w:rPr>
              <w:br/>
              <w:t>Original Run</w:t>
            </w:r>
          </w:p>
        </w:tc>
        <w:tc>
          <w:tcPr>
            <w:tcW w:w="1520" w:type="dxa"/>
            <w:shd w:val="clear" w:color="auto" w:fill="auto"/>
            <w:vAlign w:val="center"/>
            <w:hideMark/>
          </w:tcPr>
          <w:p>
            <w:pPr>
              <w:suppressAutoHyphens w:val="0"/>
              <w:jc w:val="center"/>
              <w:rPr>
                <w:b/>
                <w:bCs/>
                <w:color w:val="000000"/>
                <w:sz w:val="16"/>
                <w:szCs w:val="16"/>
              </w:rPr>
            </w:pPr>
            <w:r>
              <w:rPr>
                <w:b/>
                <w:bCs/>
                <w:color w:val="000000"/>
                <w:sz w:val="16"/>
                <w:szCs w:val="16"/>
              </w:rPr>
              <w:t>Model-Assisted</w:t>
            </w:r>
            <w:r>
              <w:rPr>
                <w:b/>
                <w:bCs/>
                <w:color w:val="000000"/>
                <w:sz w:val="16"/>
                <w:szCs w:val="16"/>
              </w:rPr>
              <w:br/>
              <w:t>Run</w:t>
            </w:r>
          </w:p>
        </w:tc>
      </w:tr>
      <w:tr>
        <w:trPr>
          <w:trHeight w:val="300"/>
          <w:jc w:val="center"/>
        </w:trPr>
        <w:tc>
          <w:tcPr>
            <w:tcW w:w="1240" w:type="dxa"/>
            <w:shd w:val="clear" w:color="auto" w:fill="auto"/>
            <w:noWrap/>
            <w:vAlign w:val="center"/>
            <w:hideMark/>
          </w:tcPr>
          <w:p>
            <w:pPr>
              <w:suppressAutoHyphens w:val="0"/>
              <w:jc w:val="center"/>
              <w:rPr>
                <w:b/>
                <w:bCs/>
                <w:color w:val="000000"/>
                <w:sz w:val="16"/>
                <w:szCs w:val="16"/>
              </w:rPr>
            </w:pPr>
            <w:r>
              <w:rPr>
                <w:b/>
                <w:bCs/>
                <w:color w:val="000000"/>
                <w:sz w:val="16"/>
                <w:szCs w:val="16"/>
              </w:rPr>
              <w:t>Iteration</w:t>
            </w:r>
          </w:p>
        </w:tc>
        <w:tc>
          <w:tcPr>
            <w:tcW w:w="1380" w:type="dxa"/>
            <w:shd w:val="clear" w:color="auto" w:fill="auto"/>
            <w:noWrap/>
            <w:vAlign w:val="center"/>
            <w:hideMark/>
          </w:tcPr>
          <w:p>
            <w:pPr>
              <w:suppressAutoHyphens w:val="0"/>
              <w:jc w:val="center"/>
              <w:rPr>
                <w:b/>
                <w:bCs/>
                <w:color w:val="000000"/>
                <w:sz w:val="16"/>
                <w:szCs w:val="16"/>
              </w:rPr>
            </w:pPr>
            <w:r>
              <w:rPr>
                <w:b/>
                <w:bCs/>
                <w:color w:val="000000"/>
                <w:sz w:val="16"/>
                <w:szCs w:val="16"/>
              </w:rPr>
              <w:t>Residual Error</w:t>
            </w:r>
          </w:p>
        </w:tc>
        <w:tc>
          <w:tcPr>
            <w:tcW w:w="1520" w:type="dxa"/>
            <w:shd w:val="clear" w:color="auto" w:fill="auto"/>
            <w:noWrap/>
            <w:vAlign w:val="center"/>
            <w:hideMark/>
          </w:tcPr>
          <w:p>
            <w:pPr>
              <w:suppressAutoHyphens w:val="0"/>
              <w:jc w:val="center"/>
              <w:rPr>
                <w:b/>
                <w:bCs/>
                <w:color w:val="000000"/>
                <w:sz w:val="16"/>
                <w:szCs w:val="16"/>
              </w:rPr>
            </w:pPr>
            <w:r>
              <w:rPr>
                <w:b/>
                <w:bCs/>
                <w:color w:val="000000"/>
                <w:sz w:val="16"/>
                <w:szCs w:val="16"/>
              </w:rPr>
              <w:t>Residual Error</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0</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0.00207481</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0.000512025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1</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0.000234899</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7.02384E-05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2</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3.68364E-05</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1.58675E-05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3</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1.02315E-05</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4.2492E-06</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4</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1.0167E-06</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5.663E-07</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5</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2.997E-07</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6.35E-08</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6</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4.01E-08</w:t>
            </w:r>
          </w:p>
        </w:tc>
        <w:tc>
          <w:tcPr>
            <w:tcW w:w="1520" w:type="dxa"/>
            <w:shd w:val="clear" w:color="auto" w:fill="auto"/>
            <w:noWrap/>
            <w:vAlign w:val="center"/>
            <w:hideMark/>
          </w:tcPr>
          <w:p>
            <w:pPr>
              <w:keepNext/>
              <w:suppressAutoHyphens w:val="0"/>
              <w:jc w:val="center"/>
              <w:rPr>
                <w:color w:val="000000"/>
                <w:sz w:val="16"/>
                <w:szCs w:val="16"/>
              </w:rPr>
            </w:pPr>
            <w:r>
              <w:rPr>
                <w:color w:val="000000"/>
                <w:sz w:val="16"/>
                <w:szCs w:val="16"/>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Iterative Solver information for Sample 5101</w:t>
      </w:r>
    </w:p>
    <w:p/>
    <w:p/>
    <w:p>
      <w:pPr>
        <w:pStyle w:val="ListParagraph"/>
        <w:numPr>
          <w:ilvl w:val="0"/>
          <w:numId w:val="4"/>
        </w:numPr>
      </w:pPr>
      <w:r>
        <w:t xml:space="preserve">Is this project not a waste of energy and time…no, reference </w:t>
      </w:r>
      <w:r>
        <w:fldChar w:fldCharType="begin"/>
      </w:r>
      <w:r>
        <w:instrText xml:space="preserve"> ADDIN ZOTERO_ITEM CSL_CITATION {"citationID":"ljWfuQro","properties":{"formattedCitation":"[10]","plainCitation":"[10]","noteIndex":0},"citationItems":[{"id":3689,"uris":["http://zotero.org/users/10162777/items/LYE6GLD4"],"itemData":{"id":3689,"type":"article-journal","abstract":"We examine how the evaluation of research studies in economics depends on whether a study yielded a null result. Studies with null results are perceived to be less publishable, of lower quality, less important, and less precisely estimated than studies with large and statistically significant results, even when holding constant all other study features, including the sample size and the precision of the estimates. The null result penalty is of similar magnitude among PhD students and journal editors. The penalty is larger when experts predict a large effect and when statistical uncertainty is communicated with p-values rather than standard errors. Our findings highlight the value of pre-results review.","container-title":"The Economic Journal","DOI":"10.1093/ej/uead060","ISSN":"0013-0133","journalAbbreviation":"The Economic Journal","page":"uead060","source":"Silverchair","title":"The Null Result Penalty","author":[{"family":"Chopra","given":"Felix"},{"family":"Haaland","given":"Ingar"},{"family":"Roth","given":"Christopher"},{"family":"Stegmann","given":"Andreas"}],"issued":{"date-parts":[["2023",8,7]]},"citation-key":"chopraNullResultPenalty2023"}}],"schema":"https://github.com/citation-style-language/schema/raw/master/csl-citation.json"} </w:instrText>
      </w:r>
      <w:r>
        <w:fldChar w:fldCharType="separate"/>
      </w:r>
      <w:r>
        <w:t>[10]</w:t>
      </w:r>
      <w:r>
        <w:fldChar w:fldCharType="end"/>
      </w:r>
    </w:p>
    <w:p>
      <w:pPr>
        <w:pStyle w:val="ReferenceHead"/>
        <w:jc w:val="left"/>
      </w:pP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[8]</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Bibliography"/>
        <w:rPr>
          <w:rFonts w:ascii="Times-Roman" w:hAnsi="Times-Roman"/>
          <w:sz w:val="16"/>
        </w:rPr>
      </w:pPr>
      <w:r>
        <w:rPr>
          <w:rFonts w:ascii="Times-Roman" w:hAnsi="Times-Roman"/>
          <w:sz w:val="16"/>
        </w:rPr>
        <w:t>[9]</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[10]</w:t>
      </w:r>
      <w:r>
        <w:rPr>
          <w:rFonts w:ascii="Times-Roman" w:hAnsi="Times-Roman"/>
          <w:sz w:val="16"/>
        </w:rPr>
        <w:tab/>
        <w:t xml:space="preserve">F. Chopra, I. Haaland, C. Roth, and A. Stegmann, ‘The Null Result Penalty’, </w:t>
      </w:r>
      <w:r>
        <w:rPr>
          <w:rFonts w:ascii="Times-Roman" w:hAnsi="Times-Roman"/>
          <w:i/>
          <w:iCs/>
          <w:sz w:val="16"/>
        </w:rPr>
        <w:t>The Economic Journal</w:t>
      </w:r>
      <w:r>
        <w:rPr>
          <w:rFonts w:ascii="Times-Roman" w:hAnsi="Times-Roman"/>
          <w:sz w:val="16"/>
        </w:rPr>
        <w:t>, p. uead060, Aug. 2023, doi: 10.1093/ej/uead060.</w:t>
      </w:r>
    </w:p>
    <w:p>
      <w:pPr>
        <w:pStyle w:val="FigureCaption"/>
        <w:rPr>
          <w:sz w:val="20"/>
          <w:szCs w:val="20"/>
        </w:rPr>
      </w:pPr>
      <w:r>
        <w:rPr>
          <w:rFonts w:ascii="Times-Roman" w:hAnsi="Times-Roman" w:cs="Times-Roman"/>
        </w:rPr>
        <w:fldChar w:fldCharType="end"/>
      </w:r>
    </w:p>
    <w:sectPr>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941352"/>
      <w:docPartObj>
        <w:docPartGallery w:val="Page Numbers (Bottom of Page)"/>
        <w:docPartUnique/>
      </w:docPartObj>
    </w:sdtPr>
    <w:sdtEndPr>
      <w:rPr>
        <w:noProof/>
      </w:rPr>
    </w:sdtEndPr>
    <w:sdtContent>
      <w:p>
        <w:pPr>
          <w:pStyle w:val="Footer"/>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w:t>
      </w:r>
      <w:r>
        <w:t xml:space="preserve">This is a more advanced problem than the E-polarisation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w:t>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{"citationID":"AZMXkUGe","properties":{"formattedCitation":"[5]","plainCitation":"[5]","noteIndex":3},"citationItems":[{"id":3687,"uris":["http://zotero.org/users/10162777/items/9SZPDFWC"],"itemData":{"id":3687,"type":"report","collection-title":"MEng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this development in the electromagetic scattering domain.</w:t>
      </w:r>
    </w:p>
  </w:footnote>
  <w:footnote w:id="4">
    <w:p>
      <w:pPr>
        <w:pStyle w:val="FootnoteText"/>
      </w:pPr>
      <w:r>
        <w:rPr>
          <w:rStyle w:val="FootnoteReference"/>
        </w:rPr>
        <w:footnoteRef/>
      </w:r>
      <w:r>
        <w:t xml:space="preserve">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the literature review,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small batch sizes to overcome this issue, the dimensions was deemed sufficent to pose as a challenge for the deep learning model.</w:t>
      </w:r>
    </w:p>
  </w:footnote>
  <w:footnote w:id="6">
    <w:p>
      <w:pPr>
        <w:pStyle w:val="FootnoteText"/>
      </w:pPr>
      <w:r>
        <w:rPr>
          <w:rStyle w:val="FootnoteReference"/>
        </w:rPr>
        <w:footnoteRef/>
      </w:r>
      <w:r>
        <w:t xml:space="preserve"> The description of the process is contained in Appendix PDI. [CHECK REF ZOTORO HERE]</w:t>
      </w:r>
    </w:p>
  </w:footnote>
  <w:footnote w:id="7">
    <w:p>
      <w:pPr>
        <w:pStyle w:val="FootnoteText"/>
      </w:pPr>
      <w:r>
        <w:rPr>
          <w:rStyle w:val="FootnoteReference"/>
        </w:rPr>
        <w:footnoteRef/>
      </w:r>
      <w:r>
        <w:t xml:space="preserve"> A more exhaustive description of the results is available in </w:t>
      </w:r>
      <w:r>
        <w:fldChar w:fldCharType="begin"/>
      </w:r>
      <w:r>
        <w:instrText xml:space="preserve"> ADDIN ZOTERO_ITEM CSL_CITATION {"citationID":"NW58cd5e","properties":{"formattedCitation":"[9]","plainCitation":"[9]","noteIndex":7},"citationItems":[{"id":3688,"uris":["http://zotero.org/users/10162777/items/DWZBJTBR"],"itemData":{"id":3688,"type":"report","collection-title":"MEng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footnote>
  <w:footnote w:id="8">
    <w:p>
      <w:pPr>
        <w:pStyle w:val="FootnoteText"/>
      </w:pPr>
      <w:r>
        <w:rPr>
          <w:rStyle w:val="FootnoteReference"/>
        </w:rPr>
        <w:footnoteRef/>
      </w:r>
      <w:r>
        <w:t xml:space="preserve"> </w:t>
      </w:r>
      <w:r>
        <w:t xml:space="preserve">A more exhaustive </w:t>
      </w:r>
      <w:r>
        <w:t xml:space="preserve">analysis </w:t>
      </w:r>
      <w:r>
        <w:t xml:space="preserve">is available in </w:t>
      </w:r>
      <w:r>
        <w:fldChar w:fldCharType="begin"/>
      </w:r>
      <w:r>
        <w:instrText xml:space="preserve"> ADDIN ZOTERO_ITEM CSL_CITATION {"citationID":"U5xaQjyi","properties":{"formattedCitation":"[9]","plainCitation":"[9]","noteIndex":8},"citationItems":[{"id":3688,"uris":["http://zotero.org/users/10162777/items/DWZBJTBR"],"itemData":{"id":3688,"type":"report","collection-title":"MEng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4"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6516</Words>
  <Characters>37145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1370</cp:revision>
  <cp:lastPrinted>2023-08-19T18:54:00Z</cp:lastPrinted>
  <dcterms:created xsi:type="dcterms:W3CDTF">2013-10-01T06:08:00Z</dcterms:created>
  <dcterms:modified xsi:type="dcterms:W3CDTF">2023-08-19T21:21:00Z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