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noProof/>
        </w:rPr>
        <mc:AlternateContent>
          <mc:Choice Requires="wps">
            <w:drawing>
              <wp:anchor distT="0" distB="0" distL="114300" distR="114300" simplePos="0" relativeHeight="251657728" behindDoc="0" locked="0" layoutInCell="0" allowOverlap="1">
                <wp:simplePos x="0" y="0"/>
                <wp:positionH relativeFrom="margin">
                  <wp:posOffset>3343275</wp:posOffset>
                </wp:positionH>
                <wp:positionV relativeFrom="margin">
                  <wp:posOffset>1062990</wp:posOffset>
                </wp:positionV>
                <wp:extent cx="1566545" cy="162687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6268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25pt;margin-top:83.7pt;width:123.35pt;height:128.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rPr>
          <w:i/>
          <w:iCs/>
        </w:rPr>
        <w:t xml:space="preserve">Abstract – </w:t>
      </w:r>
      <w:r>
        <w:t>This paper details the construction and evaluation of a deep learning emulator, Prescient2DL, to assist a Method of Moments (MoM) iterative solver, SolverEMF2, in generating solutions to two-dimensional electromagnetic scattering problems at 10 MHz.</w:t>
      </w:r>
      <w:bookmarkStart w:id="0" w:name="PointTmp"/>
      <w:bookmarkEnd w:id="0"/>
      <w:r>
        <w:t xml:space="preserve"> The acceleration of conventional solvers at this frequency is of interest to the medical community where existing methods face computational challenges due to the high-contrast nature of the scenes. Recent works report successes in the area of applying machine learning to electromagnetic scattering problems, however, there lacks documentation as to the potency of combining such models with conventional methods. This paper outlines a statistical experiment to assess the impact of Prescient2DL on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VEFIE,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spacing w:line="240" w:lineRule="auto"/>
      </w:pPr>
      <w:r>
        <w:t xml:space="preserve">Development of medical segmentation models to accurately differentiate between benign and malignant biological tissue require the generation of large volumes of frequency-domain electromagnetic scattering simulations. The development of such simulations necessitates considerable learning investment and is considered uneconomical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benefits to medical practitioners could arise through the deployment of Magnetic Induction Tomography, however, this requires the acceleration of high-contrast simulations for 10 MHz carrier frequencies. Generally, these simulations operate with a constrained set of input parameters, such as fixed incident source wave configurations. Although input parameters are comparable across simulation incidences, conventional methods still require full wave simulation.</w:t>
      </w:r>
    </w:p>
    <w:p>
      <w:pPr>
        <w:pStyle w:val="Text"/>
        <w:spacing w:line="240" w:lineRule="auto"/>
      </w:pPr>
      <w:r>
        <w:t>The motivation of this paper is to report on the construction of SolverEMF2 for a toy problem with low-contrast values at 10 MHz. SolverEMF2 uses the Biconjugate Gradient Stabilized Method (BICGSTAB) to calculate solutions of contrast-source integral equations. This high performance code uses circular convolutions to accelerate multiplication steps via Fast Fourier Transforms (FFT). SolverEMF2 is then used to create a data set for developing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t xml:space="preserve">The paper reports on the forward H-polarization vector problem, otherwise known as the Transverse Electric (TE) problem, solving for the electric field strength in a domain with two contrast scatterers, one inside the other.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Since the permeability of biological tissues can be considered roughly equal to that of the background vacuum embedding,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xml:space="preserve">. All other incident components are zero. The contrast </w:t>
      </w:r>
      <w:r>
        <w:rPr>
          <w:sz w:val="18"/>
          <w:szCs w:val="18"/>
        </w:rPr>
        <w:t xml:space="preserve">is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=1-</m:t>
        </m:r>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ε</m:t>
                    </m:r>
                  </m:e>
                </m:acc>
              </m:e>
              <m:sub>
                <m:r>
                  <w:rPr>
                    <w:rFonts w:ascii="Cambria Math" w:hAnsi="Cambria Math"/>
                    <w:sz w:val="18"/>
                    <w:szCs w:val="18"/>
                  </w:rPr>
                  <m:t>sct</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den>
        </m:f>
      </m:oMath>
      <w:r>
        <w:rPr>
          <w:sz w:val="18"/>
          <w:szCs w:val="18"/>
        </w:rPr>
        <w:t xml:space="preserve"> </w:t>
      </w:r>
      <w:r>
        <w:t xml:space="preserve">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As the scene assumes that there is invariance in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e>
            <m:sup>
              <m:r>
                <w:rPr>
                  <w:rFonts w:ascii="Cambria Math" w:hAnsi="Cambria Math"/>
                  <w:sz w:val="18"/>
                  <w:szCs w:val="18"/>
                </w:rPr>
                <m:t>inc</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j</m:t>
                  </m:r>
                </m:sub>
              </m:sSub>
            </m:e>
            <m:sup>
              <m:r>
                <w:rPr>
                  <w:rFonts w:ascii="Cambria Math" w:hAnsi="Cambria Math"/>
                  <w:sz w:val="18"/>
                  <w:szCs w:val="18"/>
                </w:rPr>
                <m:t>E</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0</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j, 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k</m:t>
                  </m:r>
                </m:sub>
              </m:sSub>
            </m:e>
          </m:d>
          <m:nary>
            <m:naryPr>
              <m:limLoc m:val="undOvr"/>
              <m:ctrlPr>
                <w:rPr>
                  <w:rFonts w:ascii="Cambria Math" w:hAnsi="Cambria Math"/>
                  <w:i/>
                  <w:sz w:val="18"/>
                  <w:szCs w:val="18"/>
                </w:rPr>
              </m:ctrlPr>
            </m:naryPr>
            <m: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sct</m:t>
                  </m:r>
                </m:sub>
              </m:sSub>
            </m:sub>
            <m:sup/>
            <m:e>
              <m:acc>
                <m:accPr>
                  <m:ctrlPr>
                    <w:rPr>
                      <w:rFonts w:ascii="Cambria Math" w:hAnsi="Cambria Math"/>
                      <w:i/>
                      <w:sz w:val="18"/>
                      <w:szCs w:val="18"/>
                    </w:rPr>
                  </m:ctrlPr>
                </m:accPr>
                <m:e>
                  <m:r>
                    <w:rPr>
                      <w:rFonts w:ascii="Cambria Math" w:hAnsi="Cambria Math"/>
                      <w:sz w:val="18"/>
                      <w:szCs w:val="18"/>
                    </w:rPr>
                    <m:t>G</m:t>
                  </m:r>
                </m:e>
              </m:acc>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k</m:t>
                      </m:r>
                    </m:sub>
                  </m:sSub>
                </m:e>
                <m:sup>
                  <m:r>
                    <w:rPr>
                      <w:rFonts w:ascii="Cambria Math" w:hAnsi="Cambria Math"/>
                      <w:sz w:val="18"/>
                      <w:szCs w:val="18"/>
                    </w:rPr>
                    <m:t>E</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r>
                <w:rPr>
                  <w:rFonts w:ascii="Cambria Math" w:hAnsi="Cambria Math"/>
                  <w:sz w:val="18"/>
                  <w:szCs w:val="18"/>
                </w:rPr>
                <m:t xml:space="preserve"> dA</m:t>
              </m:r>
            </m:e>
          </m:nary>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4</m:t>
              </m:r>
            </m:e>
          </m:d>
          <m:r>
            <m:rPr>
              <m:sty m:val="p"/>
            </m:rPr>
            <w:rPr>
              <w:sz w:val="22"/>
              <w:szCs w:val="22"/>
            </w:rPr>
            <w:br/>
          </m:r>
        </m:oMath>
      </m:oMathPara>
      <w:r>
        <w:t xml:space="preserve">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scattered electric field components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r>
        <w:t xml:space="preserve">The permittivity contrasts are frequency independent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lastRenderedPageBreak/>
        <w:t>Existing work in deep learning and electromagnetic scattering problems</w:t>
      </w:r>
    </w:p>
    <w:p>
      <w:pPr>
        <w:ind w:firstLine="202"/>
      </w:pPr>
      <w:r>
        <w:t xml:space="preserve">As reported in </w:t>
      </w:r>
      <w:r>
        <w:fldChar w:fldCharType="begin"/>
      </w:r>
      <w:r>
        <w:instrText xml:space="preserve"> ADDIN ZOTERO_ITEM CSL_CITATION {"citationID":"LODB7fnd","properties":{"formattedCitation":"[3]","plainCitation":"[3]","noteIndex":0},"citationItems":[{"id":3685,"uris":["http://zotero.org/users/10162777/items/UEZ5CYBD"],"itemData":{"id":3685,"type":"report","collection-title":"MEng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and expanded upon in </w:t>
      </w:r>
      <w:r>
        <w:fldChar w:fldCharType="begin"/>
      </w:r>
      <w:r>
        <w:instrText xml:space="preserve"> ADDIN ZOTERO_ITEM CSL_CITATION {"citationID":"JksmUAia","properties":{"formattedCitation":"[5]","plainCitation":"[5]","noteIndex":0},"citationItems":[{"id":3693,"uris":["http://zotero.org/users/10162777/items/FHQ3HG3F"],"itemData":{"id":3693,"type":"report","collection-title":"MEng Final Portfolio","event-place":"DCU","publisher-place":"DCU","title":"Machine Learning Algorithms for EM Wave Scattering Problems, Appendix C: Project Research Log","author":[{"family":"McElwee","given":"Anthony James"}],"issued":{"date-parts":[["2023"]]},"citation-key":"mcelweeMachineLearningAlgorithms2023e"}}],"schema":"https://github.com/citation-style-language/schema/raw/master/csl-citation.json"} </w:instrText>
      </w:r>
      <w:r>
        <w:fldChar w:fldCharType="separate"/>
      </w:r>
      <w:r>
        <w:t>[5]</w:t>
      </w:r>
      <w:r>
        <w:fldChar w:fldCharType="end"/>
      </w:r>
      <w:r>
        <w:t>, r</w:t>
      </w:r>
      <w:r>
        <w:t xml:space="preserve">ecent works report successes in the area of applying machine learning to </w:t>
      </w:r>
      <w:r>
        <w:t xml:space="preserve">forward </w:t>
      </w:r>
      <w:r>
        <w:t>electromagnetic scattering problems</w:t>
      </w:r>
      <w:r>
        <w:t xml:space="preserve">. Examples are heavily orientated around using physics-informed loss functions </w:t>
      </w:r>
      <w:r>
        <w:fldChar w:fldCharType="begin"/>
      </w:r>
      <w:r>
        <w:instrText xml:space="preserve"> ADDIN ZOTERO_ITEM CSL_CITATION {"citationID":"SR9Qa4Il","properties":{"formattedCitation":"[6], [7]","plainCitation":"[6], [7]","noteIndex":0},"citationItems":[{"id":785,"uris":["http://zotero.org/users/10162777/items/XYY9U5K3"],"itemData":{"id":785,"type":"article-journal","abstract":"Maxwell’s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t>[6], [7]</w:t>
      </w:r>
      <w:r>
        <w:fldChar w:fldCharType="end"/>
      </w:r>
      <w:r>
        <w:t xml:space="preserve"> or various deep learning architectures that encapsulate elements of the conventional electromagnetic solvers they wish to emulate </w:t>
      </w:r>
      <w:r>
        <w:fldChar w:fldCharType="begin"/>
      </w:r>
      <w:r>
        <w:instrText xml:space="preserve"> ADDIN ZOTERO_ITEM CSL_CITATION {"citationID":"RhghTaIA","properties":{"formattedCitation":"[8]\\uc0\\u8211{}[10]","plainCitation":"[8]–[10]","noteIndex":0},"citationItems":[{"id":3516,"uris":["http://zotero.org/users/10162777/items/4VRRZSZ2"],"itemData":{"id":3516,"type":"book","abstract":"Deep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G."}],"issued":{"date-parts":[["2021"]]},"citation-key":"martinez-ramonMachineLearningApplications2021"}}],"schema":"https://github.com/citation-style-language/schema/raw/master/csl-citation.json"} </w:instrText>
      </w:r>
      <w:r>
        <w:fldChar w:fldCharType="separate"/>
      </w:r>
      <w:r>
        <w:rPr>
          <w:szCs w:val="24"/>
        </w:rPr>
        <w:t>[8]–[10]</w:t>
      </w:r>
      <w:r>
        <w:fldChar w:fldCharType="end"/>
      </w:r>
      <w:r>
        <w:t xml:space="preserve">. Emulation using deep learning models is almost always the core goal of the works. While other simulation domains have documented hybrid approaches </w:t>
      </w:r>
      <w:r>
        <w:fldChar w:fldCharType="begin"/>
      </w:r>
      <w:r>
        <w:instrText xml:space="preserve"> ADDIN ZOTERO_ITEM CSL_CITATION {"citationID":"BnhYN99H","properties":{"formattedCitation":"[11]\\uc0\\u8211{}[13]","plainCitation":"[11]–[13]","noteIndex":0},"citationItems":[{"id":3594,"uris":["http://zotero.org/users/10162777/items/GISBUZZI"],"itemData":{"id":3594,"type":"article-journal","abstract":"We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PoissonCNNConvolutional2021"}},{"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DeepLearningComputational2021"}}],"schema":"https://github.com/citation-style-language/schema/raw/master/csl-citation.json"} </w:instrText>
      </w:r>
      <w:r>
        <w:fldChar w:fldCharType="separate"/>
      </w:r>
      <w:r>
        <w:rPr>
          <w:szCs w:val="24"/>
        </w:rPr>
        <w:t>[11]–[13]</w:t>
      </w:r>
      <w:r>
        <w:fldChar w:fldCharType="end"/>
      </w:r>
      <w:r>
        <w:t>, th</w:t>
      </w:r>
      <w:r>
        <w:t>is aspect of research is lacking in the electromagnetic scattering domain.</w:t>
      </w:r>
    </w:p>
    <w:p>
      <w:pPr>
        <w:ind w:firstLine="202"/>
        <w:rPr>
          <w:i/>
          <w:iCs/>
        </w:rPr>
      </w:pPr>
      <w:r>
        <w:t xml:space="preserve">This paper benefits from the findings and recommendations from these works focused on </w:t>
      </w:r>
      <w:r>
        <w:t xml:space="preserve">emulation </w:t>
      </w:r>
      <w:r>
        <w:t>to test hypotheses around using deep learning as an assistant to a conventional, integral</w:t>
      </w:r>
      <w:r>
        <w:t>-method</w:t>
      </w:r>
      <w:r>
        <w:t xml:space="preserve"> solver. </w:t>
      </w:r>
      <w:r>
        <w:t xml:space="preserve">As noted in the introduction, generating solutions to forward electromagnetic scattering problems is a potentially complicated, time-intensive task. </w:t>
      </w:r>
      <w:r>
        <w:t xml:space="preserve">In order to generate deep learning training data and to offer state-of-the-art competition to a developed model, this paper builds on the work of </w:t>
      </w:r>
      <w:r>
        <w:fldChar w:fldCharType="begin"/>
      </w:r>
      <w:r>
        <w:instrText xml:space="preserve"> ADDIN ZOTERO_ITEM CSL_CITATION {"citationID":"rA7BPmoT","properties":{"formattedCitation":"[1]","plainCitation":"[1]","noteIndex":0},"citationItems":[{"id":2052,"uris":["http://zotero.org/users/10162777/items/2IYXUIUK"],"itemData":{"id":2052,"type":"book","abstract":"\"Forward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w:t>
      </w:r>
      <w:r>
        <w:t>MATLAB code</w:t>
      </w:r>
      <w:r>
        <w:t xml:space="preserve"> </w:t>
      </w:r>
      <w:r>
        <w:t>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this paper</w:t>
      </w:r>
      <w:r>
        <w:rPr>
          <w:rStyle w:val="FootnoteReference"/>
        </w:rPr>
        <w:footnoteReference w:id="4"/>
      </w:r>
      <w:r>
        <w:t>.</w:t>
      </w:r>
    </w:p>
    <w:p>
      <w:pPr>
        <w:pStyle w:val="Heading1"/>
        <w:numPr>
          <w:ilvl w:val="0"/>
          <w:numId w:val="2"/>
        </w:numPr>
      </w:pPr>
      <w:r>
        <w:t>Technical Description</w:t>
      </w:r>
    </w:p>
    <w:p>
      <w:pPr>
        <w:pStyle w:val="Heading2"/>
      </w:pPr>
      <w:r>
        <w:t>Conventional Solver Creation</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the multiplication steps required to solve the MoM linear system of N equations is simplified to a vector of 2*N components. The convolution is computed using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the BICGSTAB solver is favored to solve these MoM electromagnetic scattering problems, with both </w:t>
      </w:r>
      <w:r>
        <w:t>texts reporting a significant reduction in iterations required to achieve threshold error criteria compared to other Iterative Krylov solvers. Through the use of these mathematical techniques, this high-performance Python code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t>The final generation of the scatterer geometry was kept minimal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center point of the lower-contrast scatterer was allowed to be within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w:t>
      </w:r>
      <m:oMath>
        <m:r>
          <w:rPr>
            <w:rFonts w:ascii="Cambria Math" w:hAnsi="Cambria Math"/>
          </w:rPr>
          <m:t>ε</m:t>
        </m:r>
      </m:oMath>
      <w:r>
        <w:t xml:space="preserve"> values. This is also a negative sample scenario which tests the model’s ability to generalise to larger higher-contrast populations.</w:t>
      </w:r>
    </w:p>
    <w:p>
      <w:pPr>
        <w:ind w:firstLine="202"/>
      </w:pPr>
      <w:r>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the smallest wavelength was 22.7m. The source emmiter is located 170m in the negative x direction. A grid dimension of 128x128 was choosen in order </w:t>
      </w:r>
      <w:r>
        <w:lastRenderedPageBreak/>
        <w:t xml:space="preserve">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 While references consulted  in </w:t>
      </w:r>
      <w:r>
        <w:fldChar w:fldCharType="begin"/>
      </w:r>
      <w:r>
        <w:instrText xml:space="preserve"> ADDIN ZOTERO_ITEM CSL_CITATION {"citationID":"OoOZ7xhZ","properties":{"formattedCitation":"[3]","plainCitation":"[3]","noteIndex":0},"citationItems":[{"id":3685,"uris":["http://zotero.org/users/10162777/items/UEZ5CYBD"],"itemData":{"id":3685,"type":"report","collection-title":"MEng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use very small batch sizes to overcome this issue, the dimensions were deemed sufficient to pose as a challenge for the deep learning model.</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In order to initiate research in the general area, a much lower contrast value was chosen to allow for a large volume of samples to be generated in a shorter time frame.</w:t>
      </w:r>
    </w:p>
    <w:p>
      <w:pPr>
        <w:keepNext/>
      </w:pPr>
      <w:r>
        <w:rPr>
          <w:noProof/>
        </w:rPr>
        <w:drawing>
          <wp:inline distT="0" distB="0" distL="0" distR="0">
            <wp:extent cx="31623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ind w:firstLine="202"/>
        <w:jc w:val="cente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p>
      <w:pPr>
        <w:ind w:firstLine="202"/>
      </w:pPr>
      <w:r>
        <w:t>All iterative solver computations were carried out on a local laptop CPU i7-11800H @ 2.3 GHz using Python, in particular NumPy and SciPy libraries. DS1 samples took 1 second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p>
      <w:pPr>
        <w:pStyle w:val="Heading2"/>
      </w:pPr>
      <w:r>
        <w:t>Train/Test/Split Approach</w:t>
      </w:r>
    </w:p>
    <w:p>
      <w:pPr>
        <w:ind w:firstLine="202"/>
      </w:pPr>
      <w:r>
        <w:t>The approach taken was to first establish if the model could emulate the conventional solutions. 5000 NumPy arrays were saved in folders of 1000 samples. At the train/validate/test splitting stage, 20% of the 1000 samples were retained for testing (200) and 20% of the training data was retained for validation (160) leaving 640 samples for training.</w:t>
      </w:r>
    </w:p>
    <w:p>
      <w:pPr>
        <w:pStyle w:val="Heading2"/>
      </w:pPr>
      <w:r>
        <w:t xml:space="preserve"> Model Development</w:t>
      </w:r>
    </w:p>
    <w:p>
      <w:pPr>
        <w:ind w:firstLine="202"/>
      </w:pPr>
      <w:r>
        <w:t>Deep learning was carried out on a laptop GeForce RTX 3070 GPU using TensorFlow and Keras Python libraries.</w:t>
      </w:r>
    </w:p>
    <w:p>
      <w:pPr>
        <w:ind w:firstLine="202"/>
      </w:pPr>
      <w:r>
        <w:t xml:space="preserve">The training inputs were the scatter geometry as a single channel, followed by the real, imaginary and absolute values of the complex incident wave of relevant axis bringing the </w:t>
      </w:r>
      <w:r>
        <w:t>total input channel count to four.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order to provide the predictions as inputs in SolverEMF2, the process is reversed at the provision of initial guess time. The information required to perform this standardization can be estimated from a  small group of sample solutions making it a robust and simple way to accelerate the training process</w:t>
      </w:r>
      <w:r>
        <w:rPr>
          <w:rStyle w:val="FootnoteReference"/>
        </w:rPr>
        <w:footnoteReference w:id="5"/>
      </w:r>
      <w:r>
        <w:t>.</w:t>
      </w:r>
    </w:p>
    <w:p>
      <w:pPr>
        <w:pStyle w:val="Heading3"/>
      </w:pPr>
      <w:r>
        <w:t>Model Architecture</w:t>
      </w:r>
    </w:p>
    <w:p>
      <w:pPr>
        <w:ind w:firstLine="202"/>
      </w:pPr>
      <w:r>
        <w:t xml:space="preserve">The models were fitted using a 54 layer U-net as this type of architecture was core to multiple sources consulted during background research </w:t>
      </w:r>
      <w:r>
        <w:fldChar w:fldCharType="begin"/>
      </w:r>
      <w:r>
        <w:instrText xml:space="preserve"> ADDIN ZOTERO_ITEM CSL_CITATION {"citationID":"aizEZPNJ","properties":{"formattedCitation":"[6], [7], [15]\\uc0\\u8211{}[17]","plainCitation":"[6], [7], [15]–[17]","noteIndex":0},"citationItems":[{"id":2288,"uris":["http://zotero.org/users/10162777/items/5ZSW94CR"],"itemData":{"id":2288,"type":"book","event-place":"Singapore","ISBN":"9789811662607","language":"en","note":"DOI: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szCs w:val="24"/>
        </w:rPr>
        <w:t>[6], [7], [15]–[17]</w:t>
      </w:r>
      <w:r>
        <w:fldChar w:fldCharType="end"/>
      </w:r>
      <w:r>
        <w:t xml:space="preserve">. ‘Elu’ activation functions were selected to add non-linearity, as recommended in </w:t>
      </w:r>
      <w:r>
        <w:fldChar w:fldCharType="begin"/>
      </w:r>
      <w:r>
        <w:instrText xml:space="preserve"> ADDIN ZOTERO_ITEM CSL_CITATION {"citationID":"QG1Banv2","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abandoned due to degradation in initial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 xml:space="preserve">The Adam optimizer was used when fitting the model and the Keras Mean_Squared_Logarithmic_Error function was used as the loss function. </w:t>
      </w:r>
      <w:r>
        <w:t>The model training times were both roughly 20 minutes which is to be expected as the same model architecture was used in both instances.</w:t>
      </w:r>
    </w:p>
    <w:p>
      <w:pPr>
        <w:pStyle w:val="Text"/>
        <w:jc w:val="left"/>
        <w:rPr>
          <w:lang w:val="en-GB"/>
        </w:rPr>
      </w:pPr>
      <w:r>
        <w:rPr>
          <w:lang w:val="en-GB"/>
        </w:rPr>
        <w:t xml:space="preserve">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t>
      </w:r>
      <w:r>
        <w:rPr>
          <w:lang w:val="en-GB"/>
        </w:rPr>
        <w:lastRenderedPageBreak/>
        <w:t>While it would shrink the possible permutations in the scene configuration space, this would increase the probability of duplicates arising from the symmetry in scenes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{"citationID":"hVTr8ljW","properties":{"formattedCitation":"[18], [19]","plainCitation":"[18], [19]","noteIndex":0},"citationItems":[{"id":3683,"uris":["http://zotero.org/users/10162777/items/ZSFT8REI"],"itemData":{"id":3683,"type":"article-journal","abstract":"For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[18], [19]</w:t>
      </w:r>
      <w:r>
        <w:fldChar w:fldCharType="end"/>
      </w:r>
      <w:r>
        <w:t>.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w:t>
      </w:r>
    </w:p>
    <w:p>
      <w:pPr>
        <w:keepNext/>
        <w:jc w:val="center"/>
      </w:pPr>
      <w:r>
        <w:rPr>
          <w:noProof/>
        </w:rPr>
        <w:drawing>
          <wp:inline distT="0" distB="0" distL="0" distR="0">
            <wp:extent cx="2519362" cy="1619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ind w:firstLine="202"/>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model component.</w:t>
      </w:r>
    </w:p>
    <w:p>
      <w:pPr>
        <w:ind w:firstLine="202"/>
        <w:rPr>
          <w:lang w:val="en-GB"/>
        </w:rPr>
      </w:pPr>
      <w:r>
        <w:rPr>
          <w:lang w:val="en-GB"/>
        </w:rPr>
        <w:t>The spikes that occur at the loading of fresh training data indicate there may be possible issues in the model architecture.</w:t>
      </w:r>
      <w:r>
        <w:t xml:space="preserve"> The difficulty of predicting the y-dimension, E2, is more apparent since the incident wave has greater variation in the y co-ordinate</w:t>
      </w:r>
      <w:r>
        <w:rPr>
          <w:lang w:val="en-GB"/>
        </w:rPr>
        <w:t xml:space="preserve">. </w:t>
      </w:r>
      <w:r>
        <w:t>The E2 component sufferers from greater spikes at each training loading stage than the E1 component.</w:t>
      </w: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in Table 2 shows that, if treated as an emulator, Prescient2DL achieves strong similarity to the fully solved Iterative Krylov solution. The divergence and rotational components of the fields are being captured by the model and this is evidenced in the plot of the absolute difference in Figure 7.</w:t>
      </w:r>
    </w:p>
    <w:p>
      <w:pPr>
        <w:ind w:firstLine="202"/>
        <w:rPr>
          <w:lang w:val="en-GB"/>
        </w:rPr>
      </w:pPr>
      <w:r>
        <w:rPr>
          <w:lang w:val="en-GB"/>
        </w:rPr>
        <w:t xml:space="preserve">Table 3 provides descriptive statistics for each test set used to evaluate the impact of Prescient2DL on SolverEMF2. Each set consisted of 100 original samples solved using a naïve initial guess of the incident wave as the scattered field. After training, a second run of SolverEMF2 was used on the same </w:t>
      </w:r>
      <w:r>
        <w:rPr>
          <w:lang w:val="en-GB"/>
        </w:rPr>
        <w:t>original samples, allowing for direct comparisons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90.9pt" o:ole="">
                  <v:imagedata r:id="rId14" o:title=""/>
                </v:shape>
                <o:OLEObject Type="Embed" ProgID="PBrush" ShapeID="_x0000_i1025" DrawAspect="Content" ObjectID="_1754086265"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2</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trPr>
          <w:trHeight w:val="2526"/>
        </w:trPr>
        <w:tc>
          <w:tcPr>
            <w:tcW w:w="4757" w:type="dxa"/>
          </w:tcPr>
          <w:p>
            <w:pPr>
              <w:keepNext/>
              <w:jc w:val="center"/>
            </w:pPr>
            <w:r>
              <w:rPr>
                <w:noProof/>
              </w:rPr>
              <w:drawing>
                <wp:inline distT="0" distB="0" distL="0" distR="0">
                  <wp:extent cx="2789813" cy="17287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3330" cy="1749557"/>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{"citationID":"NW58cd5e","properties":{"formattedCitation":"[20]","plainCitation":"[20]","noteIndex":0},"citationItems":[{"id":3688,"uris":["http://zotero.org/users/10162777/items/DWZBJTBR"],"itemData":{"id":3688,"type":"report","collection-title":"MEng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[20]</w:t>
      </w:r>
      <w:r>
        <w:fldChar w:fldCharType="end"/>
      </w:r>
      <w:r>
        <w:t>.</w:t>
      </w:r>
    </w:p>
    <w:p>
      <w:pPr>
        <w:pStyle w:val="Heading1"/>
        <w:numPr>
          <w:ilvl w:val="0"/>
          <w:numId w:val="2"/>
        </w:numPr>
      </w:pPr>
      <w:r>
        <w:lastRenderedPageBreak/>
        <w:t>Analysis</w:t>
      </w:r>
      <w:r>
        <w:rPr>
          <w:rStyle w:val="FootnoteReference"/>
        </w:rPr>
        <w:footnoteReference w:id="6"/>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rPr>
          <w:sz w:val="6"/>
          <w:szCs w:val="6"/>
        </w:rPr>
      </w:pPr>
    </w:p>
    <w:tbl>
      <w:tblPr>
        <w:tblW w:w="4490" w:type="dxa"/>
        <w:jc w:val="center"/>
        <w:tblLook w:val="04A0" w:firstRow="1" w:lastRow="0" w:firstColumn="1" w:lastColumn="0" w:noHBand="0" w:noVBand="1"/>
      </w:tblPr>
      <w:tblGrid>
        <w:gridCol w:w="501"/>
        <w:gridCol w:w="1174"/>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{"citationID":"bnRV2JnI","properties":{"formattedCitation":"[21]","plainCitation":"[21]","noteIndex":0},"citationItems":[{"id":3692,"uris":["http://zotero.org/users/10162777/items/2UCXHHSB"],"itemData":{"id":3692,"type":"report","collection-title":"MEng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[21]</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 For DS2, Prescient2DL was able to lower the initial error to 27% of the naïve guess showing that there is some generalizability. Although the initial error achieved on DS3 was 66% of the naïve guess, the visual degradation of the guess is apparent in Figure 8.</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3824" w:dyaOrig="9096">
                <v:shape id="_x0000_i1026" type="#_x0000_t75" style="width:249pt;height:163.9pt" o:ole="">
                  <v:imagedata r:id="rId17" o:title=""/>
                </v:shape>
                <o:OLEObject Type="Embed" ProgID="PBrush" ShapeID="_x0000_i1026" DrawAspect="Content" ObjectID="_1754086266" r:id="rId18"/>
              </w:object>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Raincloud plot</w:t>
            </w:r>
            <w:r>
              <w:rPr>
                <w:i/>
                <w:iCs/>
                <w:noProof/>
              </w:rPr>
              <w:t xml:space="preserve"> of initial error comparison in DS1.</w:t>
            </w:r>
          </w:p>
        </w:tc>
      </w:tr>
    </w:tbl>
    <w:p>
      <w:pPr>
        <w:rPr>
          <w:sz w:val="2"/>
          <w:szCs w:val="2"/>
        </w:rPr>
      </w:pPr>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A linear approximation of the slope of the curve for plot Residual Norm versus Iteration Count, labelled as convergence rate, in the Krylov Iterative Metrics for SolverEMF2 is the same as for the non-DL assisted conventional solver. Alternative Hypothesis H</w:t>
      </w:r>
      <w:r>
        <w:rPr>
          <w:i/>
          <w:iCs/>
          <w:vertAlign w:val="subscript"/>
          <w:lang w:val="en-GB"/>
        </w:rPr>
        <w:t>A</w:t>
      </w:r>
      <w:r>
        <w:rPr>
          <w:i/>
          <w:iCs/>
          <w:lang w:val="en-GB"/>
        </w:rPr>
        <w:t xml:space="preserve">: A linear </w:t>
      </w:r>
      <w:r>
        <w:rPr>
          <w:i/>
          <w:iCs/>
          <w:lang w:val="en-GB"/>
        </w:rPr>
        <w:t xml:space="preserve">approximation of the slope of the curve for plot Residual Norm versus Iteration Count, labelled as convergence rate, in 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{"citationID":"NcHUUPrf","properties":{"formattedCitation":"[21]","plainCitation":"[21]","noteIndex":0},"citationItems":[{"id":3692,"uris":["http://zotero.org/users/10162777/items/2UCXHHSB"],"itemData":{"id":3692,"type":"report","collection-title":"MEng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[21]</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 All differences were less than a single iteration on average.</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but struggles on DS3. Overall, although the initial error in the model-assisted approach is lower and more consistant then the naive approach,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11"/>
        <w:gridCol w:w="1528"/>
      </w:tblGrid>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Sample 5101</w:t>
            </w:r>
          </w:p>
        </w:tc>
        <w:tc>
          <w:tcPr>
            <w:tcW w:w="0" w:type="auto"/>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0" w:type="auto"/>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Iteration</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0</w:t>
            </w:r>
          </w:p>
        </w:tc>
        <w:tc>
          <w:tcPr>
            <w:tcW w:w="0" w:type="auto"/>
            <w:shd w:val="clear" w:color="auto" w:fill="auto"/>
            <w:noWrap/>
            <w:vAlign w:val="center"/>
            <w:hideMark/>
          </w:tcPr>
          <w:p>
            <w:pPr>
              <w:suppressAutoHyphens w:val="0"/>
              <w:jc w:val="center"/>
              <w:rPr>
                <w:color w:val="000000"/>
              </w:rPr>
            </w:pPr>
            <w:r>
              <w:rPr>
                <w:color w:val="000000"/>
              </w:rPr>
              <w:t>0.00207481</w:t>
            </w:r>
          </w:p>
        </w:tc>
        <w:tc>
          <w:tcPr>
            <w:tcW w:w="0" w:type="auto"/>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1</w:t>
            </w:r>
          </w:p>
        </w:tc>
        <w:tc>
          <w:tcPr>
            <w:tcW w:w="0" w:type="auto"/>
            <w:shd w:val="clear" w:color="auto" w:fill="auto"/>
            <w:noWrap/>
            <w:vAlign w:val="center"/>
            <w:hideMark/>
          </w:tcPr>
          <w:p>
            <w:pPr>
              <w:suppressAutoHyphens w:val="0"/>
              <w:jc w:val="center"/>
              <w:rPr>
                <w:color w:val="000000"/>
              </w:rPr>
            </w:pPr>
            <w:r>
              <w:rPr>
                <w:color w:val="000000"/>
              </w:rPr>
              <w:t>0.000234899</w:t>
            </w:r>
          </w:p>
        </w:tc>
        <w:tc>
          <w:tcPr>
            <w:tcW w:w="0" w:type="auto"/>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2</w:t>
            </w:r>
          </w:p>
        </w:tc>
        <w:tc>
          <w:tcPr>
            <w:tcW w:w="0" w:type="auto"/>
            <w:shd w:val="clear" w:color="auto" w:fill="auto"/>
            <w:noWrap/>
            <w:vAlign w:val="center"/>
            <w:hideMark/>
          </w:tcPr>
          <w:p>
            <w:pPr>
              <w:suppressAutoHyphens w:val="0"/>
              <w:jc w:val="center"/>
              <w:rPr>
                <w:color w:val="000000"/>
              </w:rPr>
            </w:pPr>
            <w:r>
              <w:rPr>
                <w:color w:val="000000"/>
              </w:rPr>
              <w:t>3.68364E-05</w:t>
            </w:r>
          </w:p>
        </w:tc>
        <w:tc>
          <w:tcPr>
            <w:tcW w:w="0" w:type="auto"/>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3</w:t>
            </w:r>
          </w:p>
        </w:tc>
        <w:tc>
          <w:tcPr>
            <w:tcW w:w="0" w:type="auto"/>
            <w:shd w:val="clear" w:color="auto" w:fill="auto"/>
            <w:noWrap/>
            <w:vAlign w:val="center"/>
            <w:hideMark/>
          </w:tcPr>
          <w:p>
            <w:pPr>
              <w:suppressAutoHyphens w:val="0"/>
              <w:jc w:val="center"/>
              <w:rPr>
                <w:color w:val="000000"/>
              </w:rPr>
            </w:pPr>
            <w:r>
              <w:rPr>
                <w:color w:val="000000"/>
              </w:rPr>
              <w:t>1.02315E-05</w:t>
            </w:r>
          </w:p>
        </w:tc>
        <w:tc>
          <w:tcPr>
            <w:tcW w:w="0" w:type="auto"/>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4</w:t>
            </w:r>
          </w:p>
        </w:tc>
        <w:tc>
          <w:tcPr>
            <w:tcW w:w="0" w:type="auto"/>
            <w:shd w:val="clear" w:color="auto" w:fill="auto"/>
            <w:noWrap/>
            <w:vAlign w:val="center"/>
            <w:hideMark/>
          </w:tcPr>
          <w:p>
            <w:pPr>
              <w:suppressAutoHyphens w:val="0"/>
              <w:jc w:val="center"/>
              <w:rPr>
                <w:color w:val="000000"/>
              </w:rPr>
            </w:pPr>
            <w:r>
              <w:rPr>
                <w:color w:val="000000"/>
              </w:rPr>
              <w:t>1.0167E-06</w:t>
            </w:r>
          </w:p>
        </w:tc>
        <w:tc>
          <w:tcPr>
            <w:tcW w:w="0" w:type="auto"/>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5</w:t>
            </w:r>
          </w:p>
        </w:tc>
        <w:tc>
          <w:tcPr>
            <w:tcW w:w="0" w:type="auto"/>
            <w:shd w:val="clear" w:color="auto" w:fill="auto"/>
            <w:noWrap/>
            <w:vAlign w:val="center"/>
            <w:hideMark/>
          </w:tcPr>
          <w:p>
            <w:pPr>
              <w:suppressAutoHyphens w:val="0"/>
              <w:jc w:val="center"/>
              <w:rPr>
                <w:color w:val="000000"/>
              </w:rPr>
            </w:pPr>
            <w:r>
              <w:rPr>
                <w:color w:val="000000"/>
              </w:rPr>
              <w:t>2.997E-07</w:t>
            </w:r>
          </w:p>
        </w:tc>
        <w:tc>
          <w:tcPr>
            <w:tcW w:w="0" w:type="auto"/>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6</w:t>
            </w:r>
          </w:p>
        </w:tc>
        <w:tc>
          <w:tcPr>
            <w:tcW w:w="0" w:type="auto"/>
            <w:shd w:val="clear" w:color="auto" w:fill="auto"/>
            <w:noWrap/>
            <w:vAlign w:val="center"/>
            <w:hideMark/>
          </w:tcPr>
          <w:p>
            <w:pPr>
              <w:suppressAutoHyphens w:val="0"/>
              <w:jc w:val="center"/>
              <w:rPr>
                <w:color w:val="000000"/>
              </w:rPr>
            </w:pPr>
            <w:r>
              <w:rPr>
                <w:color w:val="000000"/>
              </w:rPr>
              <w:t>4.01E-08</w:t>
            </w:r>
          </w:p>
        </w:tc>
        <w:tc>
          <w:tcPr>
            <w:tcW w:w="0" w:type="auto"/>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Krylov solvers on the conditioning of the matrices and the eigenvalue properties of the matrices </w:t>
      </w:r>
      <w:r>
        <w:fldChar w:fldCharType="begin"/>
      </w:r>
      <w:r>
        <w:instrText xml:space="preserve"> ADDIN ZOTERO_ITEM CSL_CITATION {"citationID":"JO3DD82Z","properties":{"formattedCitation":"[22]","plainCitation":"[22]","noteIndex":0},"citationItems":[{"id":2259,"uris":["http://zotero.org/users/10162777/items/PNZATMFF"],"itemData":{"id":2259,"type":"book","abstract":"Computational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[22]</w:t>
      </w:r>
      <w:r>
        <w:fldChar w:fldCharType="end"/>
      </w:r>
      <w:r>
        <w:t>,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remains in model development. </w:t>
      </w:r>
    </w:p>
    <w:p>
      <w:pPr>
        <w:ind w:firstLine="202"/>
      </w:pPr>
      <w:r>
        <w:t xml:space="preserve">If the creation of models that bring the initial residual error to orders of magnitude lower than currently reported is deemed non-viable, after more extensive experimentation, </w:t>
      </w:r>
      <w:r>
        <w:lastRenderedPageBreak/>
        <w:t>then the attempted application of deep learning in electromagnetic scattering, frequency domain, forward problems could be regarded as frivolous.</w:t>
      </w:r>
    </w:p>
    <w:p>
      <w:pPr>
        <w:ind w:firstLine="202"/>
      </w:pPr>
      <w:r>
        <w:t xml:space="preserve">In terms of immediate directions for future work arising from this paper, the author has the following suggestions. The use of dense layers </w:t>
      </w:r>
      <w:r>
        <w:fldChar w:fldCharType="begin"/>
      </w:r>
      <w:r>
        <w:instrText xml:space="preserve"> ADDIN ZOTERO_ITEM CSL_CITATION {"citationID":"hlIcogvi","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xml:space="preserve">, residual learning blocks </w:t>
      </w:r>
      <w:r>
        <w:fldChar w:fldCharType="begin"/>
      </w:r>
      <w:r>
        <w:instrText xml:space="preserve"> ADDIN ZOTERO_ITEM CSL_CITATION {"citationID":"q9ejlN7H","properties":{"formattedCitation":"[23]","plainCitation":"[23]","noteIndex":0},"citationItems":[{"id":299,"uris":["http://zotero.org/users/10162777/items/BUWB3NVY"],"itemData":{"id":299,"type":"book","call-number":"QA76.73.P98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fldChar w:fldCharType="separate"/>
      </w:r>
      <w:r>
        <w:t>[23]</w:t>
      </w:r>
      <w:r>
        <w:fldChar w:fldCharType="end"/>
      </w:r>
      <w:r>
        <w:t xml:space="preserve"> and general adversarial networks </w:t>
      </w:r>
      <w:r>
        <w:fldChar w:fldCharType="begin"/>
      </w:r>
      <w:r>
        <w:instrText xml:space="preserve"> ADDIN ZOTERO_ITEM CSL_CITATION {"citationID":"Sugt3GSG","properties":{"formattedCitation":"[17]","plainCitation":"[17]","noteIndex":0},"citationItems":[{"id":116,"uris":["http://zotero.org/users/10162777/items/LP5DLGJZ"],"itemData":{"id":116,"type":"article-journal","abstract":"This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t>[17]</w:t>
      </w:r>
      <w:r>
        <w:fldChar w:fldCharType="end"/>
      </w:r>
      <w:r>
        <w:t xml:space="preserve"> may improve training performance for this problem. The inclusion of PINNs or loss functions that make stronger assumptions about the physics underlying the data generating process could help to improve the training behaviour </w:t>
      </w:r>
      <w:r>
        <w:fldChar w:fldCharType="begin"/>
      </w:r>
      <w:r>
        <w:instrText xml:space="preserve"> ADDIN ZOTERO_ITEM CSL_CITATION {"citationID":"Pxy7Ow45","properties":{"formattedCitation":"[6]","plainCitation":"[6]","noteIndex":0},"citationItems":[{"id":785,"uris":["http://zotero.org/users/10162777/items/XYY9U5K3"],"itemData":{"id":785,"type":"article-journal","abstract":"Maxwell’s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schema":"https://github.com/citation-style-language/schema/raw/master/csl-citation.json"} </w:instrText>
      </w:r>
      <w:r>
        <w:fldChar w:fldCharType="separate"/>
      </w:r>
      <w:r>
        <w:t>[6]</w:t>
      </w:r>
      <w:r>
        <w:fldChar w:fldCharType="end"/>
      </w:r>
      <w:r>
        <w:t xml:space="preserve">. Combining the information available in each axis to increase the information available to the model may lower the final loss. Co-ordinate systems were siloed for the purposes of this paper and the author expects that inclusion of secondary field information at model inception or at a secondary model stage may increase the final prediction performance. Exploring the domain of deep learning explainability may provide insight into boundary region errors that can be seen in the predictive plots. Deliberately increasing the depth and attempting to overparameterize the model may led to tractability. Theoretical work attempting to increase the mathematical understanding of deep learning models has conjectured that overfitting very complex models does not inevitably lead to poor predictive accuracy </w:t>
      </w:r>
      <w:r>
        <w:fldChar w:fldCharType="begin"/>
      </w:r>
      <w:r>
        <w:instrText xml:space="preserve"> ADDIN ZOTERO_ITEM CSL_CITATION {"citationID":"Nlkm99Pc","properties":{"formattedCitation":"[24]","plainCitation":"[24]","noteIndex":0},"citationItems":[{"id":64,"uris":["http://zotero.org/users/10162777/items/REGPTRDW"],"itemData":{"id":64,"type":"article-journal","abstract":"The remarkable practical success of deep learning has revealed some major surprises from a theoretical perspective. In particular, simple gradient methods easily find near-optimal solutions to non-convex optimization problems, and despite giving a near-perfect fit to training data without any explicit effort to control model complexity, these methods exhibit excellent predictive accuracy. We conjecture that specific principles underlie these phenomena: that overparametrization allows gradient methods to find interpolating solutions, that these methods implicitly impose regularization, and that overparametrization leads to benign overfitting, that is, accurate predictions despite overfitting training data. In this article, we survey recent progress in statistical learning theory that provides examples illustrating these principles in simpler settings. We first review classical uniform convergence results and why they fall short of explaining aspects of the behaviour of deep learning methods. We give examples of implicit regularization in simple settings, where gradient methods lead to minimal norm functions that perfectly fit the training data. Then we review prediction methods that exhibit benign overfitting, focusing on regression problems with quadratic loss. For these methods, we can decompose the prediction rule into a simple component that is useful for prediction and a spiky component that is useful for overfitting but, in a favourable setting, does not harm prediction accuracy. We focus specifically on the linear regime for neural networks, where the network can be approximated by a linear model. In this regime, we demonstrate the success of gradient flow, and we consider benign overfitting with two-layer networks, giving an exact asymptotic analysis that precisely demonstrates the impact of overparametrization. We conclude by highlighting the key challenges that arise in extending these insights to realistic deep learning settings.","container-title":"Acta Numerica","DOI":"10.1017/S0962492921000027","ISSN":"0962-4929, 1474-0508","language":"en","note":"11 citations (Crossref) [2022-10-08]\npublisher: Cambridge University Press","page":"87-201","source":"Cambridge University Press","title":"Deep learning: a statistical viewpoint","title-short":"Deep learning","volume":"30","author":[{"family":"Bartlett","given":"Peter L."},{"family":"Montanari","given":"Andrea"},{"family":"Rakhlin","given":"Alexander"}],"issued":{"date-parts":[["2021",5]]},"citation-key":"bartlettDeepLearningStatistical2021"}}],"schema":"https://github.com/citation-style-language/schema/raw/master/csl-citation.json"} </w:instrText>
      </w:r>
      <w:r>
        <w:fldChar w:fldCharType="separate"/>
      </w:r>
      <w:r>
        <w:t>[24]</w:t>
      </w:r>
      <w:r>
        <w:fldChar w:fldCharType="end"/>
      </w:r>
      <w:r>
        <w:t>. Finally, implementing some of these ideas in the context of predicting only the absolute component of each field may accelerate the experimental process.</w:t>
      </w:r>
    </w:p>
    <w:p>
      <w:pPr>
        <w:ind w:firstLine="202"/>
      </w:pPr>
      <w:r>
        <w:t>While positive results are lacking with regard to the goal of the paper, the author points out that the research has been fruitful in providing the electromagnetics community with reproducible data, as well as raising concerns about the model training results. The paper is written with the view that the engineering problem formulation, design approach, data generation process, experimental design and model development are substantial and meaningful in a pre-results context.</w:t>
      </w:r>
    </w:p>
    <w:p>
      <w:pPr>
        <w:pStyle w:val="ReferenceHead"/>
        <w:spacing w:before="0"/>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‘Machine Learning Algorithms for EM Wave Scattering Problems, Appendix A: Literature Survey’, DCU, 2023.</w:t>
      </w:r>
    </w:p>
    <w:p>
      <w:pPr>
        <w:pStyle w:val="Bibliography"/>
        <w:rPr>
          <w:rFonts w:ascii="Times-Roman" w:hAnsi="Times-Roman"/>
          <w:sz w:val="16"/>
        </w:rPr>
      </w:pPr>
      <w:r>
        <w:rPr>
          <w:rFonts w:ascii="Times-Roman" w:hAnsi="Times-Roman"/>
          <w:sz w:val="16"/>
        </w:rPr>
        <w:t>[4]</w:t>
      </w:r>
      <w:r>
        <w:rPr>
          <w:rFonts w:ascii="Times-Roman" w:hAnsi="Times-Roman"/>
          <w:sz w:val="16"/>
        </w:rPr>
        <w:tab/>
        <w:t>A. J. McElwee, ‘Machine Learning Algorithms for EM Wave Scattering Problems, Appendix D: Project Design &amp; Implementation’, DCU, 2023.</w:t>
      </w:r>
    </w:p>
    <w:p>
      <w:pPr>
        <w:pStyle w:val="Bibliography"/>
        <w:rPr>
          <w:rFonts w:ascii="Times-Roman" w:hAnsi="Times-Roman"/>
          <w:sz w:val="16"/>
        </w:rPr>
      </w:pPr>
      <w:r>
        <w:rPr>
          <w:rFonts w:ascii="Times-Roman" w:hAnsi="Times-Roman"/>
          <w:sz w:val="16"/>
        </w:rPr>
        <w:t>[5]</w:t>
      </w:r>
      <w:r>
        <w:rPr>
          <w:rFonts w:ascii="Times-Roman" w:hAnsi="Times-Roman"/>
          <w:sz w:val="16"/>
        </w:rPr>
        <w:tab/>
        <w:t>A. J. McElwee, ‘Machine Learning Algorithms for EM Wave Scattering Problems, Appendix C: Project Research Log’, DCU,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[7]</w:t>
      </w:r>
      <w:r>
        <w:rPr>
          <w:rFonts w:ascii="Times-Roman" w:hAnsi="Times-Roman"/>
          <w:sz w:val="16"/>
        </w:rPr>
        <w:tab/>
        <w:t xml:space="preserve">C. Gigli, A. Saba, A. B. Ayoub, and D. Psaltis, ‘Predicting nonlinear optical scattering with physics-driven neural networks’, </w:t>
      </w:r>
      <w:r>
        <w:rPr>
          <w:rFonts w:ascii="Times-Roman" w:hAnsi="Times-Roman"/>
          <w:i/>
          <w:iCs/>
          <w:sz w:val="16"/>
        </w:rPr>
        <w:t>APL Photonics</w:t>
      </w:r>
      <w:r>
        <w:rPr>
          <w:rFonts w:ascii="Times-Roman" w:hAnsi="Times-Roman"/>
          <w:sz w:val="16"/>
        </w:rPr>
        <w:t>, vol. 8, no. 2, p. 026105, Feb. 2023, doi: 10.1063/5.0119186.</w:t>
      </w:r>
    </w:p>
    <w:p>
      <w:pPr>
        <w:pStyle w:val="Bibliography"/>
        <w:rPr>
          <w:rFonts w:ascii="Times-Roman" w:hAnsi="Times-Roman"/>
          <w:sz w:val="16"/>
        </w:rPr>
      </w:pPr>
      <w:r>
        <w:rPr>
          <w:rFonts w:ascii="Times-Roman" w:hAnsi="Times-Roman"/>
          <w:sz w:val="16"/>
        </w:rPr>
        <w:t>[8]</w:t>
      </w:r>
      <w:r>
        <w:rPr>
          <w:rFonts w:ascii="Times-Roman" w:hAnsi="Times-Roman"/>
          <w:sz w:val="16"/>
        </w:rPr>
        <w:tab/>
        <w:t xml:space="preserve">A. P. M. Li, M. Li, and M. Salucci, </w:t>
      </w:r>
      <w:r>
        <w:rPr>
          <w:rFonts w:ascii="Times-Roman" w:hAnsi="Times-Roman"/>
          <w:i/>
          <w:iCs/>
          <w:sz w:val="16"/>
        </w:rPr>
        <w:t>Applications of Deep Learning in Electromagnetics: Teaching Maxwell’s Equations to Machines</w:t>
      </w:r>
      <w:r>
        <w:rPr>
          <w:rFonts w:ascii="Times-Roman" w:hAnsi="Times-Roman"/>
          <w:sz w:val="16"/>
        </w:rPr>
        <w:t>. Institution of Engineering &amp; Technology, 2023.</w:t>
      </w:r>
    </w:p>
    <w:p>
      <w:pPr>
        <w:pStyle w:val="Bibliography"/>
        <w:rPr>
          <w:rFonts w:ascii="Times-Roman" w:hAnsi="Times-Roman"/>
          <w:sz w:val="16"/>
        </w:rPr>
      </w:pPr>
      <w:r>
        <w:rPr>
          <w:rFonts w:ascii="Times-Roman" w:hAnsi="Times-Roman"/>
          <w:sz w:val="16"/>
        </w:rPr>
        <w:t>[9]</w:t>
      </w:r>
      <w:r>
        <w:rPr>
          <w:rFonts w:ascii="Times-Roman" w:hAnsi="Times-Roman"/>
          <w:sz w:val="16"/>
        </w:rPr>
        <w:tab/>
        <w:t xml:space="preserve">S. D. Campbell and D. H. Werner, Eds., </w:t>
      </w:r>
      <w:r>
        <w:rPr>
          <w:rFonts w:ascii="Times-Roman" w:hAnsi="Times-Roman"/>
          <w:i/>
          <w:iCs/>
          <w:sz w:val="16"/>
        </w:rPr>
        <w:t>Advances in electromagnetics empowered by artificial intelligence and deep learning</w:t>
      </w:r>
      <w:r>
        <w:rPr>
          <w:rFonts w:ascii="Times-Roman" w:hAnsi="Times-Roman"/>
          <w:sz w:val="16"/>
        </w:rPr>
        <w:t>. Hoboken, New Jersey: Wiley-IEEE Press, 2023.</w:t>
      </w:r>
    </w:p>
    <w:p>
      <w:pPr>
        <w:pStyle w:val="Bibliography"/>
        <w:rPr>
          <w:rFonts w:ascii="Times-Roman" w:hAnsi="Times-Roman"/>
          <w:sz w:val="16"/>
        </w:rPr>
      </w:pPr>
      <w:r>
        <w:rPr>
          <w:rFonts w:ascii="Times-Roman" w:hAnsi="Times-Roman"/>
          <w:sz w:val="16"/>
        </w:rPr>
        <w:t>[10]</w:t>
      </w:r>
      <w:r>
        <w:rPr>
          <w:rFonts w:ascii="Times-Roman" w:hAnsi="Times-Roman"/>
          <w:sz w:val="16"/>
        </w:rPr>
        <w:tab/>
        <w:t xml:space="preserve">M. Martínez-Ramón, A. Gupta, J. L. Rojo-Álvarez, and C. G. Christodoulou, </w:t>
      </w:r>
      <w:r>
        <w:rPr>
          <w:rFonts w:ascii="Times-Roman" w:hAnsi="Times-Roman"/>
          <w:i/>
          <w:iCs/>
          <w:sz w:val="16"/>
        </w:rPr>
        <w:t>Machine learning applications in electromagnetics and antenna array processing</w:t>
      </w:r>
      <w:r>
        <w:rPr>
          <w:rFonts w:ascii="Times-Roman" w:hAnsi="Times-Roman"/>
          <w:sz w:val="16"/>
        </w:rPr>
        <w:t>. in Artech House electromagnetics series. Boston London: Artech House, 2021.</w:t>
      </w:r>
    </w:p>
    <w:p>
      <w:pPr>
        <w:pStyle w:val="Bibliography"/>
        <w:rPr>
          <w:rFonts w:ascii="Times-Roman" w:hAnsi="Times-Roman"/>
          <w:sz w:val="16"/>
        </w:rPr>
      </w:pPr>
      <w:r>
        <w:rPr>
          <w:rFonts w:ascii="Times-Roman" w:hAnsi="Times-Roman"/>
          <w:sz w:val="16"/>
        </w:rPr>
        <w:t>[11]</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Bibliography"/>
        <w:rPr>
          <w:rFonts w:ascii="Times-Roman" w:hAnsi="Times-Roman"/>
          <w:sz w:val="16"/>
        </w:rPr>
      </w:pPr>
      <w:r>
        <w:rPr>
          <w:rFonts w:ascii="Times-Roman" w:hAnsi="Times-Roman"/>
          <w:sz w:val="16"/>
        </w:rPr>
        <w:t>[12]</w:t>
      </w:r>
      <w:r>
        <w:rPr>
          <w:rFonts w:ascii="Times-Roman" w:hAnsi="Times-Roman"/>
          <w:sz w:val="16"/>
        </w:rPr>
        <w:tab/>
        <w:t xml:space="preserve">A. G. Özbay, A. Hamzehloo, S. Laizet, P. Tzirakis, G. Rizos, and B. Schuller, ‘Poisson CNN: Convolutional neural networks for the solution of the Poisson equation on a Cartesian mesh’, </w:t>
      </w:r>
      <w:r>
        <w:rPr>
          <w:rFonts w:ascii="Times-Roman" w:hAnsi="Times-Roman"/>
          <w:i/>
          <w:iCs/>
          <w:sz w:val="16"/>
        </w:rPr>
        <w:t>DCE</w:t>
      </w:r>
      <w:r>
        <w:rPr>
          <w:rFonts w:ascii="Times-Roman" w:hAnsi="Times-Roman"/>
          <w:sz w:val="16"/>
        </w:rPr>
        <w:t>, vol. 2, p. e6, 2021, doi: 10.1017/dce.2021.7.</w:t>
      </w:r>
    </w:p>
    <w:p>
      <w:pPr>
        <w:pStyle w:val="Bibliography"/>
        <w:rPr>
          <w:rFonts w:ascii="Times-Roman" w:hAnsi="Times-Roman"/>
          <w:sz w:val="16"/>
        </w:rPr>
      </w:pPr>
      <w:r>
        <w:rPr>
          <w:rFonts w:ascii="Times-Roman" w:hAnsi="Times-Roman"/>
          <w:sz w:val="16"/>
        </w:rPr>
        <w:t>[13]</w:t>
      </w:r>
      <w:r>
        <w:rPr>
          <w:rFonts w:ascii="Times-Roman" w:hAnsi="Times-Roman"/>
          <w:sz w:val="16"/>
        </w:rPr>
        <w:tab/>
        <w:t xml:space="preserve">S. Kollmannsberger, D. D’Angella, M. Jokeit, and L. Herrmann, </w:t>
      </w:r>
      <w:r>
        <w:rPr>
          <w:rFonts w:ascii="Times-Roman" w:hAnsi="Times-Roman"/>
          <w:i/>
          <w:iCs/>
          <w:sz w:val="16"/>
        </w:rPr>
        <w:t>Deep Learning in Computational Mechanics: an Introductory Course</w:t>
      </w:r>
      <w:r>
        <w:rPr>
          <w:rFonts w:ascii="Times-Roman" w:hAnsi="Times-Roman"/>
          <w:sz w:val="16"/>
        </w:rPr>
        <w:t>. in Studies in Computational Intelligence, no. volume 977. Cham: Springer, 2021.</w:t>
      </w:r>
    </w:p>
    <w:p>
      <w:pPr>
        <w:pStyle w:val="Bibliography"/>
        <w:rPr>
          <w:rFonts w:ascii="Times-Roman" w:hAnsi="Times-Roman"/>
          <w:sz w:val="16"/>
        </w:rPr>
      </w:pPr>
      <w:r>
        <w:rPr>
          <w:rFonts w:ascii="Times-Roman" w:hAnsi="Times-Roman"/>
          <w:sz w:val="16"/>
        </w:rPr>
        <w:t>[14]</w:t>
      </w:r>
      <w:r>
        <w:rPr>
          <w:rFonts w:ascii="Times-Roman" w:hAnsi="Times-Roman"/>
          <w:sz w:val="16"/>
        </w:rPr>
        <w:tab/>
        <w:t>A. J. McElwee, ‘Machine Learning Algorithms for EM Wave Scattering Problems, Appendix F: Source Code Listing’, DCU, 2023.</w:t>
      </w:r>
    </w:p>
    <w:p>
      <w:pPr>
        <w:pStyle w:val="Bibliography"/>
        <w:rPr>
          <w:rFonts w:ascii="Times-Roman" w:hAnsi="Times-Roman"/>
          <w:sz w:val="16"/>
        </w:rPr>
      </w:pPr>
      <w:r>
        <w:rPr>
          <w:rFonts w:ascii="Times-Roman" w:hAnsi="Times-Roman"/>
          <w:sz w:val="16"/>
        </w:rPr>
        <w:t>[15]</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[16]</w:t>
      </w:r>
      <w:r>
        <w:rPr>
          <w:rFonts w:ascii="Times-Roman" w:hAnsi="Times-Roman"/>
          <w:sz w:val="16"/>
        </w:rPr>
        <w:tab/>
        <w:t>C. Brennan and K. McGuinness, ‘Site-specific Deep Learning Path Loss Models based on the Method of Moments’. arXiv, Feb. 02, 2023. doi: 10.48550/arXiv.2302.01052.</w:t>
      </w:r>
    </w:p>
    <w:p>
      <w:pPr>
        <w:pStyle w:val="Bibliography"/>
        <w:rPr>
          <w:rFonts w:ascii="Times-Roman" w:hAnsi="Times-Roman"/>
          <w:sz w:val="16"/>
        </w:rPr>
      </w:pPr>
      <w:r>
        <w:rPr>
          <w:rFonts w:ascii="Times-Roman" w:hAnsi="Times-Roman"/>
          <w:sz w:val="16"/>
        </w:rPr>
        <w:t>[17]</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[18]</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[19]</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[20]</w:t>
      </w:r>
      <w:r>
        <w:rPr>
          <w:rFonts w:ascii="Times-Roman" w:hAnsi="Times-Roman"/>
          <w:sz w:val="16"/>
        </w:rPr>
        <w:tab/>
        <w:t>A. J. McElwee, ‘Machine Learning Algorithms for EM Wave Scattering Problems, Appendix E: Testing &amp; Results’, DCU, 2023.</w:t>
      </w:r>
    </w:p>
    <w:p>
      <w:pPr>
        <w:pStyle w:val="Bibliography"/>
        <w:rPr>
          <w:rFonts w:ascii="Times-Roman" w:hAnsi="Times-Roman"/>
          <w:sz w:val="16"/>
        </w:rPr>
      </w:pPr>
      <w:r>
        <w:rPr>
          <w:rFonts w:ascii="Times-Roman" w:hAnsi="Times-Roman"/>
          <w:sz w:val="16"/>
        </w:rPr>
        <w:t>[21]</w:t>
      </w:r>
      <w:r>
        <w:rPr>
          <w:rFonts w:ascii="Times-Roman" w:hAnsi="Times-Roman"/>
          <w:sz w:val="16"/>
        </w:rPr>
        <w:tab/>
        <w:t>A. J. McElwee, ‘Machine Learning Algorithms for EM Wave Scattering Problems, Appendix B: Project Design Plan’, DCU, 2023.</w:t>
      </w:r>
    </w:p>
    <w:p>
      <w:pPr>
        <w:pStyle w:val="Bibliography"/>
        <w:rPr>
          <w:rFonts w:ascii="Times-Roman" w:hAnsi="Times-Roman"/>
          <w:sz w:val="16"/>
        </w:rPr>
      </w:pPr>
      <w:r>
        <w:rPr>
          <w:rFonts w:ascii="Times-Roman" w:hAnsi="Times-Roman"/>
          <w:sz w:val="16"/>
        </w:rPr>
        <w:t>[22]</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[23]</w:t>
      </w:r>
      <w:r>
        <w:rPr>
          <w:rFonts w:ascii="Times-Roman" w:hAnsi="Times-Roman"/>
          <w:sz w:val="16"/>
        </w:rPr>
        <w:tab/>
        <w:t xml:space="preserve">A. Géron, </w:t>
      </w:r>
      <w:r>
        <w:rPr>
          <w:rFonts w:ascii="Times-Roman" w:hAnsi="Times-Roman"/>
          <w:i/>
          <w:iCs/>
          <w:sz w:val="16"/>
        </w:rPr>
        <w:t>Hands-on machine learning with Scikit-Learn, Keras, and TensorFlow: concepts, tools, and techniques to build intelligent systems</w:t>
      </w:r>
      <w:r>
        <w:rPr>
          <w:rFonts w:ascii="Times-Roman" w:hAnsi="Times-Roman"/>
          <w:sz w:val="16"/>
        </w:rPr>
        <w:t>, Second edition. Beijing [China] ; Sebastopol, CA: O’Reilly Media, Inc, 2019.</w:t>
      </w:r>
    </w:p>
    <w:p>
      <w:pPr>
        <w:pStyle w:val="Bibliography"/>
        <w:rPr>
          <w:rFonts w:ascii="Times-Roman" w:hAnsi="Times-Roman"/>
          <w:sz w:val="16"/>
        </w:rPr>
      </w:pPr>
      <w:r>
        <w:rPr>
          <w:rFonts w:ascii="Times-Roman" w:hAnsi="Times-Roman"/>
          <w:sz w:val="16"/>
        </w:rPr>
        <w:t>[24]</w:t>
      </w:r>
      <w:r>
        <w:rPr>
          <w:rFonts w:ascii="Times-Roman" w:hAnsi="Times-Roman"/>
          <w:sz w:val="16"/>
        </w:rPr>
        <w:tab/>
        <w:t xml:space="preserve">P. L. Bartlett, A. Montanari, and A. Rakhlin, ‘Deep learning: a statistical viewpoint’, </w:t>
      </w:r>
      <w:r>
        <w:rPr>
          <w:rFonts w:ascii="Times-Roman" w:hAnsi="Times-Roman"/>
          <w:i/>
          <w:iCs/>
          <w:sz w:val="16"/>
        </w:rPr>
        <w:t>Acta Numerica</w:t>
      </w:r>
      <w:r>
        <w:rPr>
          <w:rFonts w:ascii="Times-Roman" w:hAnsi="Times-Roman"/>
          <w:sz w:val="16"/>
        </w:rPr>
        <w:t>, vol. 30, pp. 87–201, May 2021, doi: 10.1017/S0962492921000027.</w:t>
      </w:r>
    </w:p>
    <w:p>
      <w:pPr>
        <w:pStyle w:val="FigureCaption"/>
        <w:rPr>
          <w:sz w:val="20"/>
          <w:szCs w:val="20"/>
        </w:rPr>
      </w:pPr>
      <w:r>
        <w:rPr>
          <w:rFonts w:ascii="Times-Roman" w:hAnsi="Times-Roman" w:cs="Times-Roman"/>
        </w:rPr>
        <w:fldChar w:fldCharType="end"/>
      </w:r>
    </w:p>
    <w:sectPr>
      <w:headerReference w:type="default" r:id="rId1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The lengthy derivation and explanation of the H-polarization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{"citationID":"AZMXkUGe","properties":{"formattedCitation":"[14]","plainCitation":"[14]","noteIndex":4},"citationItems":[{"id":3687,"uris":["http://zotero.org/users/10162777/items/9SZPDFWC"],"itemData":{"id":3687,"type":"report","collection-title":"MEng Final Portfolio","event-place":"DCU","publisher-place":"DCU","title":"Machine Learning Algorithms for EM Wave Scattering Problems, Appendix F: Source Code Listing","author":[{"family":"McElwee","given":"Anthony James"}],"issued":{"date-parts":[["2023"]]},"citation-key":"mcelweeMachineLearningAlgorithms2023b"}}],"schema":"https://github.com/citation-style-language/schema/raw/master/csl-citation.json"} </w:instrText>
      </w:r>
      <w:r>
        <w:fldChar w:fldCharType="separate"/>
      </w:r>
      <w:r>
        <w:t>[14]</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{"citationID":"kDzdzm4m","properties":{"formattedCitation":"[4]","plainCitation":"[4]","noteIndex":5},"citationItems":[{"id":3686,"uris":["http://zotero.org/users/10162777/items/U74K2KSC"],"itemData":{"id":3686,"type":"report","collection-title":"MEng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6">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{"citationID":"U5xaQjyi","properties":{"formattedCitation":"[20]","plainCitation":"[20]","noteIndex":6},"citationItems":[{"id":3688,"uris":["http://zotero.org/users/10162777/items/DWZBJTBR"],"itemData":{"id":3688,"type":"report","collection-title":"MEng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[20]</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13877</Words>
  <Characters>79100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1705</cp:revision>
  <cp:lastPrinted>2023-08-20T12:48:00Z</cp:lastPrinted>
  <dcterms:created xsi:type="dcterms:W3CDTF">2013-10-01T06:08:00Z</dcterms:created>
  <dcterms:modified xsi:type="dcterms:W3CDTF">2023-08-21T00:24:00Z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