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MEng Student, DCU</w:t>
      </w:r>
      <w:r>
        <w:rPr>
          <w:rStyle w:val="FootnoteReference"/>
          <w:i/>
          <w:iCs/>
          <w:sz w:val="24"/>
          <w:szCs w:val="24"/>
        </w:rPr>
        <w:footnoteReference w:id="1"/>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when combined with conventional methods.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records two simple tests of generalizability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defined ranges for the dielectric material properties of scatterers. Although input parameters are comparable across simulation incidences, conventional methods require full wave simulation and cannot be estimated with very low or high-frequency approximations. Generating large volumes of such simulations is considered uneconomical.</w:t>
      </w:r>
    </w:p>
    <w:p>
      <w:pPr>
        <w:pStyle w:val="Text"/>
      </w:pPr>
      <w:r>
        <w:t xml:space="preserve">The motivation of this paper is to report on the construction of an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Biconjugate Gradient Stabilized Method (BICGSTAB) to calculate solutions of contrast-source integral equations. This high performance code uses circular convolutions to accelerate multiplication steps via Fast Fourier Transforms. SolverEMF2 is then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3349625</wp:posOffset>
                </wp:positionH>
                <wp:positionV relativeFrom="margin">
                  <wp:posOffset>3288030</wp:posOffset>
                </wp:positionV>
                <wp:extent cx="1566545" cy="1733550"/>
                <wp:effectExtent l="0" t="0" r="0" b="0"/>
                <wp:wrapSquare wrapText="bothSides"/>
                <wp:docPr id="3" name="Text Box 5"/>
                <wp:cNvGraphicFramePr/>
                <a:graphic xmlns:a="http://schemas.openxmlformats.org/drawingml/2006/main">
                  <a:graphicData uri="http://schemas.microsoft.com/office/word/2010/wordprocessingShape">
                    <wps:wsp>
                      <wps:cNvSpPr/>
                      <wps:spPr>
                        <a:xfrm>
                          <a:off x="0" y="0"/>
                          <a:ext cx="1566545" cy="17335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75pt;margin-top:258.9pt;width:123.35pt;height:1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" o:allowincell="f" stroked="f" strokeweight="0">
                <v:textbox inset="0,0,0,0">
                  <w:txbxContent>
                    <w:p>
                      <w:pPr>
                        <w:pStyle w:val="FootnoteText"/>
                        <w:keepNext/>
                        <w:ind w:firstLine="0"/>
                        <w:jc w:val="left"/>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r>
                        <w:t xml:space="preserve">Figure </w:t>
                      </w:r>
                      <w:fldSimple w:instr=" SEQ Figure \* ARABIC ">
                        <w:r>
                          <w:rPr>
                            <w:noProof/>
                          </w:rPr>
                          <w:t>1</w:t>
                        </w:r>
                      </w:fldSimple>
                      <w:r>
                        <w:t>. Canonical Problem Diagram</w:t>
                      </w:r>
                    </w:p>
                  </w:txbxContent>
                </v:textbox>
                <w10:wrap type="square" anchorx="margin" anchory="margin"/>
              </v:rect>
            </w:pict>
          </mc:Fallback>
        </mc:AlternateContent>
      </w:r>
      <w:r>
        <w:t xml:space="preserve">The paper reports on the forward H-polarization vector problem, otherwise known as the Transverse Electric (TE) problem, solving for the electric field strength in a domain with two contrast scatterers, one inside the other.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As the task motivation is based around future medical developments, and the permeability of biological tissues can be considered roughly equal to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This is a permittivity, </w:t>
      </w:r>
      <m:oMath>
        <m:r>
          <w:rPr>
            <w:rFonts w:ascii="Cambria Math" w:hAnsi="Cambria Math"/>
          </w:rPr>
          <m:t>ε</m:t>
        </m:r>
      </m:oMath>
      <w:r>
        <w:t xml:space="preserve">, contrast only problem.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components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(3)</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As the scene assumes that there is an invariance in the permittivity contrast in the z-direction, the corresponding equation used to provide the basis to solve for the total electric field is as follows:</w:t>
      </w:r>
    </w:p>
    <w:p>
      <w:pPr>
        <w:rPr>
          <w:sz w:val="18"/>
          <w:szCs w:val="18"/>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j</m:t>
                  </m:r>
                </m:sub>
              </m:sSub>
            </m:e>
            <m:sup>
              <m:r>
                <w:rPr>
                  <w:rFonts w:ascii="Cambria Math" w:hAnsi="Cambria Math"/>
                </w:rPr>
                <m:t>inc</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E</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e>
                <m:sup>
                  <m:r>
                    <w:rPr>
                      <w:rFonts w:ascii="Cambria Math" w:hAnsi="Cambria Math"/>
                    </w:rPr>
                    <m:t>2</m:t>
                  </m:r>
                </m:sup>
              </m:sSup>
              <m:sSub>
                <m:sSubPr>
                  <m:ctrlPr>
                    <w:rPr>
                      <w:rFonts w:ascii="Cambria Math" w:hAnsi="Cambria Math"/>
                      <w:i/>
                    </w:rPr>
                  </m:ctrlPr>
                </m:sSubPr>
                <m:e>
                  <m:r>
                    <w:rPr>
                      <w:rFonts w:ascii="Cambria Math" w:hAnsi="Cambria Math"/>
                    </w:rPr>
                    <m:t>δ</m:t>
                  </m:r>
                </m:e>
                <m:sub>
                  <m:r>
                    <w:rPr>
                      <w:rFonts w:ascii="Cambria Math" w:hAnsi="Cambria Math"/>
                    </w:rPr>
                    <m:t>j, 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k</m:t>
                  </m:r>
                </m:sub>
              </m:sSub>
            </m:e>
          </m:d>
          <m:nary>
            <m:naryPr>
              <m:limLoc m:val="undOvr"/>
              <m:ctrlPr>
                <w:rPr>
                  <w:rFonts w:ascii="Cambria Math" w:hAnsi="Cambria Math"/>
                  <w:i/>
                </w:rPr>
              </m:ctrlPr>
            </m:naryPr>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sct</m:t>
                  </m:r>
                </m:sub>
              </m:sSub>
            </m:sub>
            <m:sup/>
            <m:e>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m:t>
                      </m:r>
                    </m:sup>
                  </m:sSup>
                </m:e>
              </m:d>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m:t>
                      </m:r>
                    </m:sup>
                  </m:sSup>
                </m:e>
              </m:d>
              <m:r>
                <w:rPr>
                  <w:rFonts w:ascii="Cambria Math" w:hAnsi="Cambria Math"/>
                </w:rPr>
                <m:t xml:space="preserve"> dA</m:t>
              </m:r>
            </m:e>
          </m:nary>
          <m:r>
            <w:rPr>
              <w:rFonts w:ascii="Cambria Math" w:hAnsi="Cambria Math"/>
            </w:rPr>
            <m:t xml:space="preserve">,  </m:t>
          </m:r>
          <m:d>
            <m:dPr>
              <m:ctrlPr>
                <w:rPr>
                  <w:rFonts w:ascii="Cambria Math" w:hAnsi="Cambria Math"/>
                  <w:i/>
                </w:rPr>
              </m:ctrlPr>
            </m:dPr>
            <m:e>
              <m:r>
                <w:rPr>
                  <w:rFonts w:ascii="Cambria Math" w:hAnsi="Cambria Math"/>
                </w:rPr>
                <m:t>4</m:t>
              </m:r>
            </m:e>
          </m:d>
        </m:oMath>
      </m:oMathPara>
    </w:p>
    <w:p>
      <w:r>
        <w:t xml:space="preserve">where the contrast is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scattered electric field components given by </w:t>
      </w:r>
    </w:p>
    <w:p>
      <w:pPr>
        <w:rPr>
          <w:sz w:val="16"/>
          <w:szCs w:val="16"/>
        </w:rPr>
      </w:pP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sct</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e>
        </m:d>
        <m:r>
          <w:rPr>
            <w:rFonts w:ascii="Cambria Math" w:hAnsi="Cambria Math"/>
            <w:sz w:val="16"/>
            <w:szCs w:val="16"/>
          </w:rPr>
          <m:t>=</m:t>
        </m:r>
        <m:nary>
          <m:naryPr>
            <m:limLoc m:val="subSup"/>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e>
                  <m:sup>
                    <m:r>
                      <w:rPr>
                        <w:rFonts w:ascii="Cambria Math" w:hAnsi="Cambria Math"/>
                        <w:sz w:val="16"/>
                        <w:szCs w:val="16"/>
                      </w:rPr>
                      <m:t>R</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sup>
                    <m:r>
                      <w:rPr>
                        <w:rFonts w:ascii="Cambria Math" w:hAnsi="Cambria Math"/>
                        <w:sz w:val="16"/>
                        <w:szCs w:val="16"/>
                      </w:rPr>
                      <m:t>R</m:t>
                    </m:r>
                  </m:sup>
                </m:sSup>
              </m:e>
            </m:d>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R</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e>
        </m:nary>
        <m:r>
          <w:rPr>
            <w:rFonts w:ascii="Cambria Math" w:hAnsi="Cambria Math"/>
            <w:sz w:val="16"/>
            <w:szCs w:val="16"/>
          </w:rPr>
          <m:t>dA</m:t>
        </m:r>
      </m:oMath>
      <w:r>
        <w:rPr>
          <w:sz w:val="16"/>
          <w:szCs w:val="16"/>
        </w:rPr>
        <w:t>.</w:t>
      </w:r>
    </w:p>
    <w:p>
      <w:pPr>
        <w:rPr>
          <w:smallCaps/>
          <w:kern w:val="2"/>
        </w:rPr>
      </w:pPr>
      <w:r>
        <w:t xml:space="preserve">The permittivity contrasts are frequency independent and assume only a real component with zero conductivity.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DENSE is useful not just for the meta stuff but because it anchors the use of emulators as sub-steps within larger simulations, they are used as approximating subcomponents [CHECK: is this stated?] whereas this project is trying to go beyond that usage of deep learning.</w:t>
      </w:r>
    </w:p>
    <w:p>
      <w:pPr>
        <w:pStyle w:val="Heading1"/>
        <w:numPr>
          <w:ilvl w:val="0"/>
          <w:numId w:val="2"/>
        </w:numPr>
      </w:pPr>
      <w:r>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conjunction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emanates from an extremely experienced researcher that is cited recurrently in other references consulted during the investigation of the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generate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convolutions. Through the use of a circulant matrix [CHECK: Include the matrix here if space allowed, see 1.64.], the multiplication steps required to solve the MoM linear system of N equations is simplified to a vector of 2*N components. The convolution is computed using Fast Fourier Transforms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oMath>
      <w:r>
        <w:t>.</w:t>
      </w:r>
    </w:p>
    <w:p>
      <w:pPr>
        <w:ind w:firstLine="202"/>
      </w:pPr>
      <w:r>
        <w:t xml:space="preserve">This MoM discretization, and the exploitation of the circulant properties of the operator functions, leads to the use of Iterative Krylov solvers to find a solution that minimizes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the Biconjugate Gradient Stabilized Method (BICGSTAB) solver is favored to solve these MoM electromagnetic scattering problems, with both texts reporting a significant reduction in iterations required to achieve threshold error criteria compared to other Iterative Krylov solvers. Through the use of these mathematical techniques, this high-performance Python code provides a defensible comparison, in terms of inference time, to any deep learning emulator model. The general final deep learning model prediction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generalizability of negative sample cases (DS2); minor single higher-contrast scatterer dataset for testing model generalizability to increased higher-contrast population (DS3). The input parameters for all simulations were the same except for the scatterer contrast values.</w:t>
      </w:r>
    </w:p>
    <w:p>
      <w:pPr>
        <w:ind w:firstLine="202"/>
      </w:pPr>
      <w:r>
        <w:lastRenderedPageBreak/>
        <w:t>The final generation of the scatterer geometry was kept minimal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visualizations.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rPr>
                <w:sz w:val="16"/>
                <w:szCs w:val="16"/>
              </w:rPr>
            </w:pPr>
            <w:r>
              <w:rPr>
                <w:noProof/>
                <w:sz w:val="16"/>
                <w:szCs w:val="16"/>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2</w:t>
            </w:r>
            <w:r>
              <w:rPr>
                <w:sz w:val="16"/>
                <w:szCs w:val="16"/>
              </w:rPr>
              <w:fldChar w:fldCharType="end"/>
            </w:r>
            <w:r>
              <w:rPr>
                <w:sz w:val="16"/>
                <w:szCs w:val="16"/>
              </w:rPr>
              <w:t>. DS1 geometry sample.</w:t>
            </w:r>
          </w:p>
        </w:tc>
        <w:tc>
          <w:tcPr>
            <w:tcW w:w="1734" w:type="dxa"/>
          </w:tcPr>
          <w:p>
            <w:pPr>
              <w:keepNext/>
              <w:jc w:val="center"/>
              <w:rPr>
                <w:sz w:val="16"/>
                <w:szCs w:val="16"/>
              </w:rPr>
            </w:pPr>
            <w:r>
              <w:rPr>
                <w:noProof/>
                <w:sz w:val="16"/>
                <w:szCs w:val="16"/>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3</w:t>
            </w:r>
            <w:r>
              <w:rPr>
                <w:sz w:val="16"/>
                <w:szCs w:val="16"/>
              </w:rPr>
              <w:fldChar w:fldCharType="end"/>
            </w:r>
            <w:r>
              <w:rPr>
                <w:sz w:val="16"/>
                <w:szCs w:val="16"/>
              </w:rPr>
              <w:t>. DS2 geometry sample.</w:t>
            </w:r>
          </w:p>
        </w:tc>
        <w:tc>
          <w:tcPr>
            <w:tcW w:w="1735" w:type="dxa"/>
          </w:tcPr>
          <w:p>
            <w:pPr>
              <w:keepNext/>
              <w:jc w:val="center"/>
              <w:rPr>
                <w:sz w:val="16"/>
                <w:szCs w:val="16"/>
              </w:rPr>
            </w:pPr>
            <w:r>
              <w:rPr>
                <w:noProof/>
                <w:sz w:val="16"/>
                <w:szCs w:val="16"/>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4</w:t>
            </w:r>
            <w:r>
              <w:rPr>
                <w:sz w:val="16"/>
                <w:szCs w:val="16"/>
              </w:rPr>
              <w:fldChar w:fldCharType="end"/>
            </w:r>
            <w:r>
              <w:rPr>
                <w:sz w:val="16"/>
                <w:szCs w:val="16"/>
              </w:rPr>
              <w:t>. DS3 geometry sample.</w:t>
            </w:r>
          </w:p>
        </w:tc>
      </w:tr>
    </w:tbl>
    <w:p>
      <w:pPr>
        <w:ind w:firstLine="202"/>
      </w:pPr>
      <w:r>
        <w:t xml:space="preserve">DS1 geometry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but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center point of the lower-contrast scatterer was allowed to be within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thus forming a vacuum void within, or piercing, the larger scatter. This is equivalent to generating negative cases where no secondary tissue exists in the simulation domain.</w:t>
      </w:r>
    </w:p>
    <w:p>
      <w:pPr>
        <w:ind w:firstLine="202"/>
      </w:pPr>
      <w:r>
        <w:t xml:space="preserve">DS3 has all contrasts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negative sample scenario which tests the ability of the model to generalise to larger higher-contrast populations not seen at training time.</w:t>
      </w:r>
    </w:p>
    <w:p>
      <w:pPr>
        <w:ind w:firstLine="202"/>
      </w:pPr>
      <w:r>
        <w:t xml:space="preserve">With carrier frequency at 10 MHz and the highest permittivity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w:t>
      </w:r>
      <w:r>
        <w:rPr>
          <w:rStyle w:val="FootnoteReference"/>
        </w:rPr>
        <w:footnoteReference w:id="5"/>
      </w:r>
      <w:r>
        <w:t>.</w:t>
      </w:r>
    </w:p>
    <w:p>
      <w:pPr>
        <w:ind w:firstLine="202"/>
      </w:pPr>
      <w:r>
        <w:t xml:space="preserve">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In order to initiate research in the general area, a much lower contrast value was chosen to allow for a large volume of samples to be generated in a shorter time frame. </w:t>
      </w:r>
    </w:p>
    <w:p>
      <w:pPr>
        <w:ind w:firstLine="202"/>
      </w:pPr>
      <w:r>
        <w:t>All iterative solver computations were carried out on a local laptop CPU i7-11800H @ 2.3 GHz using Python, in particular NumPy and SciPy libraries. DS1 samples took 1 seconds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fields by channel. The fields were as follows: the real component of the scatterer geometry; the incident E field in the x and y direction; the incident ZH field in the z direction; the two solved scattered E fields in the x and y directions.</w:t>
      </w:r>
    </w:p>
    <w:p>
      <w:pPr>
        <w:ind w:firstLine="202"/>
      </w:pPr>
      <w:r>
        <w:t>In addition, two extra files were saved separately to document the properties of the generated sample: a PNG file illustrating the contained scatter geometry; a separate NumPy file documenting the iteration count, residual error and iteration duration from the iterative solver call-back information. As Equation 4 is solving for the contrast-source, the predicted scattered fields need to be transformed back into the contrast source formulation though the use of the FFT accelerated operator equation at time of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jc w:val="center"/>
              <w:rPr>
                <w:sz w:val="16"/>
                <w:szCs w:val="16"/>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5</w:t>
            </w:r>
            <w:r>
              <w:rPr>
                <w:sz w:val="16"/>
                <w:szCs w:val="16"/>
              </w:rPr>
              <w:fldChar w:fldCharType="end"/>
            </w:r>
            <w:r>
              <w:rPr>
                <w:sz w:val="16"/>
                <w:szCs w:val="16"/>
              </w:rPr>
              <w:t>. Electric Field incident waves in x and y direction.</w:t>
            </w:r>
          </w:p>
        </w:tc>
      </w:tr>
    </w:tbl>
    <w:p>
      <w:pPr>
        <w:pStyle w:val="Heading2"/>
      </w:pPr>
      <w:r>
        <w:t>Train/Test/Split Approach</w:t>
      </w:r>
    </w:p>
    <w:p>
      <w:pPr>
        <w:ind w:firstLine="202"/>
      </w:pPr>
      <w:r>
        <w:t>The approach taken was to first establish if the model could emulate the conventional solutions. The data was saved in folders of 1000 samples. At the train/validate/test splitting stage, 20% of the 1000 samples were retained for testing (200) and 20% of the training data was retained for validation (160) leaving 640 samples for training. The base models were trained on 5000 samples.</w:t>
      </w:r>
    </w:p>
    <w:p>
      <w:pPr>
        <w:pStyle w:val="Heading2"/>
      </w:pPr>
      <w:r>
        <w:t xml:space="preserve"> Model Development</w:t>
      </w:r>
    </w:p>
    <w:p>
      <w:pPr>
        <w:ind w:firstLine="202"/>
      </w:pPr>
      <w:r>
        <w:t>All deep learning computations were carried out on a local laptop GeForce RTX 3070 GPU using TensorFlow and Keras Python libraries.</w:t>
      </w:r>
    </w:p>
    <w:p>
      <w:pPr>
        <w:ind w:firstLine="202"/>
      </w:pPr>
      <w:r>
        <w:t>The training inputs were the scatter geometry as a single channel, followed by the real, imaginary and absolute values of the complex incident wave of relevant axis bringing the total input channel count to four</w:t>
      </w:r>
      <w:r>
        <w:rPr>
          <w:rStyle w:val="FootnoteReference"/>
        </w:rPr>
        <w:footnoteReference w:id="6"/>
      </w:r>
      <w:r>
        <w:t xml:space="preserve">. The outputs were the real and imaginary components of the electric field in the axis of interest bringing the output count to two channels. This resulted in a requirement to train two models, one for each axis, in order to provide a full-dimensional, initial guess to the SolverEMF2 workflow. A key step in the pre-processing of the data was that the target arrays were standardized to a range of [0, 1]. This allows the model to train far faster. In </w:t>
      </w:r>
      <w:r>
        <w:lastRenderedPageBreak/>
        <w:t>order to provide the predictions as inputs in SolverEMF2, the process is reversed at the provision of initial guess time. The information required to perform this standardization can be estimated from a  small group of sample solutions making it a robust and simple way to accelerate the training process</w:t>
      </w:r>
      <w:r>
        <w:rPr>
          <w:rStyle w:val="FootnoteReference"/>
        </w:rPr>
        <w:footnoteReference w:id="7"/>
      </w:r>
      <w:r>
        <w:t>.</w:t>
      </w:r>
    </w:p>
    <w:p>
      <w:pPr>
        <w:pStyle w:val="Heading3"/>
      </w:pPr>
      <w:r>
        <w:t>Model Architecture</w:t>
      </w:r>
    </w:p>
    <w:p>
      <w:pPr>
        <w:ind w:firstLine="202"/>
      </w:pPr>
      <w:r>
        <w:t xml:space="preserve">The models were fitted using a 54 layer U-net type architecture [CHECK: tie back to Section II].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normalization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 xml:space="preserve">Upsampling layers were tried but they led to stronger grid-like lines on the output predictions. Transposed convolution layers also have more trainable parameters which increases the model capacity for handling complexity. </w:t>
      </w:r>
      <w:r>
        <w:t xml:space="preserve">This is followed by a convolution layer to increase the model complexity. </w:t>
      </w:r>
      <w:r>
        <w:rPr>
          <w:noProof/>
          <w:lang w:val="en-GB"/>
        </w:rPr>
        <w:t>A seeded Dropout layer with a small parameter value was included after the first stage of the decoder to increase 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not implemented due to a degradation in the initial residual error metrics.</w:t>
      </w:r>
    </w:p>
    <w:p>
      <w:pPr>
        <w:ind w:firstLine="202"/>
        <w:rPr>
          <w:noProof/>
          <w:lang w:val="en-GB"/>
        </w:rPr>
      </w:pPr>
      <w:r>
        <w:rPr>
          <w:noProof/>
          <w:lang w:val="en-GB"/>
        </w:rPr>
        <w:t>At the penultimate stage of the decoder, two linear convolution layers with kernal size (3, 3) were included in the model. As there is a certain smoothness quality to the predicted fields, these layers are included with the aim of blurring the output, reducing speckling that appeared in earlier predicted plots.</w:t>
      </w:r>
    </w:p>
    <w:p>
      <w:pPr>
        <w:ind w:firstLine="202"/>
        <w:rPr>
          <w:lang w:val="en-GB"/>
        </w:rPr>
      </w:pPr>
      <w:r>
        <w:rPr>
          <w:noProof/>
          <w:lang w:val="en-GB"/>
        </w:rPr>
        <w:t>The Adam optimizer was used when fitting the model and the Keras Mean_Squared_Logarithmic_Error function was used as the loss function. [CHECK: include equation?]</w:t>
      </w:r>
      <w:r>
        <w:rPr>
          <w:lang w:val="en-GB"/>
        </w:rPr>
        <w:t xml:space="preserve">. </w:t>
      </w:r>
      <w:r>
        <w:t>The model training times were both roughly 20 minutes which is to be expected as the same model architecture was used in both instances.</w:t>
      </w:r>
    </w:p>
    <w:p>
      <w:pPr>
        <w:pStyle w:val="Text"/>
        <w:jc w:val="left"/>
        <w:rPr>
          <w:b/>
          <w:bCs/>
          <w:u w:val="single"/>
        </w:rPr>
      </w:pPr>
      <w:r>
        <w:rPr>
          <w:lang w:val="en-GB"/>
        </w:rPr>
        <w:t>The use of augmentations in the training data was avoided since medical applications require pre-designated incident wave directions. Re-orientating the incident fields would not increase model generalisability in the path of interest. With the exception of horizontal mirroring, data augmentation would not reduce the required number of generated samples. While it would shrink the possible permutations in the scene configuration space, this would increase the probability of duplicates arising from the symmetry in scenes between the training/test/validation sets over the different folder sessions.</w:t>
      </w:r>
    </w:p>
    <w:p>
      <w:pPr>
        <w:pStyle w:val="Heading1"/>
        <w:numPr>
          <w:ilvl w:val="0"/>
          <w:numId w:val="2"/>
        </w:numPr>
      </w:pPr>
      <w:r>
        <w:t>Results</w:t>
      </w:r>
    </w:p>
    <w:p>
      <w:pPr>
        <w:pStyle w:val="Heading2"/>
      </w:pPr>
      <w:r>
        <w:t xml:space="preserve"> Model Training Loss Curves</w:t>
      </w:r>
    </w:p>
    <w:p>
      <w:pPr>
        <w:ind w:firstLine="202"/>
        <w:rPr>
          <w:lang w:val="en-GB"/>
        </w:rPr>
      </w:pPr>
      <w:r>
        <w:t xml:space="preserve">As depicted in Figure 6, the training loss curve features an extremely abrupt initial decrease followed by a slowly declining plateau. These curves are comparable to loss curves reported in </w:t>
      </w:r>
      <w:r>
        <w:fldChar w:fldCharType="begin"/>
      </w:r>
      <w:r>
        <w:instrText xml:space="preserve"> ADDIN ZOTERO_ITEM CSL_CITATION {"citationID":"hVTr8ljW","properties":{"formattedCitation":"[7], [8]","plainCitation":"[7], [8]","noteIndex":0},"citationItems":[{"id":3683,"uris":["http://zotero.org/users/10162777/items/ZSFT8REI"],"itemData":{"id":3683,"type":"article-journal","abstract":"For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SolvingFredholmIntegral2022"}}],"schema":"https://github.com/citation-style-language/schema/raw/master/csl-citation.json"} </w:instrText>
      </w:r>
      <w:r>
        <w:fldChar w:fldCharType="separate"/>
      </w:r>
      <w:r>
        <w:t>[7], [8]</w:t>
      </w:r>
      <w:r>
        <w:fldChar w:fldCharType="end"/>
      </w:r>
      <w:r>
        <w:t xml:space="preserve">. The loss values are so small that it was required to plot the curves on a logarithmic scale. Both the training and validation curves track each other tightly until the final training session when the training curve starts fluctuating rapidly, albeit with small magnitude. This is an indication that the model has started to overfit the training data. </w:t>
      </w:r>
      <w:r>
        <w:rPr>
          <w:lang w:val="en-GB"/>
        </w:rPr>
        <w:t>The spikes that occur at the loading of fresh training data indicate there may be possible issues in the model design.</w:t>
      </w:r>
      <w:r>
        <w:t xml:space="preserve"> The difficulty of predicting the y-dimension, E2, is more apparent since the incident dipole wave has greater variation compared to the x-dimension co-ordinate</w:t>
      </w:r>
      <w:r>
        <w:rPr>
          <w:lang w:val="en-GB"/>
        </w:rPr>
        <w:t>.</w:t>
      </w:r>
    </w:p>
    <w:p>
      <w:pPr>
        <w:ind w:firstLine="202"/>
        <w:rPr>
          <w:sz w:val="8"/>
          <w:szCs w:val="8"/>
          <w:lang w:val="en-GB"/>
        </w:rPr>
      </w:pPr>
    </w:p>
    <w:tbl>
      <w:tblPr>
        <w:tblStyle w:val="TableGrid"/>
        <w:tblW w:w="0" w:type="auto"/>
        <w:tblLook w:val="04A0" w:firstRow="1" w:lastRow="0" w:firstColumn="1" w:lastColumn="0" w:noHBand="0" w:noVBand="1"/>
      </w:tblPr>
      <w:tblGrid>
        <w:gridCol w:w="5203"/>
      </w:tblGrid>
      <w:tr>
        <w:tc>
          <w:tcPr>
            <w:tcW w:w="5203" w:type="dxa"/>
            <w:tcBorders>
              <w:top w:val="nil"/>
              <w:left w:val="nil"/>
              <w:bottom w:val="nil"/>
              <w:right w:val="nil"/>
            </w:tcBorders>
          </w:tcPr>
          <w:p>
            <w:pPr>
              <w:keepNext/>
              <w:jc w:val="center"/>
            </w:pPr>
            <w:r>
              <w:rPr>
                <w:noProof/>
              </w:rPr>
              <w:drawing>
                <wp:inline distT="0" distB="0" distL="0" distR="0">
                  <wp:extent cx="2519362" cy="1619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6</w:t>
            </w:r>
            <w:r>
              <w:rPr>
                <w:i/>
                <w:iCs/>
              </w:rPr>
              <w:fldChar w:fldCharType="end"/>
            </w:r>
            <w:r>
              <w:rPr>
                <w:i/>
                <w:iCs/>
              </w:rPr>
              <w:t>. Training history of the E1 component of Prescient2DL. The E2 component sufferers from even greater spikes at each training data loading stage.</w:t>
            </w:r>
          </w:p>
        </w:tc>
      </w:tr>
    </w:tbl>
    <w:p>
      <w:pPr>
        <w:ind w:firstLine="202"/>
        <w:rPr>
          <w:sz w:val="6"/>
          <w:szCs w:val="6"/>
          <w:lang w:val="en-GB"/>
        </w:rPr>
      </w:pPr>
    </w:p>
    <w:p>
      <w:pPr>
        <w:ind w:firstLine="202"/>
        <w:rPr>
          <w:lang w:val="en-GB"/>
        </w:rPr>
      </w:pPr>
      <w:r>
        <w:rPr>
          <w:lang w:val="en-GB"/>
        </w:rPr>
        <w:t xml:space="preserve">While it may appear that training could be terminated after the first session, the model is only achieving visually comparable predictions between epoch 300 and 400, as depicted in Figure 6. The final learning rate frequently reduced to the order of magnitude reflected in Table 2. </w:t>
      </w:r>
    </w:p>
    <w:p>
      <w:pPr>
        <w:pStyle w:val="Heading2"/>
      </w:pPr>
      <w:r>
        <w:t>Model Performance</w:t>
      </w:r>
    </w:p>
    <w:p>
      <w:pPr>
        <w:ind w:firstLine="202"/>
      </w:pPr>
      <w:r>
        <w:rPr>
          <w:lang w:val="en-GB"/>
        </w:rPr>
        <w:t>There is a strong visual similarity between the predicted fields and the fully solved fields, as displayed in Figure 7.</w:t>
      </w:r>
    </w:p>
    <w:p>
      <w:pPr>
        <w:ind w:firstLine="202"/>
        <w:rPr>
          <w:sz w:val="4"/>
          <w:szCs w:val="4"/>
          <w:lang w:val="en-GB"/>
        </w:rPr>
      </w:pPr>
    </w:p>
    <w:tbl>
      <w:tblPr>
        <w:tblStyle w:val="TableGrid"/>
        <w:tblW w:w="5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tblGrid>
      <w:tr>
        <w:trPr>
          <w:trHeight w:val="1705"/>
        </w:trPr>
        <w:tc>
          <w:tcPr>
            <w:tcW w:w="5449"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0"/>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0"/>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0"/>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0"/>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0"/>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Final folder model scores and terminal learning rate.</w:t>
            </w:r>
          </w:p>
        </w:tc>
      </w:tr>
    </w:tbl>
    <w:p>
      <w:pPr>
        <w:ind w:firstLine="202"/>
        <w:rPr>
          <w:lang w:val="en-GB"/>
        </w:rPr>
      </w:pPr>
      <w:r>
        <w:rPr>
          <w:lang w:val="en-GB"/>
        </w:rPr>
        <w:t>The Mean Squared Error column reported in Table 2 shows that, if treated as an emulator, Prescient2DL achieves a strong degree of similarity to the fully solved Iterative Krylov solution. The divergence and rotational components of the fields are both being captured by the model and this is evidenced in the plot of the absolute difference in Figure 7.</w:t>
      </w:r>
    </w:p>
    <w:p>
      <w:pPr>
        <w:ind w:firstLine="202"/>
        <w:rPr>
          <w:lang w:val="en-GB"/>
        </w:rPr>
      </w:pPr>
      <w:r>
        <w:rPr>
          <w:lang w:val="en-GB"/>
        </w:rPr>
        <w:t>Table 3 provides descriptive statistics for each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object w:dxaOrig="15192" w:dyaOrig="1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15pt;height:190.9pt" o:ole="">
                  <v:imagedata r:id="rId14" o:title=""/>
                </v:shape>
                <o:OLEObject Type="Embed" ProgID="PBrush" ShapeID="_x0000_i1025" DrawAspect="Content" ObjectID="_1754070156" r:id="rId15"/>
              </w:object>
            </w:r>
          </w:p>
          <w:p>
            <w:pPr>
              <w:pStyle w:val="Caption"/>
              <w:jc w:val="center"/>
              <w:rPr>
                <w:lang w:val="en-GB"/>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E2 model final prediction on DS1.</w:t>
            </w:r>
          </w:p>
        </w:tc>
      </w:tr>
    </w:tbl>
    <w:tbl>
      <w:tblPr>
        <w:tblW w:w="4132" w:type="dxa"/>
        <w:jc w:val="center"/>
        <w:tblLook w:val="04A0" w:firstRow="1" w:lastRow="0" w:firstColumn="1" w:lastColumn="0" w:noHBand="0" w:noVBand="1"/>
      </w:tblPr>
      <w:tblGrid>
        <w:gridCol w:w="1586"/>
        <w:gridCol w:w="509"/>
        <w:gridCol w:w="1032"/>
        <w:gridCol w:w="1005"/>
      </w:tblGrid>
      <w:tr>
        <w:trPr>
          <w:trHeight w:val="20"/>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20"/>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2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20"/>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0"/>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2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keepNext/>
              <w:suppressAutoHyphens w:val="0"/>
              <w:jc w:val="right"/>
              <w:rPr>
                <w:color w:val="000000"/>
                <w:sz w:val="18"/>
                <w:szCs w:val="18"/>
              </w:rPr>
            </w:pPr>
            <w:r>
              <w:rPr>
                <w:color w:val="000000"/>
                <w:sz w:val="18"/>
                <w:szCs w:val="18"/>
              </w:rPr>
              <w:t>0.011</w:t>
            </w:r>
          </w:p>
        </w:tc>
      </w:tr>
    </w:tbl>
    <w:p>
      <w:pPr>
        <w:pStyle w:val="Caption"/>
        <w:jc w:val="center"/>
        <w:rPr>
          <w:sz w:val="18"/>
          <w:szCs w:val="18"/>
        </w:rPr>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3</w:t>
      </w:r>
      <w:r>
        <w:rPr>
          <w:sz w:val="18"/>
          <w:szCs w:val="18"/>
        </w:rPr>
        <w:fldChar w:fldCharType="end"/>
      </w:r>
      <w:r>
        <w:rPr>
          <w:sz w:val="18"/>
          <w:szCs w:val="18"/>
        </w:rPr>
        <w:t xml:space="preserve">. Descriptive Statistics of Testing Datasets. </w:t>
      </w:r>
      <w:r>
        <w:rPr>
          <w:sz w:val="18"/>
          <w:szCs w:val="18"/>
          <w:lang w:val="en-GB"/>
        </w:rPr>
        <w:t>“o” corresponds to the naïve guess while “m” gives model-assisted information.</w:t>
      </w:r>
    </w:p>
    <w:p>
      <w:pPr>
        <w:ind w:firstLine="202"/>
      </w:pPr>
      <w:r>
        <w:t>Results indicate that the model generalizes well on DS2. For the generalizability test on DS3, it is evident that the visual resemblance between the predicted fields and the actual fields has broken down, as depicted in Figure 8.</w:t>
      </w:r>
    </w:p>
    <w:p>
      <w:pPr>
        <w:ind w:firstLine="202"/>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6"/>
      </w:tblGrid>
      <w:tr>
        <w:trPr>
          <w:trHeight w:val="3414"/>
        </w:trPr>
        <w:tc>
          <w:tcPr>
            <w:tcW w:w="5196"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8</w:t>
            </w:r>
            <w:r>
              <w:rPr>
                <w:sz w:val="20"/>
                <w:szCs w:val="20"/>
              </w:rPr>
              <w:fldChar w:fldCharType="end"/>
            </w:r>
            <w:r>
              <w:rPr>
                <w:sz w:val="20"/>
                <w:szCs w:val="20"/>
              </w:rPr>
              <w:t>. E1 model final prediction on DS3.</w:t>
            </w:r>
          </w:p>
        </w:tc>
      </w:tr>
    </w:tbl>
    <w:p>
      <w:pPr>
        <w:ind w:firstLine="202"/>
        <w:rPr>
          <w:kern w:val="2"/>
        </w:rPr>
      </w:pPr>
      <w:r>
        <w:t xml:space="preserve">Commentary on </w:t>
      </w:r>
      <w:r>
        <w:rPr>
          <w:lang w:val="en-GB"/>
        </w:rPr>
        <w:t xml:space="preserve">training issues and a </w:t>
      </w:r>
      <w:r>
        <w:t xml:space="preserve">more exhaustive description of the predictive results are available in </w:t>
      </w:r>
      <w:r>
        <w:fldChar w:fldCharType="begin"/>
      </w:r>
      <w:r>
        <w:instrText xml:space="preserve"> ADDIN ZOTERO_ITEM CSL_CITATION {"citationID":"NW58cd5e","properties":{"formattedCitation":"[9]","plainCitation":"[9]","noteIndex":0},"citationItems":[{"id":3688,"uris":["http://zotero.org/users/10162777/items/DWZBJTBR"],"itemData":{"id":3688,"type":"report","collection-title":"MEng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p>
      <w:pPr>
        <w:pStyle w:val="Heading1"/>
        <w:numPr>
          <w:ilvl w:val="0"/>
          <w:numId w:val="2"/>
        </w:numPr>
      </w:pPr>
      <w:r>
        <w:t>Analysis</w:t>
      </w:r>
      <w:r>
        <w:rPr>
          <w:rStyle w:val="FootnoteReference"/>
        </w:rPr>
        <w:footnoteReference w:id="8"/>
      </w:r>
    </w:p>
    <w:p>
      <w:pPr>
        <w:ind w:firstLine="202"/>
      </w:pPr>
      <w:r>
        <w:t>As established in Section IV, Prescient2DL emulates the scenarios of DS1 from both a visual and mean squared error perspective. However, the paper sought to provide experimental data to enable the testing of its impact upon SolverEMF2. Table 3 outlines the statistical results.</w:t>
      </w:r>
    </w:p>
    <w:p>
      <w:pPr>
        <w:rPr>
          <w:sz w:val="6"/>
          <w:szCs w:val="6"/>
        </w:rPr>
      </w:pPr>
    </w:p>
    <w:tbl>
      <w:tblPr>
        <w:tblW w:w="4490" w:type="dxa"/>
        <w:jc w:val="center"/>
        <w:tblLook w:val="04A0" w:firstRow="1" w:lastRow="0" w:firstColumn="1" w:lastColumn="0" w:noHBand="0" w:noVBand="1"/>
      </w:tblPr>
      <w:tblGrid>
        <w:gridCol w:w="501"/>
        <w:gridCol w:w="1174"/>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 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 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noProof/>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3</w:t>
      </w:r>
      <w:r>
        <w:rPr>
          <w:sz w:val="20"/>
          <w:szCs w:val="20"/>
        </w:rPr>
        <w:fldChar w:fldCharType="end"/>
      </w:r>
      <w:r>
        <w:rPr>
          <w:sz w:val="20"/>
          <w:szCs w:val="20"/>
        </w:rPr>
        <w:t>. Paired Samples T-Test</w:t>
      </w:r>
      <w:r>
        <w:rPr>
          <w:noProof/>
          <w:sz w:val="20"/>
          <w:szCs w:val="20"/>
        </w:rPr>
        <w:t>s comparing naive to model-assisted performance.</w:t>
      </w:r>
    </w:p>
    <w:p>
      <w:pPr>
        <w:pStyle w:val="Heading2"/>
        <w:rPr>
          <w:lang w:val="en-GB"/>
        </w:rPr>
      </w:pPr>
      <w:r>
        <w:rPr>
          <w:lang w:val="en-GB"/>
        </w:rPr>
        <w:t>Research Test 01 – Initial Solution Conveyance t-Test</w:t>
      </w:r>
    </w:p>
    <w:p>
      <w:pPr>
        <w:jc w:val="center"/>
        <w:rPr>
          <w:lang w:val="en-GB"/>
        </w:rPr>
      </w:pPr>
      <w:r>
        <w:rPr>
          <w:i/>
          <w:iCs/>
          <w:lang w:val="en-GB"/>
        </w:rPr>
        <w:t>“Null Hypothesis H</w:t>
      </w:r>
      <w:r>
        <w:rPr>
          <w:i/>
          <w:iCs/>
          <w:vertAlign w:val="subscript"/>
          <w:lang w:val="en-GB"/>
        </w:rPr>
        <w:t>0</w:t>
      </w:r>
      <w:r>
        <w:rPr>
          <w:i/>
          <w:iCs/>
          <w:lang w:val="en-GB"/>
        </w:rPr>
        <w:t>: The initial error (Residual Norm) in the Krylov Iterative Metrics in SolverEMF2 is the same as for the non-DL assisted conventional solver. Alternative Hypothesis H</w:t>
      </w:r>
      <w:r>
        <w:rPr>
          <w:i/>
          <w:iCs/>
          <w:vertAlign w:val="subscript"/>
          <w:lang w:val="en-GB"/>
        </w:rPr>
        <w:t>A</w:t>
      </w:r>
      <w:r>
        <w:rPr>
          <w:i/>
          <w:iCs/>
          <w:lang w:val="en-GB"/>
        </w:rPr>
        <w:t xml:space="preserve">: The initial error (Residual Norm) in the Krylov Iterative Metrics in SolverEMF2 is lower than the non-DL assisted conventional solver” </w:t>
      </w:r>
      <w:r>
        <w:rPr>
          <w:i/>
          <w:iCs/>
          <w:lang w:val="en-GB"/>
        </w:rPr>
        <w:fldChar w:fldCharType="begin"/>
      </w:r>
      <w:r>
        <w:rPr>
          <w:i/>
          <w:iCs/>
          <w:lang w:val="en-GB"/>
        </w:rPr>
        <w:instrText xml:space="preserve"> ADDIN ZOTERO_ITEM CSL_CITATION {"citationID":"bnRV2JnI","properties":{"formattedCitation":"[10]","plainCitation":"[10]","noteIndex":0},"citationItems":[{"id":3692,"uris":["http://zotero.org/users/10162777/items/2UCXHHSB"],"itemData":{"id":3692,"type":"report","collection-title":"MEng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r>
        <w:t>For all three test sets, Prescient2DL is able to lower the initial error of SolverEMF2 in a statistically significant manner. The null hypothesis is rejected. In DS1, the initial error is lowered to 18% of that provided by the naïve guess.</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199" cy="2147477"/>
                          </a:xfrm>
                          <a:prstGeom prst="rect">
                            <a:avLst/>
                          </a:prstGeom>
                        </pic:spPr>
                      </pic:pic>
                    </a:graphicData>
                  </a:graphic>
                </wp:inline>
              </w:drawing>
            </w:r>
          </w:p>
          <w:p>
            <w:pPr>
              <w:jc w:val="center"/>
              <w:rPr>
                <w:i/>
                <w:iCs/>
              </w:rPr>
            </w:pPr>
            <w:r>
              <w:rPr>
                <w:i/>
                <w:iCs/>
              </w:rPr>
              <w:t xml:space="preserve">Figure </w:t>
            </w:r>
            <w:r>
              <w:rPr>
                <w:i/>
                <w:iCs/>
              </w:rPr>
              <w:fldChar w:fldCharType="begin"/>
            </w:r>
            <w:r>
              <w:rPr>
                <w:i/>
                <w:iCs/>
              </w:rPr>
              <w:instrText xml:space="preserve"> SEQ Figure \* ARABIC </w:instrText>
            </w:r>
            <w:r>
              <w:rPr>
                <w:i/>
                <w:iCs/>
              </w:rPr>
              <w:fldChar w:fldCharType="separate"/>
            </w:r>
            <w:r>
              <w:rPr>
                <w:i/>
                <w:iCs/>
                <w:noProof/>
              </w:rPr>
              <w:t>9</w:t>
            </w:r>
            <w:r>
              <w:rPr>
                <w:i/>
                <w:iCs/>
                <w:noProof/>
              </w:rPr>
              <w:fldChar w:fldCharType="end"/>
            </w:r>
            <w:r>
              <w:rPr>
                <w:i/>
                <w:iCs/>
              </w:rPr>
              <w:t>. Raincloud plot</w:t>
            </w:r>
            <w:r>
              <w:rPr>
                <w:i/>
                <w:iCs/>
                <w:noProof/>
              </w:rPr>
              <w:t xml:space="preserve"> of initial error comparison in DS1.</w:t>
            </w:r>
          </w:p>
        </w:tc>
      </w:tr>
    </w:tbl>
    <w:p/>
    <w:p>
      <w:pPr>
        <w:pStyle w:val="Heading2"/>
        <w:rPr>
          <w:lang w:val="en-GB"/>
        </w:rPr>
      </w:pPr>
      <w:r>
        <w:rPr>
          <w:lang w:val="en-GB"/>
        </w:rPr>
        <w:t>Research Test 02 – Initial Solution Convergence t-Test</w:t>
      </w:r>
    </w:p>
    <w:p>
      <w:pPr>
        <w:jc w:val="center"/>
        <w:rPr>
          <w:lang w:val="en-GB"/>
        </w:rPr>
      </w:pPr>
      <w:r>
        <w:rPr>
          <w:i/>
          <w:iCs/>
          <w:lang w:val="en-GB"/>
        </w:rPr>
        <w:t>“Null Hypothesis H</w:t>
      </w:r>
      <w:r>
        <w:rPr>
          <w:i/>
          <w:iCs/>
          <w:vertAlign w:val="subscript"/>
          <w:lang w:val="en-GB"/>
        </w:rPr>
        <w:t>0</w:t>
      </w:r>
      <w:r>
        <w:rPr>
          <w:i/>
          <w:iCs/>
          <w:lang w:val="en-GB"/>
        </w:rPr>
        <w:t>: A linear approximation of the slope of the curve for plot Residual Norm versus Iteration Count, labelled as convergence rate, in the Krylov Iterative Metrics for SolverEMF2 is the same as for the non-DL assisted conventional solver. Alternative Hypothesis H</w:t>
      </w:r>
      <w:r>
        <w:rPr>
          <w:i/>
          <w:iCs/>
          <w:vertAlign w:val="subscript"/>
          <w:lang w:val="en-GB"/>
        </w:rPr>
        <w:t>A</w:t>
      </w:r>
      <w:r>
        <w:rPr>
          <w:i/>
          <w:iCs/>
          <w:lang w:val="en-GB"/>
        </w:rPr>
        <w:t xml:space="preserve">: A linear approximation of the slope of the curve for plot Residual Norm versus Iteration Count, labelled as convergence rate, in </w:t>
      </w:r>
      <w:r>
        <w:rPr>
          <w:i/>
          <w:iCs/>
          <w:lang w:val="en-GB"/>
        </w:rPr>
        <w:lastRenderedPageBreak/>
        <w:t xml:space="preserve">the Krylov Iterative Metrics for SolverEMF2 is the not equal to the non-DL assisted conventional solver” </w:t>
      </w:r>
      <w:r>
        <w:rPr>
          <w:i/>
          <w:iCs/>
          <w:lang w:val="en-GB"/>
        </w:rPr>
        <w:fldChar w:fldCharType="begin"/>
      </w:r>
      <w:r>
        <w:rPr>
          <w:i/>
          <w:iCs/>
          <w:lang w:val="en-GB"/>
        </w:rPr>
        <w:instrText xml:space="preserve"> ADDIN ZOTERO_ITEM CSL_CITATION {"citationID":"NcHUUPrf","properties":{"formattedCitation":"[10]","plainCitation":"[10]","noteIndex":0},"citationItems":[{"id":3692,"uris":["http://zotero.org/users/10162777/items/2UCXHHSB"],"itemData":{"id":3692,"type":"report","collection-title":"MEng Final Portfolio","title":"Appendix B: Project Design Plan","author":[{"family":"McElwee","given":"Anthony James"}],"issued":{"date-parts":[["2023",8]]},"citation-key":"mcelweeAppendixProjectDesign2023a"}}],"schema":"https://github.com/citation-style-language/schema/raw/master/csl-citation.json"} </w:instrText>
      </w:r>
      <w:r>
        <w:rPr>
          <w:i/>
          <w:iCs/>
          <w:lang w:val="en-GB"/>
        </w:rPr>
        <w:fldChar w:fldCharType="separate"/>
      </w:r>
      <w:r>
        <w:t>[10]</w:t>
      </w:r>
      <w:r>
        <w:rPr>
          <w:i/>
          <w:iCs/>
          <w:lang w:val="en-GB"/>
        </w:rPr>
        <w:fldChar w:fldCharType="end"/>
      </w:r>
      <w:r>
        <w:rPr>
          <w:lang w:val="en-GB"/>
        </w:rPr>
        <w:t>.</w:t>
      </w:r>
    </w:p>
    <w:p>
      <w:pPr>
        <w:ind w:firstLine="202"/>
        <w:rPr>
          <w:noProof/>
        </w:rPr>
      </w:pPr>
      <w:r>
        <w:rPr>
          <w:noProof/>
        </w:rPr>
        <w:t>Again, there is a difference in the mean between the iteration count of naïve and Prescient2DL informed solutions in DS1 and DS2. For DS3, there is no evidence to show a reduction and so the null fails to be rejected.</w:t>
      </w:r>
    </w:p>
    <w:p>
      <w:pPr>
        <w:pStyle w:val="Heading2"/>
        <w:rPr>
          <w:lang w:val="en-GB"/>
        </w:rPr>
      </w:pPr>
      <w:r>
        <w:rPr>
          <w:lang w:val="en-GB"/>
        </w:rPr>
        <w:t>Wider Analysis &amp; Impact Requirements</w:t>
      </w:r>
    </w:p>
    <w:p>
      <w:pPr>
        <w:ind w:firstLine="202"/>
      </w:pPr>
      <w:r>
        <w:rPr>
          <w:noProof/>
        </w:rPr>
        <w:t xml:space="preserve">Prescient2DL is able to generalise to DS2 without too much of a degradation in terms of lowering the initial error but struggles on DS3. Overall, although the initial error in the model-assisted approach is lower and more consistant then the naive approach, it is not low enough to impact SolverEMF2. Indeed, the difference in iteration count for DS1is roughly only half of one iteration. The descriptive statistics in Section IV and the statistical analysis indicate that Prescient2DL does not accelerate SolverEMF2 in generating solutions. A subset of the information gathered during a sample run is captured in Table 4. </w:t>
      </w:r>
      <w:r>
        <w:t>If the current tests and results show low mean squared error but an immaterial impact upon SolverEMF2, how would results that actually achieve MoM solution acceleration manifest in this problem formulation?</w:t>
      </w:r>
    </w:p>
    <w:p>
      <w:pPr>
        <w:ind w:firstLine="202"/>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80"/>
        <w:gridCol w:w="1520"/>
      </w:tblGrid>
      <w:tr>
        <w:trPr>
          <w:trHeight w:val="20"/>
          <w:jc w:val="center"/>
        </w:trPr>
        <w:tc>
          <w:tcPr>
            <w:tcW w:w="1240" w:type="dxa"/>
            <w:shd w:val="clear" w:color="auto" w:fill="auto"/>
            <w:noWrap/>
            <w:vAlign w:val="center"/>
            <w:hideMark/>
          </w:tcPr>
          <w:p>
            <w:pPr>
              <w:suppressAutoHyphens w:val="0"/>
              <w:jc w:val="center"/>
              <w:rPr>
                <w:b/>
                <w:bCs/>
                <w:color w:val="000000"/>
              </w:rPr>
            </w:pPr>
            <w:r>
              <w:rPr>
                <w:b/>
                <w:bCs/>
                <w:color w:val="000000"/>
              </w:rPr>
              <w:t>Sample 5101</w:t>
            </w:r>
          </w:p>
        </w:tc>
        <w:tc>
          <w:tcPr>
            <w:tcW w:w="1380" w:type="dxa"/>
            <w:shd w:val="clear" w:color="auto" w:fill="auto"/>
            <w:vAlign w:val="center"/>
            <w:hideMark/>
          </w:tcPr>
          <w:p>
            <w:pPr>
              <w:suppressAutoHyphens w:val="0"/>
              <w:jc w:val="center"/>
              <w:rPr>
                <w:b/>
                <w:bCs/>
                <w:color w:val="000000"/>
              </w:rPr>
            </w:pPr>
            <w:r>
              <w:rPr>
                <w:b/>
                <w:bCs/>
                <w:color w:val="000000"/>
              </w:rPr>
              <w:t>Naïve</w:t>
            </w:r>
            <w:r>
              <w:rPr>
                <w:b/>
                <w:bCs/>
                <w:color w:val="000000"/>
              </w:rPr>
              <w:br/>
              <w:t>Original Run</w:t>
            </w:r>
          </w:p>
        </w:tc>
        <w:tc>
          <w:tcPr>
            <w:tcW w:w="1520" w:type="dxa"/>
            <w:shd w:val="clear" w:color="auto" w:fill="auto"/>
            <w:vAlign w:val="center"/>
            <w:hideMark/>
          </w:tcPr>
          <w:p>
            <w:pPr>
              <w:suppressAutoHyphens w:val="0"/>
              <w:jc w:val="center"/>
              <w:rPr>
                <w:b/>
                <w:bCs/>
                <w:color w:val="000000"/>
              </w:rPr>
            </w:pPr>
            <w:r>
              <w:rPr>
                <w:b/>
                <w:bCs/>
                <w:color w:val="000000"/>
              </w:rPr>
              <w:t>Model-Assisted</w:t>
            </w:r>
            <w:r>
              <w:rPr>
                <w:b/>
                <w:bCs/>
                <w:color w:val="000000"/>
              </w:rPr>
              <w:br/>
              <w:t>Run</w:t>
            </w:r>
          </w:p>
        </w:tc>
      </w:tr>
      <w:tr>
        <w:trPr>
          <w:trHeight w:val="20"/>
          <w:jc w:val="center"/>
        </w:trPr>
        <w:tc>
          <w:tcPr>
            <w:tcW w:w="1240" w:type="dxa"/>
            <w:shd w:val="clear" w:color="auto" w:fill="auto"/>
            <w:noWrap/>
            <w:vAlign w:val="center"/>
            <w:hideMark/>
          </w:tcPr>
          <w:p>
            <w:pPr>
              <w:suppressAutoHyphens w:val="0"/>
              <w:jc w:val="center"/>
              <w:rPr>
                <w:b/>
                <w:bCs/>
                <w:color w:val="000000"/>
              </w:rPr>
            </w:pPr>
            <w:r>
              <w:rPr>
                <w:b/>
                <w:bCs/>
                <w:color w:val="000000"/>
              </w:rPr>
              <w:t>Iteration</w:t>
            </w:r>
          </w:p>
        </w:tc>
        <w:tc>
          <w:tcPr>
            <w:tcW w:w="1380" w:type="dxa"/>
            <w:shd w:val="clear" w:color="auto" w:fill="auto"/>
            <w:noWrap/>
            <w:vAlign w:val="center"/>
            <w:hideMark/>
          </w:tcPr>
          <w:p>
            <w:pPr>
              <w:suppressAutoHyphens w:val="0"/>
              <w:jc w:val="center"/>
              <w:rPr>
                <w:b/>
                <w:bCs/>
                <w:color w:val="000000"/>
              </w:rPr>
            </w:pPr>
            <w:r>
              <w:rPr>
                <w:b/>
                <w:bCs/>
                <w:color w:val="000000"/>
              </w:rPr>
              <w:t>Residual Error</w:t>
            </w:r>
          </w:p>
        </w:tc>
        <w:tc>
          <w:tcPr>
            <w:tcW w:w="1520" w:type="dxa"/>
            <w:shd w:val="clear" w:color="auto" w:fill="auto"/>
            <w:noWrap/>
            <w:vAlign w:val="center"/>
            <w:hideMark/>
          </w:tcPr>
          <w:p>
            <w:pPr>
              <w:suppressAutoHyphens w:val="0"/>
              <w:jc w:val="center"/>
              <w:rPr>
                <w:b/>
                <w:bCs/>
                <w:color w:val="000000"/>
              </w:rPr>
            </w:pPr>
            <w:r>
              <w:rPr>
                <w:b/>
                <w:bCs/>
                <w:color w:val="000000"/>
              </w:rPr>
              <w:t>Residual Error</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0</w:t>
            </w:r>
          </w:p>
        </w:tc>
        <w:tc>
          <w:tcPr>
            <w:tcW w:w="1380" w:type="dxa"/>
            <w:shd w:val="clear" w:color="auto" w:fill="auto"/>
            <w:noWrap/>
            <w:vAlign w:val="center"/>
            <w:hideMark/>
          </w:tcPr>
          <w:p>
            <w:pPr>
              <w:suppressAutoHyphens w:val="0"/>
              <w:jc w:val="center"/>
              <w:rPr>
                <w:color w:val="000000"/>
              </w:rPr>
            </w:pPr>
            <w:r>
              <w:rPr>
                <w:color w:val="000000"/>
              </w:rPr>
              <w:t>0.00207481</w:t>
            </w:r>
          </w:p>
        </w:tc>
        <w:tc>
          <w:tcPr>
            <w:tcW w:w="1520" w:type="dxa"/>
            <w:shd w:val="clear" w:color="auto" w:fill="auto"/>
            <w:noWrap/>
            <w:vAlign w:val="center"/>
            <w:hideMark/>
          </w:tcPr>
          <w:p>
            <w:pPr>
              <w:suppressAutoHyphens w:val="0"/>
              <w:jc w:val="center"/>
              <w:rPr>
                <w:color w:val="000000"/>
              </w:rPr>
            </w:pPr>
            <w:r>
              <w:rPr>
                <w:color w:val="000000"/>
              </w:rPr>
              <w:t>0.000512025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1</w:t>
            </w:r>
          </w:p>
        </w:tc>
        <w:tc>
          <w:tcPr>
            <w:tcW w:w="1380" w:type="dxa"/>
            <w:shd w:val="clear" w:color="auto" w:fill="auto"/>
            <w:noWrap/>
            <w:vAlign w:val="center"/>
            <w:hideMark/>
          </w:tcPr>
          <w:p>
            <w:pPr>
              <w:suppressAutoHyphens w:val="0"/>
              <w:jc w:val="center"/>
              <w:rPr>
                <w:color w:val="000000"/>
              </w:rPr>
            </w:pPr>
            <w:r>
              <w:rPr>
                <w:color w:val="000000"/>
              </w:rPr>
              <w:t>0.000234899</w:t>
            </w:r>
          </w:p>
        </w:tc>
        <w:tc>
          <w:tcPr>
            <w:tcW w:w="1520" w:type="dxa"/>
            <w:shd w:val="clear" w:color="auto" w:fill="auto"/>
            <w:noWrap/>
            <w:vAlign w:val="center"/>
            <w:hideMark/>
          </w:tcPr>
          <w:p>
            <w:pPr>
              <w:suppressAutoHyphens w:val="0"/>
              <w:jc w:val="center"/>
              <w:rPr>
                <w:color w:val="000000"/>
              </w:rPr>
            </w:pPr>
            <w:r>
              <w:rPr>
                <w:color w:val="000000"/>
              </w:rPr>
              <w:t>7.02384E-05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2</w:t>
            </w:r>
          </w:p>
        </w:tc>
        <w:tc>
          <w:tcPr>
            <w:tcW w:w="1380" w:type="dxa"/>
            <w:shd w:val="clear" w:color="auto" w:fill="auto"/>
            <w:noWrap/>
            <w:vAlign w:val="center"/>
            <w:hideMark/>
          </w:tcPr>
          <w:p>
            <w:pPr>
              <w:suppressAutoHyphens w:val="0"/>
              <w:jc w:val="center"/>
              <w:rPr>
                <w:color w:val="000000"/>
              </w:rPr>
            </w:pPr>
            <w:r>
              <w:rPr>
                <w:color w:val="000000"/>
              </w:rPr>
              <w:t>3.68364E-05</w:t>
            </w:r>
          </w:p>
        </w:tc>
        <w:tc>
          <w:tcPr>
            <w:tcW w:w="1520" w:type="dxa"/>
            <w:shd w:val="clear" w:color="auto" w:fill="auto"/>
            <w:noWrap/>
            <w:vAlign w:val="center"/>
            <w:hideMark/>
          </w:tcPr>
          <w:p>
            <w:pPr>
              <w:suppressAutoHyphens w:val="0"/>
              <w:jc w:val="center"/>
              <w:rPr>
                <w:color w:val="000000"/>
              </w:rPr>
            </w:pPr>
            <w:r>
              <w:rPr>
                <w:color w:val="000000"/>
              </w:rPr>
              <w:t>1.58675E-05</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3</w:t>
            </w:r>
          </w:p>
        </w:tc>
        <w:tc>
          <w:tcPr>
            <w:tcW w:w="1380" w:type="dxa"/>
            <w:shd w:val="clear" w:color="auto" w:fill="auto"/>
            <w:noWrap/>
            <w:vAlign w:val="center"/>
            <w:hideMark/>
          </w:tcPr>
          <w:p>
            <w:pPr>
              <w:suppressAutoHyphens w:val="0"/>
              <w:jc w:val="center"/>
              <w:rPr>
                <w:color w:val="000000"/>
              </w:rPr>
            </w:pPr>
            <w:r>
              <w:rPr>
                <w:color w:val="000000"/>
              </w:rPr>
              <w:t>1.02315E-05</w:t>
            </w:r>
          </w:p>
        </w:tc>
        <w:tc>
          <w:tcPr>
            <w:tcW w:w="1520" w:type="dxa"/>
            <w:shd w:val="clear" w:color="auto" w:fill="auto"/>
            <w:noWrap/>
            <w:vAlign w:val="center"/>
            <w:hideMark/>
          </w:tcPr>
          <w:p>
            <w:pPr>
              <w:suppressAutoHyphens w:val="0"/>
              <w:jc w:val="center"/>
              <w:rPr>
                <w:color w:val="000000"/>
              </w:rPr>
            </w:pPr>
            <w:r>
              <w:rPr>
                <w:color w:val="000000"/>
              </w:rPr>
              <w:t>4.2492E-06</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4</w:t>
            </w:r>
          </w:p>
        </w:tc>
        <w:tc>
          <w:tcPr>
            <w:tcW w:w="1380" w:type="dxa"/>
            <w:shd w:val="clear" w:color="auto" w:fill="auto"/>
            <w:noWrap/>
            <w:vAlign w:val="center"/>
            <w:hideMark/>
          </w:tcPr>
          <w:p>
            <w:pPr>
              <w:suppressAutoHyphens w:val="0"/>
              <w:jc w:val="center"/>
              <w:rPr>
                <w:color w:val="000000"/>
              </w:rPr>
            </w:pPr>
            <w:r>
              <w:rPr>
                <w:color w:val="000000"/>
              </w:rPr>
              <w:t>1.0167E-06</w:t>
            </w:r>
          </w:p>
        </w:tc>
        <w:tc>
          <w:tcPr>
            <w:tcW w:w="1520" w:type="dxa"/>
            <w:shd w:val="clear" w:color="auto" w:fill="auto"/>
            <w:noWrap/>
            <w:vAlign w:val="center"/>
            <w:hideMark/>
          </w:tcPr>
          <w:p>
            <w:pPr>
              <w:suppressAutoHyphens w:val="0"/>
              <w:jc w:val="center"/>
              <w:rPr>
                <w:color w:val="000000"/>
              </w:rPr>
            </w:pPr>
            <w:r>
              <w:rPr>
                <w:color w:val="000000"/>
              </w:rPr>
              <w:t>5.663E-07</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5</w:t>
            </w:r>
          </w:p>
        </w:tc>
        <w:tc>
          <w:tcPr>
            <w:tcW w:w="1380" w:type="dxa"/>
            <w:shd w:val="clear" w:color="auto" w:fill="auto"/>
            <w:noWrap/>
            <w:vAlign w:val="center"/>
            <w:hideMark/>
          </w:tcPr>
          <w:p>
            <w:pPr>
              <w:suppressAutoHyphens w:val="0"/>
              <w:jc w:val="center"/>
              <w:rPr>
                <w:color w:val="000000"/>
              </w:rPr>
            </w:pPr>
            <w:r>
              <w:rPr>
                <w:color w:val="000000"/>
              </w:rPr>
              <w:t>2.997E-07</w:t>
            </w:r>
          </w:p>
        </w:tc>
        <w:tc>
          <w:tcPr>
            <w:tcW w:w="1520" w:type="dxa"/>
            <w:shd w:val="clear" w:color="auto" w:fill="auto"/>
            <w:noWrap/>
            <w:vAlign w:val="center"/>
            <w:hideMark/>
          </w:tcPr>
          <w:p>
            <w:pPr>
              <w:suppressAutoHyphens w:val="0"/>
              <w:jc w:val="center"/>
              <w:rPr>
                <w:color w:val="000000"/>
              </w:rPr>
            </w:pPr>
            <w:r>
              <w:rPr>
                <w:color w:val="000000"/>
              </w:rPr>
              <w:t>6.35E-08</w:t>
            </w:r>
          </w:p>
        </w:tc>
      </w:tr>
      <w:tr>
        <w:trPr>
          <w:trHeight w:val="20"/>
          <w:jc w:val="center"/>
        </w:trPr>
        <w:tc>
          <w:tcPr>
            <w:tcW w:w="1240" w:type="dxa"/>
            <w:shd w:val="clear" w:color="auto" w:fill="auto"/>
            <w:noWrap/>
            <w:vAlign w:val="center"/>
            <w:hideMark/>
          </w:tcPr>
          <w:p>
            <w:pPr>
              <w:suppressAutoHyphens w:val="0"/>
              <w:jc w:val="center"/>
              <w:rPr>
                <w:color w:val="000000"/>
              </w:rPr>
            </w:pPr>
            <w:r>
              <w:rPr>
                <w:color w:val="000000"/>
              </w:rPr>
              <w:t>6</w:t>
            </w:r>
          </w:p>
        </w:tc>
        <w:tc>
          <w:tcPr>
            <w:tcW w:w="1380" w:type="dxa"/>
            <w:shd w:val="clear" w:color="auto" w:fill="auto"/>
            <w:noWrap/>
            <w:vAlign w:val="center"/>
            <w:hideMark/>
          </w:tcPr>
          <w:p>
            <w:pPr>
              <w:suppressAutoHyphens w:val="0"/>
              <w:jc w:val="center"/>
              <w:rPr>
                <w:color w:val="000000"/>
              </w:rPr>
            </w:pPr>
            <w:r>
              <w:rPr>
                <w:color w:val="000000"/>
              </w:rPr>
              <w:t>4.01E-08</w:t>
            </w:r>
          </w:p>
        </w:tc>
        <w:tc>
          <w:tcPr>
            <w:tcW w:w="1520" w:type="dxa"/>
            <w:shd w:val="clear" w:color="auto" w:fill="auto"/>
            <w:noWrap/>
            <w:vAlign w:val="center"/>
            <w:hideMark/>
          </w:tcPr>
          <w:p>
            <w:pPr>
              <w:keepNext/>
              <w:suppressAutoHyphens w:val="0"/>
              <w:jc w:val="center"/>
              <w:rPr>
                <w:color w:val="000000"/>
              </w:rPr>
            </w:pPr>
            <w:r>
              <w:rPr>
                <w:color w:val="000000"/>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4</w:t>
      </w:r>
      <w:r>
        <w:rPr>
          <w:sz w:val="20"/>
          <w:szCs w:val="20"/>
        </w:rPr>
        <w:fldChar w:fldCharType="end"/>
      </w:r>
      <w:r>
        <w:rPr>
          <w:sz w:val="20"/>
          <w:szCs w:val="20"/>
        </w:rPr>
        <w:t>. Partial Iterative Solver information for Sample 5101</w:t>
      </w:r>
    </w:p>
    <w:p>
      <w:pPr>
        <w:ind w:firstLine="202"/>
      </w:pPr>
      <w:r>
        <w:t xml:space="preserve">Due to dependance of convergence rates for Krylov solvers on the conditioning of the matrices and the eigenvalue properties of the matrices </w:t>
      </w:r>
      <w:r>
        <w:fldChar w:fldCharType="begin"/>
      </w:r>
      <w:r>
        <w:instrText xml:space="preserve"> ADDIN ZOTERO_ITEM CSL_CITATION {"citationID":"JO3DD82Z","properties":{"formattedCitation":"[11]","plainCitation":"[11]","noteIndex":0},"citationItems":[{"id":2259,"uris":["http://zotero.org/users/10162777/items/PNZATMFF"],"itemData":{"id":2259,"type":"book","abstract":"Computational simulation of scientific phenomena and engineering problems often depends on solving linear systems with a large number of unknowns. This book gives insight into the construction of iterative methods for the solution of such systems and helps the reader to select the best solver for a given class of problems. The emphasis is on the main ideas and how they have led to efficient solvers such as CG, GMRES, and BI-CGSTAB. The author also explains the main concepts behind the construction of preconditioners. The reader is encouraged to gain experience by analysing numerous examples that illustrate how best to exploit the methods. The book also hints at many open problems and as such it will appeal to established researchers. There are many exercises that motivate the material and help students to understand the essential steps in the analysis and construction of algorithms.","edition":"1","ISBN":"978-0-521-81828-5","note":"DOI: 10.1017/CBO9780511615115","publisher":"Cambridge University Press","source":"DOI.org (Crossref)","title":"Iterative Krylov Methods for Large Linear Systems","URL":"https://www.cambridge.org/core/product/identifier/9780511615115/type/book","author":[{"family":"Vorst","given":"Henk A.","non-dropping-particle":"van der"}],"accessed":{"date-parts":[["2022",11,14]]},"issued":{"date-parts":[["2003",4,17]]},"citation-key":"vandervorstIterativeKrylovMethods2003"}}],"schema":"https://github.com/citation-style-language/schema/raw/master/csl-citation.json"} </w:instrText>
      </w:r>
      <w:r>
        <w:fldChar w:fldCharType="separate"/>
      </w:r>
      <w:r>
        <w:t>[11]</w:t>
      </w:r>
      <w:r>
        <w:fldChar w:fldCharType="end"/>
      </w:r>
      <w:r>
        <w:t>, Prescient2DL would need to be achieving initial residual errors of 10</w:t>
      </w:r>
      <w:r>
        <w:rPr>
          <w:vertAlign w:val="superscript"/>
        </w:rPr>
        <w:t>-8</w:t>
      </w:r>
      <w:r>
        <w:t xml:space="preserve"> or lower in this toy scenario to diminish the final iteration count by even 25% of the naïve solution iteration count.</w:t>
      </w:r>
    </w:p>
    <w:p>
      <w:pPr>
        <w:pStyle w:val="Heading1"/>
        <w:numPr>
          <w:ilvl w:val="0"/>
          <w:numId w:val="2"/>
        </w:numPr>
      </w:pPr>
      <w:r>
        <w:t>Conclusions</w:t>
      </w:r>
    </w:p>
    <w:p>
      <w:pPr>
        <w:ind w:firstLine="202"/>
      </w:pPr>
      <w:r>
        <w:t>Although a deep learning model has been shown to achieving statistical differences in metric performance compared to naïve approaches, there appears to be nothing materially gained from using the model with regard to accelerating the MoM solver.</w:t>
      </w:r>
    </w:p>
    <w:p>
      <w:pPr>
        <w:ind w:firstLine="202"/>
      </w:pPr>
      <w:r>
        <w:t xml:space="preserve">Before further experimentation with generalizability and extrapolation is to be carried out, the evidence presented in this paper highlights the need for models to achieve much lower mean squared error results than achieved during this research. In the forward problem, further deep learning model development work should focus on lowering the initial error so that the steps required to achieve iterative solution convergence can be reduced. This paper has also presented evidence that research in this area remains at the model development stage. </w:t>
      </w:r>
    </w:p>
    <w:p>
      <w:pPr>
        <w:ind w:firstLine="202"/>
      </w:pPr>
      <w:r>
        <w:t xml:space="preserve">If the creation of models that bring the initial residual error to orders of magnitude lower than currently reported is </w:t>
      </w:r>
      <w:r>
        <w:t>deemed non-viable, after more extensive experimentation, then the attempted application of deep learning in electromagnetic scattering forward problems could be regarded as frivolous.</w:t>
      </w:r>
    </w:p>
    <w:p>
      <w:pPr>
        <w:ind w:firstLine="202"/>
      </w:pPr>
      <w:r>
        <w:t>While positive results are lacking with regard to the goal of the paper, the author points out that the research has been fruitful in providing the electromagnetics community with reproducible data, as well as raising concerns about the model training results, pertaining to the application of deep learning to the forward problem. The paper is written with the view that the engineering problem formulation, design approach, data generation process, experimental design and model development are substantial and meaningful in a pre-results context.</w:t>
      </w:r>
    </w:p>
    <w:p>
      <w:pPr>
        <w:pStyle w:val="ListParagraph"/>
        <w:numPr>
          <w:ilvl w:val="0"/>
          <w:numId w:val="4"/>
        </w:numPr>
      </w:pPr>
      <w:r>
        <w:t xml:space="preserve">Dense layers, as reported in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may improve performance since the hybrid infusion relies on deep learning techniques associated with discrete-to-discrete data structures. The architecture deployed in this paper was formulated based on literature that was in the domain of image-to-image data structures.</w:t>
      </w:r>
    </w:p>
    <w:p>
      <w:pPr>
        <w:pStyle w:val="Text"/>
        <w:rPr>
          <w:b/>
          <w:bCs/>
          <w:i/>
          <w:iCs/>
        </w:rPr>
      </w:pPr>
      <w:r>
        <w:rPr>
          <w:b/>
          <w:bCs/>
        </w:rPr>
        <w:t xml:space="preserve">This is the conclusion. </w:t>
      </w:r>
      <w:r>
        <w:rPr>
          <w:b/>
          <w:bCs/>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 xml:space="preserve">T.-T.-H. Le, H. Kang, and H. Kim, ‘Towards Incompressible Laminar Flow Estimation Based on Interpolated Feature Generation and Deep Learning’, </w:t>
      </w:r>
      <w:r>
        <w:rPr>
          <w:rFonts w:ascii="Times-Roman" w:hAnsi="Times-Roman"/>
          <w:i/>
          <w:iCs/>
          <w:sz w:val="16"/>
        </w:rPr>
        <w:t>Sustainability</w:t>
      </w:r>
      <w:r>
        <w:rPr>
          <w:rFonts w:ascii="Times-Roman" w:hAnsi="Times-Roman"/>
          <w:sz w:val="16"/>
        </w:rPr>
        <w:t>, vol. 14, no. 19, Art. no. 19, Jan. 2022, doi: 10.3390/su141911996.</w:t>
      </w:r>
    </w:p>
    <w:p>
      <w:pPr>
        <w:pStyle w:val="Bibliography"/>
        <w:rPr>
          <w:rFonts w:ascii="Times-Roman" w:hAnsi="Times-Roman"/>
          <w:sz w:val="16"/>
        </w:rPr>
      </w:pPr>
      <w:r>
        <w:rPr>
          <w:rFonts w:ascii="Times-Roman" w:hAnsi="Times-Roman"/>
          <w:sz w:val="16"/>
        </w:rPr>
        <w:t>[8]</w:t>
      </w:r>
      <w:r>
        <w:rPr>
          <w:rFonts w:ascii="Times-Roman" w:hAnsi="Times-Roman"/>
          <w:sz w:val="16"/>
        </w:rPr>
        <w:tab/>
        <w:t xml:space="preserve">Y. Guan, T. Fang, D. Zhang, and C. Jin, ‘Solving Fredholm Integral Equations Using Deep Learning’, </w:t>
      </w:r>
      <w:r>
        <w:rPr>
          <w:rFonts w:ascii="Times-Roman" w:hAnsi="Times-Roman"/>
          <w:i/>
          <w:iCs/>
          <w:sz w:val="16"/>
        </w:rPr>
        <w:t>Int. J. Appl. Comput. Math</w:t>
      </w:r>
      <w:r>
        <w:rPr>
          <w:rFonts w:ascii="Times-Roman" w:hAnsi="Times-Roman"/>
          <w:sz w:val="16"/>
        </w:rPr>
        <w:t>, vol. 8, no. 2, p. 87, Mar. 2022, doi: 10.1007/s40819-022-01288-3.</w:t>
      </w:r>
    </w:p>
    <w:p>
      <w:pPr>
        <w:pStyle w:val="Bibliography"/>
        <w:rPr>
          <w:rFonts w:ascii="Times-Roman" w:hAnsi="Times-Roman"/>
          <w:sz w:val="16"/>
        </w:rPr>
      </w:pPr>
      <w:r>
        <w:rPr>
          <w:rFonts w:ascii="Times-Roman" w:hAnsi="Times-Roman"/>
          <w:sz w:val="16"/>
        </w:rPr>
        <w:t>[9]</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[10]</w:t>
      </w:r>
      <w:r>
        <w:rPr>
          <w:rFonts w:ascii="Times-Roman" w:hAnsi="Times-Roman"/>
          <w:sz w:val="16"/>
        </w:rPr>
        <w:tab/>
        <w:t>A. J. McElwee, ‘Appendix B: Project Design Plan’, Aug. 2023.</w:t>
      </w:r>
    </w:p>
    <w:p>
      <w:pPr>
        <w:pStyle w:val="Bibliography"/>
        <w:rPr>
          <w:rFonts w:ascii="Times-Roman" w:hAnsi="Times-Roman"/>
          <w:sz w:val="16"/>
        </w:rPr>
      </w:pPr>
      <w:r>
        <w:rPr>
          <w:rFonts w:ascii="Times-Roman" w:hAnsi="Times-Roman"/>
          <w:sz w:val="16"/>
        </w:rPr>
        <w:t>[11]</w:t>
      </w:r>
      <w:r>
        <w:rPr>
          <w:rFonts w:ascii="Times-Roman" w:hAnsi="Times-Roman"/>
          <w:sz w:val="16"/>
        </w:rPr>
        <w:tab/>
        <w:t xml:space="preserve">H. A. van der Vorst, </w:t>
      </w:r>
      <w:r>
        <w:rPr>
          <w:rFonts w:ascii="Times-Roman" w:hAnsi="Times-Roman"/>
          <w:i/>
          <w:iCs/>
          <w:sz w:val="16"/>
        </w:rPr>
        <w:t>Iterative Krylov Methods for Large Linear Systems</w:t>
      </w:r>
      <w:r>
        <w:rPr>
          <w:rFonts w:ascii="Times-Roman" w:hAnsi="Times-Roman"/>
          <w:sz w:val="16"/>
        </w:rPr>
        <w:t>, 1st ed. Cambridge University Press, 2003. doi: 10.1017/CBO9780511615115.</w:t>
      </w:r>
    </w:p>
    <w:p>
      <w:pPr>
        <w:pStyle w:val="Bibliography"/>
        <w:rPr>
          <w:rFonts w:ascii="Times-Roman" w:hAnsi="Times-Roman"/>
          <w:sz w:val="16"/>
        </w:rPr>
      </w:pPr>
      <w:r>
        <w:rPr>
          <w:rFonts w:ascii="Times-Roman" w:hAnsi="Times-Roman"/>
          <w:sz w:val="16"/>
        </w:rPr>
        <w:t>[12]</w:t>
      </w:r>
      <w:r>
        <w:rPr>
          <w:rFonts w:ascii="Times-Roman" w:hAnsi="Times-Roman"/>
          <w:sz w:val="16"/>
        </w:rPr>
        <w:tab/>
        <w:t xml:space="preserve">F. Chopra, I. Haaland, C. Roth, and A. Stegmann, ‘The Null Result Penalty’, </w:t>
      </w:r>
      <w:r>
        <w:rPr>
          <w:rFonts w:ascii="Times-Roman" w:hAnsi="Times-Roman"/>
          <w:i/>
          <w:iCs/>
          <w:sz w:val="16"/>
        </w:rPr>
        <w:t>The Economic Journal</w:t>
      </w:r>
      <w:r>
        <w:rPr>
          <w:rFonts w:ascii="Times-Roman" w:hAnsi="Times-Roman"/>
          <w:sz w:val="16"/>
        </w:rPr>
        <w:t>, p. uead060, Aug. 2023, doi: 10.1093/ej/uead060.</w:t>
      </w:r>
    </w:p>
    <w:p>
      <w:pPr>
        <w:pStyle w:val="FigureCaption"/>
        <w:rPr>
          <w:sz w:val="20"/>
          <w:szCs w:val="20"/>
        </w:rPr>
      </w:pPr>
      <w:r>
        <w:rPr>
          <w:rFonts w:ascii="Times-Roman" w:hAnsi="Times-Roman" w:cs="Times-Roman"/>
        </w:rPr>
        <w:fldChar w:fldCharType="end"/>
      </w:r>
    </w:p>
    <w:sectPr>
      <w:headerReference w:type="default" r:id="rId18"/>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E-polarization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{"citationID":"AZMXkUGe","properties":{"formattedCitation":"[5]","plainCitation":"[5]","noteIndex":4},"citationItems":[{"id":3687,"uris":["http://zotero.org/users/10162777/items/9SZPDFWC"],"itemData":{"id":3687,"type":"report","collection-title":"MEng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electromagnetic scattering domain.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w:t>
      </w:r>
      <w:r>
        <w:fldChar w:fldCharType="begin"/>
      </w:r>
      <w:r>
        <w:instrText xml:space="preserve"> ADDIN ZOTERO_ITEM CSL_CITATION {"citationID":"OoOZ7xhZ","properties":{"formattedCitation":"[3]","plainCitation":"[3]","noteIndex":5},"citationItems":[{"id":3685,"uris":["http://zotero.org/users/10162777/items/UEZ5CYBD"],"itemData":{"id":3685,"type":"report","collection-title":"MEng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sufficient to pose as a challenge for the deep learning model.</w:t>
      </w:r>
    </w:p>
  </w:footnote>
  <w:footnote w:id="6">
    <w:p>
      <w:pPr>
        <w:pStyle w:val="FootnoteText"/>
      </w:pPr>
      <w:r>
        <w:rPr>
          <w:rStyle w:val="FootnoteReference"/>
        </w:rPr>
        <w:footnoteRef/>
      </w:r>
      <w:r>
        <w:t xml:space="preserve"> Co-ordinate systems were siloed for the purposes of this paper. The author expects that inclusion of secondary field information at model inception or at a secondary model stage may increase the final prediction performance.</w:t>
      </w:r>
    </w:p>
  </w:footnote>
  <w:footnote w:id="7">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{"citationID":"kDzdzm4m","properties":{"formattedCitation":"[4]","plainCitation":"[4]","noteIndex":7},"citationItems":[{"id":3686,"uris":["http://zotero.org/users/10162777/items/U74K2KSC"],"itemData":{"id":3686,"type":"report","collection-title":"MEng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8">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{"citationID":"U5xaQjyi","properties":{"formattedCitation":"[9]","plainCitation":"[9]","noteIndex":8},"citationItems":[{"id":3688,"uris":["http://zotero.org/users/10162777/items/DWZBJTBR"],"itemData":{"id":3688,"type":"report","collection-title":"MEng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[9]</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5"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uiPriority w:val="99"/>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8683</Words>
  <Characters>49498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1590</cp:revision>
  <cp:lastPrinted>2023-08-20T12:48:00Z</cp:lastPrinted>
  <dcterms:created xsi:type="dcterms:W3CDTF">2013-10-01T06:08:00Z</dcterms:created>
  <dcterms:modified xsi:type="dcterms:W3CDTF">2023-08-20T19:56:00Z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