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when combined with conventional methods.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defined ranges for the dielectric material properties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an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Biconjugate Gradient Stabilized Method (BICGSTAB) to calculate solutions of contrast-source integral equations. This high performance code uses circular convolutions to accelerate multiplication steps via Fast Fourier Transforms. SolverEMF2 is then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3349625</wp:posOffset>
                </wp:positionH>
                <wp:positionV relativeFrom="margin">
                  <wp:posOffset>3288030</wp:posOffset>
                </wp:positionV>
                <wp:extent cx="1566545" cy="173355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733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75pt;margin-top:258.9pt;width:123.35pt;height:1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68BgIAAGUEAAAOAAAAZHJzL2Uyb0RvYy54bWysVNuO0zAQfUfiHyy/07RbUlDVdAWsipAQ&#10;rPbyAa5jN5Zsjxm7Tfr3jN20u8DTrsiDM47nzMw5M87qenCWHRRGA77hs8mUM+UltMbvGv74sHn3&#10;kbOYhG+FBa8aflSRX6/fvln1YamuoAPbKmQUxMdlHxrepRSWVRVlp5yIEwjK06EGdCLRFndVi6Kn&#10;6M5WV9PpouoB24AgVYz09eZ0yNclvtZKpp9aR5WYbTjVlsqKZd3mtVqvxHKHInRGjmWIV1ThhPGU&#10;9BLqRiTB9mj+CeWMRIig00SCq0BrI1XhQGxm07/Y3HciqMKFxInhIlP8f2Hlj8MtMtM2fM6ZF45a&#10;9KCGxD7DwOqsTh/ikpzuwy2Ou0hmpjpodPlNJNhQFD1eFM0hJH2c1YtF/b7mTNLZ7MN8XtdF8+oJ&#10;HjCmrwocy0bDkVpWlBSH7zFRSnI9u+RsEaxpN8bassHd9otFdhDU3k15cs0E+cPNetbn0jLEQwaf&#10;nKwn30zwRKlY6WhV9rP+TmkSpjArueSY7DQ9NN40T+cZoowFkB01xX8hdoRktCpD+0L8BVTyg08X&#10;vDMesGjyjF0207AdxoZuoT3SEPR0Cxoef+0FKs7sN09jlq/M2cCzsT0bwssOSI7E2T6g2XXUv9mo&#10;8qd9Am1KA3O6U45Rbprl0qTx3uXL8nxfvJ7+DuvfAAAA//8DAFBLAwQUAAYACAAAACEAycw3huAA&#10;AAALAQAADwAAAGRycy9kb3ducmV2LnhtbEyPwU7DMBBE70j8g7VI3KjTiNYhxKkqpIr2VpqI8zZ2&#10;40BsR7Hbhr9ne4LbjPZpdqZYTbZnFz2GzjsJ81kCTLvGq861Eupq85QBCxGdwt47LeFHB1iV93cF&#10;5spf3Ye+HGLLKMSFHCWYGIec89AYbTHM/KAd3U5+tBjJji1XI14p3PY8TZIlt9g5+mBw0G9GN9+H&#10;s5Ug1r76TLe77d7sT7iss6/3TV1J+fgwrV+BRT3FPxhu9ak6lNTp6M9OBdZLWKRiQSiJuaANRAjx&#10;nAI7knhJMuBlwf9vKH8BAAD//wMAUEsBAi0AFAAGAAgAAAAhALaDOJL+AAAA4QEAABMAAAAAAAAA&#10;AAAAAAAAAAAAAFtDb250ZW50X1R5cGVzXS54bWxQSwECLQAUAAYACAAAACEAOP0h/9YAAACUAQAA&#10;CwAAAAAAAAAAAAAAAAAvAQAAX3JlbHMvLnJlbHNQSwECLQAUAAYACAAAACEA/cHuvAYCAABlBAAA&#10;DgAAAAAAAAAAAAAAAAAuAgAAZHJzL2Uyb0RvYy54bWxQSwECLQAUAAYACAAAACEAycw3hu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As the task motivation is based around future medical developments, and the permeability of biological tissues can be considered roughly equal to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This is a permittivity, </w:t>
      </w:r>
      <m:oMath>
        <m:r>
          <w:rPr>
            <w:rFonts w:ascii="Cambria Math" w:hAnsi="Cambria Math"/>
          </w:rPr>
          <m:t>ε</m:t>
        </m:r>
      </m:oMath>
      <w:r>
        <w:t xml:space="preserve">, contrast only problem.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As the scene assumes that there is an invariance in the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j</m:t>
                  </m:r>
                </m:sub>
              </m:sSub>
            </m:e>
            <m:sup>
              <m:r>
                <w:rPr>
                  <w:rFonts w:ascii="Cambria Math" w:hAnsi="Cambria Math"/>
                </w:rPr>
                <m:t>inc</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E</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e>
                <m:sup>
                  <m:r>
                    <w:rPr>
                      <w:rFonts w:ascii="Cambria Math" w:hAnsi="Cambria Math"/>
                    </w:rPr>
                    <m:t>2</m:t>
                  </m:r>
                </m:sup>
              </m:sSup>
              <m:sSub>
                <m:sSubPr>
                  <m:ctrlPr>
                    <w:rPr>
                      <w:rFonts w:ascii="Cambria Math" w:hAnsi="Cambria Math"/>
                      <w:i/>
                    </w:rPr>
                  </m:ctrlPr>
                </m:sSubPr>
                <m:e>
                  <m:r>
                    <w:rPr>
                      <w:rFonts w:ascii="Cambria Math" w:hAnsi="Cambria Math"/>
                    </w:rPr>
                    <m:t>δ</m:t>
                  </m:r>
                </m:e>
                <m:sub>
                  <m:r>
                    <w:rPr>
                      <w:rFonts w:ascii="Cambria Math" w:hAnsi="Cambria Math"/>
                    </w:rPr>
                    <m:t>j, 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k</m:t>
                  </m:r>
                </m:sub>
              </m:sSub>
            </m:e>
          </m:d>
          <m:nary>
            <m:naryPr>
              <m:limLoc m:val="undOvr"/>
              <m:ctrlPr>
                <w:rPr>
                  <w:rFonts w:ascii="Cambria Math" w:hAnsi="Cambria Math"/>
                  <w:i/>
                </w:rPr>
              </m:ctrlPr>
            </m:naryPr>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sct</m:t>
                  </m:r>
                </m:sub>
              </m:sSub>
            </m:sub>
            <m:sup/>
            <m:e>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e>
              </m:d>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e>
              </m:d>
              <m:r>
                <w:rPr>
                  <w:rFonts w:ascii="Cambria Math" w:hAnsi="Cambria Math"/>
                </w:rPr>
                <m:t xml:space="preserve"> dA</m:t>
              </m:r>
            </m:e>
          </m:nary>
          <m:r>
            <w:rPr>
              <w:rFonts w:ascii="Cambria Math" w:hAnsi="Cambria Math"/>
            </w:rPr>
            <m:t xml:space="preserve">,  </m:t>
          </m:r>
          <m:d>
            <m:dPr>
              <m:ctrlPr>
                <w:rPr>
                  <w:rFonts w:ascii="Cambria Math" w:hAnsi="Cambria Math"/>
                  <w:i/>
                </w:rPr>
              </m:ctrlPr>
            </m:dPr>
            <m:e>
              <m:r>
                <w:rPr>
                  <w:rFonts w:ascii="Cambria Math" w:hAnsi="Cambria Math"/>
                </w:rPr>
                <m:t>4</m:t>
              </m:r>
            </m:e>
          </m:d>
        </m:oMath>
      </m:oMathPara>
    </w:p>
    <w:p>
      <w:r>
        <w:t xml:space="preserve">where the contrast is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w:t>
      </w:r>
      <w:r>
        <w:t xml:space="preserve">scattered </w:t>
      </w:r>
      <w:r>
        <w:t xml:space="preserve">electric field components given by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pPr>
        <w:rPr>
          <w:smallCaps/>
          <w:kern w:val="2"/>
        </w:rPr>
      </w:pPr>
      <w:r>
        <w:t xml:space="preserve">The permittivity contrasts </w:t>
      </w:r>
      <w:r>
        <w:t>are frequency independent</w:t>
      </w:r>
      <w:r>
        <w:t xml:space="preserve">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DENSE is useful not just for the meta stuff but because it anchors the use of emulators as sub-steps within larger simulations, they are used as approximating subcomponents [CHECK: is this stated?] whereas this project is trying to go beyond that usage of deep learning.</w:t>
      </w:r>
    </w:p>
    <w:p>
      <w:pPr>
        <w:pStyle w:val="Heading1"/>
        <w:numPr>
          <w:ilvl w:val="0"/>
          <w:numId w:val="2"/>
        </w:numPr>
      </w:pPr>
      <w:r>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conjunction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the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[CHECK: Include the matrix here if space allowed, see 1.64.], the multiplication steps required to solve the MoM linear system of N equations is simplified to a vector of 2*N components. The convolution is computed using Fast Fourier Transforms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the Biconjugate Gradient Stabilized Method (BICGSTAB) solver is favored to solve these MoM electromagnetic scattering problems, with both texts reporting a significant reduction in iterations required to achieve threshold error criteria compared to other Iterative Krylov solvers. Through the use of these mathematical techniques, this high-performance </w:t>
      </w:r>
      <w:r>
        <w:t>Python code</w:t>
      </w:r>
      <w:r>
        <w:t xml:space="preserv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lastRenderedPageBreak/>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centre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ability of the model to generalise to larger higher-contrast populations not seen at training time.</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chosen to allow for a large volume of samples to be generated in a shorter time frame. </w:t>
      </w:r>
    </w:p>
    <w:p>
      <w:pPr>
        <w:ind w:firstLine="202"/>
      </w:pPr>
      <w:r>
        <w:t>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tc>
      </w:tr>
    </w:tbl>
    <w:p>
      <w:pPr>
        <w:pStyle w:val="Heading2"/>
      </w:pPr>
      <w:r>
        <w:t>Train/Test/Split Approach</w:t>
      </w:r>
    </w:p>
    <w:p>
      <w:pPr>
        <w:ind w:firstLine="202"/>
      </w:pPr>
      <w:r>
        <w:t>The approach taken was to first establish if the model could emulate the conventional solutions. The data was saved in folders of 1000 samples. At the train/validate/test splitting stage, 20% of the 1000 samples were retained for testing (200) and 20% of the training data was retained for validation (160) leaving 640 samples for training. The base models were trained on 5000 samples.</w:t>
      </w:r>
    </w:p>
    <w:p>
      <w:pPr>
        <w:pStyle w:val="Heading2"/>
      </w:pPr>
      <w:r>
        <w:t xml:space="preserve"> Model Development</w:t>
      </w:r>
    </w:p>
    <w:p>
      <w:pPr>
        <w:ind w:firstLine="202"/>
      </w:pPr>
      <w:r>
        <w:t>All deep learning computations were carried out on a local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w:t>
      </w:r>
      <w:r>
        <w:lastRenderedPageBreak/>
        <w:t>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ind w:firstLine="202"/>
      </w:pPr>
      <w:r>
        <w:t xml:space="preserve">The models were fitted using a 54 layer U-net type architecture [CHECK: tie back to Section II].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not implemented due to a degradation in the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The Adam optimizer was used when fitting the model and the Keras Mean_Squared_Logarithmic_Error function was used as the loss function. [CHECK: include equation?]</w:t>
      </w:r>
      <w:r>
        <w:rPr>
          <w:lang w:val="en-GB"/>
        </w:rPr>
        <w:t xml:space="preserve">. </w:t>
      </w:r>
      <w:r>
        <w:t>The model training times were both roughly 20 minutes which is to be expected as the same model architecture was used in both instances.</w:t>
      </w:r>
    </w:p>
    <w:p>
      <w:pPr>
        <w:pStyle w:val="Text"/>
        <w:jc w:val="left"/>
        <w:rPr>
          <w:b/>
          <w:bCs/>
          <w:u w:val="single"/>
        </w:rPr>
      </w:pPr>
      <w:r>
        <w:rPr>
          <w:lang w:val="en-GB"/>
        </w:rPr>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rPr>
          <w:lang w:val="en-GB"/>
        </w:rPr>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{"citationID":"hVTr8ljW","properties":{"formattedCitation":"[7], [8]","plainCitation":"[7], [8]","noteIndex":0},"citationItems":[{"id":3683,"uris":["http://zotero.org/users/10162777/items/ZSFT8REI"],"itemData":{"id":3683,"type":"article-journal","abstract":"For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[7], [8]</w:t>
      </w:r>
      <w:r>
        <w:fldChar w:fldCharType="end"/>
      </w:r>
      <w:r>
        <w:t xml:space="preserve">.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 </w:t>
      </w:r>
      <w:r>
        <w:rPr>
          <w:lang w:val="en-GB"/>
        </w:rPr>
        <w:t>The spikes that occur at the loading of fresh training data indicate there may be possible issues in the model design.</w:t>
      </w:r>
      <w:r>
        <w:t xml:space="preserve"> The difficulty of predicting the y-dimension, E2, is more apparent since the incident dipole wave has greater variation compared to the x-dimension co-ordinate</w:t>
      </w:r>
      <w:r>
        <w:rPr>
          <w:lang w:val="en-GB"/>
        </w:rPr>
        <w:t>.</w:t>
      </w:r>
    </w:p>
    <w:p>
      <w:pPr>
        <w:ind w:firstLine="202"/>
        <w:rPr>
          <w:sz w:val="8"/>
          <w:szCs w:val="8"/>
          <w:lang w:val="en-GB"/>
        </w:rPr>
      </w:pPr>
    </w:p>
    <w:tbl>
      <w:tblPr>
        <w:tblStyle w:val="TableGrid"/>
        <w:tblW w:w="0" w:type="auto"/>
        <w:tblLook w:val="04A0" w:firstRow="1" w:lastRow="0" w:firstColumn="1" w:lastColumn="0" w:noHBand="0" w:noVBand="1"/>
      </w:tblPr>
      <w:tblGrid>
        <w:gridCol w:w="5203"/>
      </w:tblGrid>
      <w:tr>
        <w:tc>
          <w:tcPr>
            <w:tcW w:w="5203" w:type="dxa"/>
            <w:tcBorders>
              <w:top w:val="nil"/>
              <w:left w:val="nil"/>
              <w:bottom w:val="nil"/>
              <w:right w:val="nil"/>
            </w:tcBorders>
          </w:tcPr>
          <w:p>
            <w:pPr>
              <w:keepNext/>
              <w:jc w:val="center"/>
            </w:pPr>
            <w:r>
              <w:rPr>
                <w:noProof/>
              </w:rPr>
              <w:drawing>
                <wp:inline distT="0" distB="0" distL="0" distR="0">
                  <wp:extent cx="2519362" cy="161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component of Prescient2DL. The E2 component sufferers from even greater spikes at each training data loading stage.</w:t>
            </w:r>
          </w:p>
        </w:tc>
      </w:tr>
    </w:tbl>
    <w:p>
      <w:pPr>
        <w:ind w:firstLine="202"/>
        <w:rPr>
          <w:sz w:val="6"/>
          <w:szCs w:val="6"/>
          <w:lang w:val="en-GB"/>
        </w:rPr>
      </w:pP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column reported in Table 2 shows that, if treated as an emulator, Prescient2DL achieves a strong degree of similarity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69968"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3</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{"citationID":"NW58cd5e","properties":{"formattedCitation":"[9]","plainCitation":"[9]","noteIndex":0},"citationItems":[{"id":3688,"uris":["http://zotero.org/users/10162777/items/DWZBJTBR"],"itemData":{"id":3688,"type":"report","collection-title":"MEng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p>
      <w:pPr>
        <w:pStyle w:val="Heading1"/>
        <w:numPr>
          <w:ilvl w:val="0"/>
          <w:numId w:val="2"/>
        </w:numPr>
      </w:pPr>
      <w:r>
        <w:t>Analysis</w:t>
      </w:r>
      <w:r>
        <w:rPr>
          <w:rStyle w:val="FootnoteReference"/>
        </w:rPr>
        <w:footnoteReference w:id="8"/>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rPr>
          <w:sz w:val="6"/>
          <w:szCs w:val="6"/>
        </w:rPr>
      </w:pPr>
    </w:p>
    <w:tbl>
      <w:tblPr>
        <w:tblW w:w="4490" w:type="dxa"/>
        <w:jc w:val="center"/>
        <w:tblLook w:val="04A0" w:firstRow="1" w:lastRow="0" w:firstColumn="1" w:lastColumn="0" w:noHBand="0" w:noVBand="1"/>
      </w:tblPr>
      <w:tblGrid>
        <w:gridCol w:w="501"/>
        <w:gridCol w:w="1174"/>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w:t>
      </w:r>
      <w:r>
        <w:rPr>
          <w:i/>
          <w:iCs/>
          <w:lang w:val="en-GB"/>
        </w:rPr>
        <w:lastRenderedPageBreak/>
        <w:t xml:space="preserve">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but struggles on DS3. Overall, although the initial error in the model-assisted approach is lower and more consistant then the naive approach,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80"/>
        <w:gridCol w:w="1520"/>
      </w:tblGrid>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Sample 5101</w:t>
            </w:r>
          </w:p>
        </w:tc>
        <w:tc>
          <w:tcPr>
            <w:tcW w:w="1380" w:type="dxa"/>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1520" w:type="dxa"/>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Iteration</w:t>
            </w:r>
          </w:p>
        </w:tc>
        <w:tc>
          <w:tcPr>
            <w:tcW w:w="1380" w:type="dxa"/>
            <w:shd w:val="clear" w:color="auto" w:fill="auto"/>
            <w:noWrap/>
            <w:vAlign w:val="center"/>
            <w:hideMark/>
          </w:tcPr>
          <w:p>
            <w:pPr>
              <w:suppressAutoHyphens w:val="0"/>
              <w:jc w:val="center"/>
              <w:rPr>
                <w:b/>
                <w:bCs/>
                <w:color w:val="000000"/>
              </w:rPr>
            </w:pPr>
            <w:r>
              <w:rPr>
                <w:b/>
                <w:bCs/>
                <w:color w:val="000000"/>
              </w:rPr>
              <w:t>Residual Error</w:t>
            </w:r>
          </w:p>
        </w:tc>
        <w:tc>
          <w:tcPr>
            <w:tcW w:w="1520" w:type="dxa"/>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0</w:t>
            </w:r>
          </w:p>
        </w:tc>
        <w:tc>
          <w:tcPr>
            <w:tcW w:w="1380" w:type="dxa"/>
            <w:shd w:val="clear" w:color="auto" w:fill="auto"/>
            <w:noWrap/>
            <w:vAlign w:val="center"/>
            <w:hideMark/>
          </w:tcPr>
          <w:p>
            <w:pPr>
              <w:suppressAutoHyphens w:val="0"/>
              <w:jc w:val="center"/>
              <w:rPr>
                <w:color w:val="000000"/>
              </w:rPr>
            </w:pPr>
            <w:r>
              <w:rPr>
                <w:color w:val="000000"/>
              </w:rPr>
              <w:t>0.00207481</w:t>
            </w:r>
          </w:p>
        </w:tc>
        <w:tc>
          <w:tcPr>
            <w:tcW w:w="1520" w:type="dxa"/>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1</w:t>
            </w:r>
          </w:p>
        </w:tc>
        <w:tc>
          <w:tcPr>
            <w:tcW w:w="1380" w:type="dxa"/>
            <w:shd w:val="clear" w:color="auto" w:fill="auto"/>
            <w:noWrap/>
            <w:vAlign w:val="center"/>
            <w:hideMark/>
          </w:tcPr>
          <w:p>
            <w:pPr>
              <w:suppressAutoHyphens w:val="0"/>
              <w:jc w:val="center"/>
              <w:rPr>
                <w:color w:val="000000"/>
              </w:rPr>
            </w:pPr>
            <w:r>
              <w:rPr>
                <w:color w:val="000000"/>
              </w:rPr>
              <w:t>0.000234899</w:t>
            </w:r>
          </w:p>
        </w:tc>
        <w:tc>
          <w:tcPr>
            <w:tcW w:w="1520" w:type="dxa"/>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2</w:t>
            </w:r>
          </w:p>
        </w:tc>
        <w:tc>
          <w:tcPr>
            <w:tcW w:w="1380" w:type="dxa"/>
            <w:shd w:val="clear" w:color="auto" w:fill="auto"/>
            <w:noWrap/>
            <w:vAlign w:val="center"/>
            <w:hideMark/>
          </w:tcPr>
          <w:p>
            <w:pPr>
              <w:suppressAutoHyphens w:val="0"/>
              <w:jc w:val="center"/>
              <w:rPr>
                <w:color w:val="000000"/>
              </w:rPr>
            </w:pPr>
            <w:r>
              <w:rPr>
                <w:color w:val="000000"/>
              </w:rPr>
              <w:t>3.68364E-05</w:t>
            </w:r>
          </w:p>
        </w:tc>
        <w:tc>
          <w:tcPr>
            <w:tcW w:w="1520" w:type="dxa"/>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3</w:t>
            </w:r>
          </w:p>
        </w:tc>
        <w:tc>
          <w:tcPr>
            <w:tcW w:w="1380" w:type="dxa"/>
            <w:shd w:val="clear" w:color="auto" w:fill="auto"/>
            <w:noWrap/>
            <w:vAlign w:val="center"/>
            <w:hideMark/>
          </w:tcPr>
          <w:p>
            <w:pPr>
              <w:suppressAutoHyphens w:val="0"/>
              <w:jc w:val="center"/>
              <w:rPr>
                <w:color w:val="000000"/>
              </w:rPr>
            </w:pPr>
            <w:r>
              <w:rPr>
                <w:color w:val="000000"/>
              </w:rPr>
              <w:t>1.02315E-05</w:t>
            </w:r>
          </w:p>
        </w:tc>
        <w:tc>
          <w:tcPr>
            <w:tcW w:w="1520" w:type="dxa"/>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4</w:t>
            </w:r>
          </w:p>
        </w:tc>
        <w:tc>
          <w:tcPr>
            <w:tcW w:w="1380" w:type="dxa"/>
            <w:shd w:val="clear" w:color="auto" w:fill="auto"/>
            <w:noWrap/>
            <w:vAlign w:val="center"/>
            <w:hideMark/>
          </w:tcPr>
          <w:p>
            <w:pPr>
              <w:suppressAutoHyphens w:val="0"/>
              <w:jc w:val="center"/>
              <w:rPr>
                <w:color w:val="000000"/>
              </w:rPr>
            </w:pPr>
            <w:r>
              <w:rPr>
                <w:color w:val="000000"/>
              </w:rPr>
              <w:t>1.0167E-06</w:t>
            </w:r>
          </w:p>
        </w:tc>
        <w:tc>
          <w:tcPr>
            <w:tcW w:w="1520" w:type="dxa"/>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5</w:t>
            </w:r>
          </w:p>
        </w:tc>
        <w:tc>
          <w:tcPr>
            <w:tcW w:w="1380" w:type="dxa"/>
            <w:shd w:val="clear" w:color="auto" w:fill="auto"/>
            <w:noWrap/>
            <w:vAlign w:val="center"/>
            <w:hideMark/>
          </w:tcPr>
          <w:p>
            <w:pPr>
              <w:suppressAutoHyphens w:val="0"/>
              <w:jc w:val="center"/>
              <w:rPr>
                <w:color w:val="000000"/>
              </w:rPr>
            </w:pPr>
            <w:r>
              <w:rPr>
                <w:color w:val="000000"/>
              </w:rPr>
              <w:t>2.997E-07</w:t>
            </w:r>
          </w:p>
        </w:tc>
        <w:tc>
          <w:tcPr>
            <w:tcW w:w="1520" w:type="dxa"/>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6</w:t>
            </w:r>
          </w:p>
        </w:tc>
        <w:tc>
          <w:tcPr>
            <w:tcW w:w="1380" w:type="dxa"/>
            <w:shd w:val="clear" w:color="auto" w:fill="auto"/>
            <w:noWrap/>
            <w:vAlign w:val="center"/>
            <w:hideMark/>
          </w:tcPr>
          <w:p>
            <w:pPr>
              <w:suppressAutoHyphens w:val="0"/>
              <w:jc w:val="center"/>
              <w:rPr>
                <w:color w:val="000000"/>
              </w:rPr>
            </w:pPr>
            <w:r>
              <w:rPr>
                <w:color w:val="000000"/>
              </w:rPr>
              <w:t>4.01E-08</w:t>
            </w:r>
          </w:p>
        </w:tc>
        <w:tc>
          <w:tcPr>
            <w:tcW w:w="1520" w:type="dxa"/>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Krylov solvers on the conditioning of the matrices and the eigenvalue properties of the matrices </w:t>
      </w:r>
      <w:r>
        <w:fldChar w:fldCharType="begin"/>
      </w:r>
      <w:r>
        <w:instrText xml:space="preserve"> ADDIN ZOTERO_ITEM CSL_CITATION {"citationID":"JO3DD82Z","properties":{"formattedCitation":"[11]","plainCitation":"[11]","noteIndex":0},"citationItems":[{"id":2259,"uris":["http://zotero.org/users/10162777/items/PNZATMFF"],"itemData":{"id":2259,"type":"book","abstract":"Computational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[11]</w:t>
      </w:r>
      <w:r>
        <w:fldChar w:fldCharType="end"/>
      </w:r>
      <w:r>
        <w:t>,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in this area remains at the model development stage. </w:t>
      </w:r>
    </w:p>
    <w:p>
      <w:pPr>
        <w:ind w:firstLine="202"/>
      </w:pPr>
      <w:r>
        <w:t xml:space="preserve">If the creation of models that bring the initial residual error to orders of magnitude lower than currently reported is </w:t>
      </w:r>
      <w:r>
        <w:t>deemed non-viable, after more extensive experimentation, then the attempted application of deep learning in electromagnetic scattering forward problems could be regarded as frivolous.</w:t>
      </w:r>
    </w:p>
    <w:p>
      <w:pPr>
        <w:ind w:firstLine="202"/>
      </w:pPr>
      <w:r>
        <w:t xml:space="preserve">While positive results are lacking with regard to the goal of the paper, the author points out that the research has been fruitful in providing the electromagnetics community with reproducible data, as well as raising concerns about the model training results, pertaining to the application of deep learning to the forward problem. The paper is written with the view that the engineering problem formulation, design approach, data generation process, experimental design and model development are </w:t>
      </w:r>
      <w:r>
        <w:t>substantial</w:t>
      </w:r>
      <w:r>
        <w:t xml:space="preserve"> and meaningful in a pre-results context.</w:t>
      </w:r>
    </w:p>
    <w:p>
      <w:pPr>
        <w:pStyle w:val="ListParagraph"/>
        <w:numPr>
          <w:ilvl w:val="0"/>
          <w:numId w:val="4"/>
        </w:numPr>
      </w:pPr>
      <w:r>
        <w:t xml:space="preserve">Dense layers, as reported in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may improve performance since the hybrid infusion relies on deep learning techniques associated with discrete-to-discrete data structures. The architecture deployed in this paper was formulated based on literature that was in the domain of image-to-image data structures.</w:t>
      </w:r>
    </w:p>
    <w:p>
      <w:pPr>
        <w:pStyle w:val="Text"/>
        <w:rPr>
          <w:b/>
          <w:bCs/>
          <w:i/>
          <w:iCs/>
        </w:rPr>
      </w:pPr>
      <w:r>
        <w:rPr>
          <w:b/>
          <w:bCs/>
        </w:rPr>
        <w:t xml:space="preserve">This is the conclusion. </w:t>
      </w:r>
      <w:r>
        <w:rPr>
          <w:b/>
          <w:bCs/>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[8]</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[9]</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[10]</w:t>
      </w:r>
      <w:r>
        <w:rPr>
          <w:rFonts w:ascii="Times-Roman" w:hAnsi="Times-Roman"/>
          <w:sz w:val="16"/>
        </w:rPr>
        <w:tab/>
        <w:t>A. J. McElwee, ‘Appendix B: Project Design Plan’, Aug. 2023.</w:t>
      </w:r>
    </w:p>
    <w:p>
      <w:pPr>
        <w:pStyle w:val="Bibliography"/>
        <w:rPr>
          <w:rFonts w:ascii="Times-Roman" w:hAnsi="Times-Roman"/>
          <w:sz w:val="16"/>
        </w:rPr>
      </w:pPr>
      <w:r>
        <w:rPr>
          <w:rFonts w:ascii="Times-Roman" w:hAnsi="Times-Roman"/>
          <w:sz w:val="16"/>
        </w:rPr>
        <w:t>[11]</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[12]</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default" r:id="rId18"/>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w:t>
      </w:r>
      <w:r>
        <w:fldChar w:fldCharType="begin"/>
      </w:r>
      <w:r>
        <w:instrText xml:space="preserve"> ADDIN ZOTERO_ITEM CSL_CITATION {"citationID":"OoOZ7xhZ","properties":{"formattedCitation":"[3]","plainCitation":"[3]","noteIndex":5},"citationItems":[{"id":3685,"uris":["http://zotero.org/users/10162777/items/UEZ5CYBD"],"itemData":{"id":3685,"type":"report","collection-title":"MEng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{"citationID":"U5xaQjyi","properties":{"formattedCitation":"[9]","plainCitation":"[9]","noteIndex":8},"citationItems":[{"id":3688,"uris":["http://zotero.org/users/10162777/items/DWZBJTBR"],"itemData":{"id":3688,"type":"report","collection-title":"MEng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8683</Words>
  <Characters>49498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1587</cp:revision>
  <cp:lastPrinted>2023-08-20T12:48:00Z</cp:lastPrinted>
  <dcterms:created xsi:type="dcterms:W3CDTF">2013-10-01T06:08:00Z</dcterms:created>
  <dcterms:modified xsi:type="dcterms:W3CDTF">2023-08-20T19:53:00Z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