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framePr w:w="9360" w:h="1357" w:hRule="exact" w:hSpace="187" w:vSpace="187" w:wrap="notBeside" w:vAnchor="text" w:hAnchor="page" w:x="1273" w:y="1"/>
        <w:rPr>
          <w:sz w:val="44"/>
          <w:szCs w:val="44"/>
        </w:rPr>
      </w:pPr>
      <w:r>
        <w:rPr>
          <w:sz w:val="44"/>
          <w:szCs w:val="44"/>
        </w:rPr>
        <w:t>Machine Learning Algorithms for EM Wave Scattering Problems</w:t>
      </w:r>
    </w:p>
    <w:p>
      <w:pPr>
        <w:pStyle w:val="Text"/>
        <w:framePr w:w="9360" w:h="1357" w:hRule="exact" w:hSpace="187" w:vSpace="187" w:wrap="notBeside" w:vAnchor="text" w:hAnchor="page" w:x="1273" w:y="1"/>
        <w:spacing w:line="240" w:lineRule="auto"/>
        <w:ind w:firstLine="0"/>
        <w:jc w:val="center"/>
        <w:rPr>
          <w:rStyle w:val="MemberType"/>
          <w:rFonts w:ascii="Symbol" w:eastAsia="Symbol" w:hAnsi="Symbol" w:cs="Symbol"/>
          <w:i w:val="0"/>
          <w:iCs w:val="0"/>
          <w:sz w:val="20"/>
          <w:szCs w:val="20"/>
        </w:rPr>
      </w:pPr>
      <w:r>
        <w:rPr>
          <w:sz w:val="22"/>
          <w:szCs w:val="22"/>
        </w:rPr>
        <w:t xml:space="preserve">Anthony James McElwee, </w:t>
      </w:r>
      <w:r>
        <w:rPr>
          <w:rStyle w:val="MemberType"/>
          <w:sz w:val="24"/>
          <w:szCs w:val="24"/>
        </w:rPr>
        <w:t>MEng Student, DCU</w:t>
      </w:r>
      <w:r>
        <w:rPr>
          <w:rStyle w:val="FootnoteReference"/>
          <w:i/>
          <w:iCs/>
          <w:sz w:val="24"/>
          <w:szCs w:val="24"/>
        </w:rPr>
        <w:footnoteReference w:id="1"/>
      </w:r>
    </w:p>
    <w:p>
      <w:pPr>
        <w:framePr w:w="9360" w:h="1357" w:hRule="exact" w:hSpace="187" w:vSpace="187" w:wrap="notBeside" w:vAnchor="text" w:hAnchor="page" w:x="1273" w:y="1"/>
        <w:rPr>
          <w:sz w:val="18"/>
          <w:szCs w:val="18"/>
        </w:rPr>
      </w:pPr>
    </w:p>
    <w:p>
      <w:pPr>
        <w:pStyle w:val="Abstract"/>
      </w:pPr>
      <w:r>
        <w:rPr>
          <w:i/>
          <w:iCs/>
        </w:rPr>
        <w:t xml:space="preserve">Abstract – </w:t>
      </w:r>
      <w:r>
        <w:t>This paper details the construction and evaluation of a deep learning emulator, Prescient2DL, to assist a Method of Moments (MoM) iterative solver, SolverEMF2, in generating solutions to two-dimensional, H-polarization, electromagnetic scattering problems at the 10 MHz range.</w:t>
      </w:r>
      <w:bookmarkStart w:id="0" w:name="PointTmp"/>
      <w:bookmarkEnd w:id="0"/>
      <w:r>
        <w:t xml:space="preserve"> The acceleration of conventional solvers at this frequency is of particular interest to the medical community where existing methods face computational disadvantage due to the high contrast nature of the scenes. Recent referenced works report successes in the general area of applying machine learning to electromagnetic scattering problems, however, there is a lack of clarity as to the potency of such models. This paper outlines a statistical experiment to assess the impact of the hybrid methodology, where Prescient2DL contributes to SolverEMF2. Experimental evidence indicates a considerably lower initial error than that associated with purely conventional solvers. However, negligible impact on metrics associated with conventional solvers is also reported. Finally, the paper also records two simple tests of generalizability for Prescient2DL where results indicate a degradation in model performance. </w:t>
      </w:r>
    </w:p>
    <w:p>
      <w:pPr>
        <w:pStyle w:val="Abstract"/>
        <w:rPr>
          <w:i/>
          <w:iCs/>
        </w:rPr>
      </w:pPr>
      <w:r>
        <w:rPr>
          <w:i/>
          <w:iCs/>
        </w:rPr>
        <w:t>Index Terms – computational electromagnetics, deep learning, VEFIE, Volume Electric Field Integral Equation, Transverse Electric, Contrast-Source Integral Equations, U-net, scientific emulation, forward problem, frequency domain</w:t>
      </w:r>
    </w:p>
    <w:p>
      <w:pPr>
        <w:pStyle w:val="Heading1"/>
        <w:numPr>
          <w:ilvl w:val="0"/>
          <w:numId w:val="2"/>
        </w:numPr>
        <w:rPr>
          <w:sz w:val="16"/>
          <w:szCs w:val="16"/>
        </w:rPr>
      </w:pPr>
      <w:r>
        <w:t>I</w:t>
      </w:r>
      <w:r>
        <w:rPr>
          <w:sz w:val="16"/>
          <w:szCs w:val="16"/>
        </w:rPr>
        <w:t>NTRODUCTION</w:t>
      </w:r>
    </w:p>
    <w:p>
      <w:pPr>
        <w:pStyle w:val="Text"/>
      </w:pPr>
      <w:r>
        <w:t xml:space="preserve">Medical diagnostic tools, such as biological segmentation and classification models, constitute a methodology that can increase the capacity for healthcare practitioners to rapidly and accurately differentiate between benign and malignant biological tissue. Developing such aides requires the generation of large quantities of synthetic data using frequency-domain electromagnetic scattering simulations. The development of such simulations necessitates considerable learning investment </w:t>
      </w:r>
      <w:r>
        <w:fldChar w:fldCharType="begin"/>
      </w:r>
      <w:r>
        <w:instrText xml:space="preserve"> ADDIN ZOTERO_ITEM CSL_CITATION {"citationID":"j83aoLs1","properties":{"formattedCitation":"[1]","plainCitation":"[1]","noteIndex":0},"citationItems":[{"id":2052,"uris":["http://zotero.org/users/10162777/items/2IYXUIUK"],"itemData":{"id":2052,"type":"book","abstract":"\"Forward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p>
      <w:pPr>
        <w:pStyle w:val="Text"/>
      </w:pPr>
      <w:r>
        <w:t xml:space="preserve">As extolled in </w:t>
      </w:r>
      <w:r>
        <w:fldChar w:fldCharType="begin"/>
      </w:r>
      <w:r>
        <w:instrText xml:space="preserve"> ADDIN ZOTERO_ITEM CSL_CITATION {"citationID":"6AAa8dtT","properties":{"formattedCitation":"[2]","plainCitation":"[2]","noteIndex":0},"citationItems":[{"id":3680,"uris":["http://zotero.org/users/10162777/items/YJTFD7X4"],"itemData":{"id":3680,"type":"article-journal","container-title":"IEEE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significant benefits to patients and medical practitioners could arise through the deployment of Magnetic Induction Tomography (MIT). This requires the acceleration of high-contrast simulation scenarios in the 10 MHz carrier frequency range.</w:t>
      </w:r>
    </w:p>
    <w:p>
      <w:pPr>
        <w:pStyle w:val="Text"/>
      </w:pPr>
      <w:r>
        <w:t>Generally, these simulations operate with a constrained set of input parameters, such as with fixed incident source wave configurations and defined ranges for the dielectric material properties of scatterers. Although input parameters are comparable across simulation incidences, conventional methods require full wave simulation and cannot be estimated with very low or high-frequency approximations. Generating large volumes of such simulations is considered uneconomical.</w:t>
      </w:r>
    </w:p>
    <w:p>
      <w:pPr>
        <w:pStyle w:val="Text"/>
      </w:pPr>
      <w:r>
        <w:t xml:space="preserve">The motivation of this paper is to report on the construction of an electromagnetic scattering solver workflow, SolverEMF2, for a toy problem with low contrast values for an incident wave frequency of 10 MHz. SolverEMF2 adapts code from </w:t>
      </w:r>
      <w:r>
        <w:fldChar w:fldCharType="begin"/>
      </w:r>
      <w:r>
        <w:instrText xml:space="preserve"> ADDIN ZOTERO_ITEM CSL_CITATION {"citationID":"aBnWLWhS","properties":{"formattedCitation":"[1]","plainCitation":"[1]","noteIndex":0},"citationItems":[{"id":2052,"uris":["http://zotero.org/users/10162777/items/2IYXUIUK"],"itemData":{"id":2052,"type":"book","abstract":"\"Forward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to use the Biconjugate Gradient Stabilized Method (BICGSTAB) to calculate the solution of contrast-source integral equations. This high performance code uses circular convolutions to accelerate multiplication steps via Fast Fourier Transforms. SolverEMF2 is used to create a data set for developing a deep learning model called Prescient2DL. Prescient2DL can feed back into SolverEMF2 to assist in the provision of solutions to the scattering simulations. Experiments to establish the impact of infusing Prescient2DL into SolverEMF2 are provided with commentary.</w:t>
      </w:r>
    </w:p>
    <w:p>
      <w:pPr>
        <w:pStyle w:val="Heading2"/>
      </w:pPr>
      <w:r>
        <w:t>Problem Specification</w:t>
      </w:r>
    </w:p>
    <w:p>
      <w:pPr>
        <w:ind w:firstLine="202"/>
      </w:pPr>
      <w:r>
        <w:rPr>
          <w:noProof/>
        </w:rPr>
        <mc:AlternateContent>
          <mc:Choice Requires="wps">
            <w:drawing>
              <wp:anchor distT="0" distB="0" distL="114300" distR="114300" simplePos="0" relativeHeight="251663360" behindDoc="0" locked="0" layoutInCell="0" allowOverlap="1">
                <wp:simplePos x="0" y="0"/>
                <wp:positionH relativeFrom="margin">
                  <wp:posOffset>3349625</wp:posOffset>
                </wp:positionH>
                <wp:positionV relativeFrom="margin">
                  <wp:posOffset>3288030</wp:posOffset>
                </wp:positionV>
                <wp:extent cx="1566545" cy="1733550"/>
                <wp:effectExtent l="0" t="0" r="0" b="0"/>
                <wp:wrapSquare wrapText="bothSides"/>
                <wp:docPr id="3" name="Text Box 5"/>
                <wp:cNvGraphicFramePr/>
                <a:graphic xmlns:a="http://schemas.openxmlformats.org/drawingml/2006/main">
                  <a:graphicData uri="http://schemas.microsoft.com/office/word/2010/wordprocessingShape">
                    <wps:wsp>
                      <wps:cNvSpPr/>
                      <wps:spPr>
                        <a:xfrm>
                          <a:off x="0" y="0"/>
                          <a:ext cx="1566545" cy="173355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pPr>
                              <w:pStyle w:val="FootnoteText"/>
                              <w:keepNext/>
                              <w:ind w:firstLine="0"/>
                              <w:jc w:val="left"/>
                            </w:pPr>
                            <w:r>
                              <w:rPr>
                                <w:noProof/>
                              </w:rPr>
                              <w:drawing>
                                <wp:inline distT="0" distB="0" distL="0" distR="0">
                                  <wp:extent cx="1534275" cy="1599384"/>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5584" cy="1611173"/>
                                          </a:xfrm>
                                          <a:prstGeom prst="rect">
                                            <a:avLst/>
                                          </a:prstGeom>
                                          <a:noFill/>
                                          <a:ln>
                                            <a:noFill/>
                                          </a:ln>
                                        </pic:spPr>
                                      </pic:pic>
                                    </a:graphicData>
                                  </a:graphic>
                                </wp:inline>
                              </w:drawing>
                            </w:r>
                            <w:r>
                              <w:t xml:space="preserve">Figure </w:t>
                            </w:r>
                            <w:fldSimple w:instr=" SEQ Figure \* ARABIC ">
                              <w:r>
                                <w:rPr>
                                  <w:noProof/>
                                </w:rPr>
                                <w:t>1</w:t>
                              </w:r>
                            </w:fldSimple>
                            <w:r>
                              <w:t>. Canonical Problem Diagram</w:t>
                            </w:r>
                          </w:p>
                        </w:txbxContent>
                      </wps:txbx>
                      <wps:bodyPr wrap="square" lIns="0" tIns="0" rIns="0" bIns="0" anchor="t" upright="1">
                        <a:noAutofit/>
                      </wps:bodyPr>
                    </wps:wsp>
                  </a:graphicData>
                </a:graphic>
                <wp14:sizeRelH relativeFrom="margin">
                  <wp14:pctWidth>0</wp14:pctWidth>
                </wp14:sizeRelH>
                <wp14:sizeRelV relativeFrom="margin">
                  <wp14:pctHeight>0</wp14:pctHeight>
                </wp14:sizeRelV>
              </wp:anchor>
            </w:drawing>
          </mc:Choice>
          <mc:Fallback>
            <w:pict>
              <v:rect id="Text Box 5" o:spid="_x0000_s1026" style="position:absolute;left:0;text-align:left;margin-left:263.75pt;margin-top:258.9pt;width:123.35pt;height:13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" o:allowincell="f" stroked="f" strokeweight="0">
                <v:textbox inset="0,0,0,0">
                  <w:txbxContent>
                    <w:p>
                      <w:pPr>
                        <w:pStyle w:val="FootnoteText"/>
                        <w:keepNext/>
                        <w:ind w:firstLine="0"/>
                        <w:jc w:val="left"/>
                      </w:pPr>
                      <w:r>
                        <w:rPr>
                          <w:noProof/>
                        </w:rPr>
                        <w:drawing>
                          <wp:inline distT="0" distB="0" distL="0" distR="0">
                            <wp:extent cx="1534275" cy="1599384"/>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5584" cy="1611173"/>
                                    </a:xfrm>
                                    <a:prstGeom prst="rect">
                                      <a:avLst/>
                                    </a:prstGeom>
                                    <a:noFill/>
                                    <a:ln>
                                      <a:noFill/>
                                    </a:ln>
                                  </pic:spPr>
                                </pic:pic>
                              </a:graphicData>
                            </a:graphic>
                          </wp:inline>
                        </w:drawing>
                      </w:r>
                      <w:r>
                        <w:t xml:space="preserve">Figure </w:t>
                      </w:r>
                      <w:fldSimple w:instr=" SEQ Figure \* ARABIC ">
                        <w:r>
                          <w:rPr>
                            <w:noProof/>
                          </w:rPr>
                          <w:t>1</w:t>
                        </w:r>
                      </w:fldSimple>
                      <w:r>
                        <w:t>. Canonical Problem Diagram</w:t>
                      </w:r>
                    </w:p>
                  </w:txbxContent>
                </v:textbox>
                <w10:wrap type="square" anchorx="margin" anchory="margin"/>
              </v:rect>
            </w:pict>
          </mc:Fallback>
        </mc:AlternateContent>
      </w:r>
      <w:r>
        <w:t>The paper reports on the forward H-polarization problem, otherwise known as the Transverse Electric (TE) problem, solving for the electric field strength in a domain with two contrast scatterers, one inside the other, receiving a dipole incident wave with E</w:t>
      </w:r>
      <w:r>
        <w:rPr>
          <w:vertAlign w:val="subscript"/>
        </w:rPr>
        <w:t>x</w:t>
      </w:r>
      <w:r>
        <w:t>, E</w:t>
      </w:r>
      <w:r>
        <w:rPr>
          <w:vertAlign w:val="subscript"/>
        </w:rPr>
        <w:t>y</w:t>
      </w:r>
      <w:r>
        <w:t xml:space="preserve"> and ZH</w:t>
      </w:r>
      <w:r>
        <w:rPr>
          <w:vertAlign w:val="subscript"/>
        </w:rPr>
        <w:t>z</w:t>
      </w:r>
      <w:r>
        <w:t xml:space="preserve"> components. This VEFIE formulation uses the Laplace convention derived in </w:t>
      </w:r>
      <w:r>
        <w:fldChar w:fldCharType="begin"/>
      </w:r>
      <w:r>
        <w:instrText xml:space="preserve"> ADDIN ZOTERO_ITEM CSL_CITATION {"citationID":"DUNKr7CP","properties":{"formattedCitation":"[1]","plainCitation":"[1]","noteIndex":0},"citationItems":[{"id":2052,"uris":["http://zotero.org/users/10162777/items/2IYXUIUK"],"itemData":{"id":2052,"type":"book","abstract":"\"Forward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solved using a conventional MoM methodology</w:t>
      </w:r>
      <w:r>
        <w:rPr>
          <w:rStyle w:val="FootnoteReference"/>
        </w:rPr>
        <w:footnoteReference w:id="2"/>
      </w:r>
      <w:r>
        <w:t xml:space="preserve">. It is assumed that all wave quantities depend sinusoidally on time with a common angular frequency ω. The problem requires finding two electric fields and as a result is a full vector problem.  As the task motivation is based around future medical developments, and the permeability of biological tissues can be considered roughly equal to that of the background vacuum embedding of the domain, no permeability contrast is assumed </w:t>
      </w:r>
      <w:r>
        <w:fldChar w:fldCharType="begin"/>
      </w:r>
      <w:r>
        <w:instrText xml:space="preserve"> ADDIN ZOTERO_ITEM CSL_CITATION {"citationID":"t6wb26Pz","properties":{"formattedCitation":"[2]","plainCitation":"[2]","noteIndex":0},"citationItems":[{"id":3680,"uris":["http://zotero.org/users/10162777/items/YJTFD7X4"],"itemData":{"id":3680,"type":"article-journal","container-title":"IEEE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This is a permittivity contrast only problem. The embedding medium has an electromagnetic impedance of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and propagation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 s/</m:t>
        </m:r>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where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is the permbeability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is the wave speed within the embedding. It is assumed that no sources exist within the scatterers. The incident waves are generated by a vertical electric-dipole line source and their componets are:</w:t>
      </w:r>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1</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d>
            <m:dPr>
              <m:ctrlPr>
                <w:rPr>
                  <w:rFonts w:ascii="Cambria Math" w:hAnsi="Cambria Math"/>
                  <w:i/>
                  <w:sz w:val="16"/>
                  <w:szCs w:val="16"/>
                </w:rPr>
              </m:ctrlPr>
            </m:dPr>
            <m:e>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e>
          </m:d>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(1)</m:t>
          </m:r>
        </m:oMath>
      </m:oMathPara>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2</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(2)</m:t>
          </m:r>
        </m:oMath>
      </m:oMathPara>
    </w:p>
    <w:p>
      <w:pPr>
        <w:rPr>
          <w:sz w:val="16"/>
          <w:szCs w:val="16"/>
        </w:rPr>
      </w:pPr>
      <m:oMathPara>
        <m:oMath>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H</m:t>
                      </m:r>
                    </m:e>
                  </m:acc>
                </m:e>
                <m:sub>
                  <m:r>
                    <w:rPr>
                      <w:rFonts w:ascii="Cambria Math" w:hAnsi="Cambria Math"/>
                      <w:sz w:val="16"/>
                      <w:szCs w:val="16"/>
                    </w:rPr>
                    <m:t>3</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(3)</m:t>
          </m:r>
        </m:oMath>
      </m:oMathPara>
    </w:p>
    <w:p>
      <w:r>
        <w:t xml:space="preserve">where the 2D Green’s function is given by </w:t>
      </w:r>
      <m:oMath>
        <m:acc>
          <m:accPr>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t xml:space="preserve">. The modified Bessel function of the second kind with second order is denoted by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The electric-dipole moment is denoted by </w:t>
      </w:r>
      <m:oMath>
        <m:acc>
          <m:accPr>
            <m:ctrlPr>
              <w:rPr>
                <w:rFonts w:ascii="Cambria Math" w:hAnsi="Cambria Math"/>
                <w:i/>
              </w:rPr>
            </m:ctrlPr>
          </m:accPr>
          <m:e>
            <m:r>
              <w:rPr>
                <w:rFonts w:ascii="Cambria Math" w:hAnsi="Cambria Math"/>
              </w:rPr>
              <m:t>M</m:t>
            </m:r>
          </m:e>
        </m:acc>
      </m:oMath>
      <w:r>
        <w:t xml:space="preserve">. A simplifying assumption is made such that </w:t>
      </w:r>
      <m:oMath>
        <m:sSub>
          <m:sSubPr>
            <m:ctrlPr>
              <w:rPr>
                <w:rFonts w:ascii="Cambria Math" w:hAnsi="Cambria Math"/>
                <w:i/>
              </w:rPr>
            </m:ctrlPr>
          </m:sSubPr>
          <m:e>
            <m:r>
              <w:rPr>
                <w:rFonts w:ascii="Cambria Math" w:hAnsi="Cambria Math"/>
              </w:rPr>
              <m:t>Z</m:t>
            </m:r>
          </m:e>
          <m:sub>
            <m:r>
              <w:rPr>
                <w:rFonts w:ascii="Cambria Math" w:hAnsi="Cambria Math"/>
              </w:rPr>
              <m:t>0</m:t>
            </m:r>
          </m:sub>
        </m:sSub>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oMath>
      <w:r>
        <w:t>. All other incident components are zero.</w:t>
      </w:r>
    </w:p>
    <w:p>
      <w:pPr>
        <w:ind w:firstLine="202"/>
      </w:pPr>
      <w:r>
        <w:t xml:space="preserve">As the scene assumes that there is an invariance in the permittivity contrast in the z-direction, the corresponding </w:t>
      </w:r>
      <w:r>
        <w:lastRenderedPageBreak/>
        <w:t>equation used to provide the basis to solve for the total electric field is as follows:</w:t>
      </w:r>
    </w:p>
    <w:p>
      <w:pPr>
        <w:rPr>
          <w:sz w:val="18"/>
          <w:szCs w:val="18"/>
        </w:rPr>
      </w:pPr>
      <m:oMathPara>
        <m:oMath>
          <m:sSup>
            <m:sSupPr>
              <m:ctrlPr>
                <w:rPr>
                  <w:rFonts w:ascii="Cambria Math" w:hAnsi="Cambria Math"/>
                  <w:i/>
                  <w:sz w:val="16"/>
                  <w:szCs w:val="16"/>
                </w:rPr>
              </m:ctrlPr>
            </m:sSupPr>
            <m:e>
              <m:acc>
                <m:accPr>
                  <m:ctrlPr>
                    <w:rPr>
                      <w:rFonts w:ascii="Cambria Math" w:hAnsi="Cambria Math"/>
                      <w:i/>
                      <w:sz w:val="16"/>
                      <w:szCs w:val="16"/>
                    </w:rPr>
                  </m:ctrlPr>
                </m:accPr>
                <m:e>
                  <m:r>
                    <w:rPr>
                      <w:rFonts w:ascii="Cambria Math" w:hAnsi="Cambria Math"/>
                      <w:sz w:val="16"/>
                      <w:szCs w:val="16"/>
                    </w:rPr>
                    <m:t>χ</m:t>
                  </m:r>
                </m:e>
              </m:acc>
            </m:e>
            <m:sup>
              <m:r>
                <w:rPr>
                  <w:rFonts w:ascii="Cambria Math" w:hAnsi="Cambria Math"/>
                  <w:sz w:val="16"/>
                  <w:szCs w:val="16"/>
                </w:rPr>
                <m:t>ε</m:t>
              </m:r>
            </m:sup>
          </m:sSup>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j</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d>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j</m:t>
                  </m:r>
                </m:sub>
              </m:sSub>
            </m:e>
            <m:sup>
              <m:r>
                <w:rPr>
                  <w:rFonts w:ascii="Cambria Math" w:hAnsi="Cambria Math"/>
                  <w:sz w:val="16"/>
                  <w:szCs w:val="16"/>
                </w:rPr>
                <m:t>E</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d>
          <m:r>
            <w:rPr>
              <w:rFonts w:ascii="Cambria Math" w:hAnsi="Cambria Math"/>
              <w:sz w:val="16"/>
              <w:szCs w:val="16"/>
            </w:rPr>
            <m:t>-</m:t>
          </m:r>
          <m:sSup>
            <m:sSupPr>
              <m:ctrlPr>
                <w:rPr>
                  <w:rFonts w:ascii="Cambria Math" w:hAnsi="Cambria Math"/>
                  <w:i/>
                  <w:sz w:val="16"/>
                  <w:szCs w:val="16"/>
                </w:rPr>
              </m:ctrlPr>
            </m:sSupPr>
            <m:e>
              <m:acc>
                <m:accPr>
                  <m:ctrlPr>
                    <w:rPr>
                      <w:rFonts w:ascii="Cambria Math" w:hAnsi="Cambria Math"/>
                      <w:i/>
                      <w:sz w:val="16"/>
                      <w:szCs w:val="16"/>
                    </w:rPr>
                  </m:ctrlPr>
                </m:accPr>
                <m:e>
                  <m:r>
                    <w:rPr>
                      <w:rFonts w:ascii="Cambria Math" w:hAnsi="Cambria Math"/>
                      <w:sz w:val="16"/>
                      <w:szCs w:val="16"/>
                    </w:rPr>
                    <m:t>χ</m:t>
                  </m:r>
                </m:e>
              </m:acc>
            </m:e>
            <m:sup>
              <m:r>
                <w:rPr>
                  <w:rFonts w:ascii="Cambria Math" w:hAnsi="Cambria Math"/>
                  <w:sz w:val="16"/>
                  <w:szCs w:val="16"/>
                </w:rPr>
                <m:t>ε</m:t>
              </m:r>
            </m:sup>
          </m:sSup>
          <m:d>
            <m:dPr>
              <m:ctrlPr>
                <w:rPr>
                  <w:rFonts w:ascii="Cambria Math" w:hAnsi="Cambria Math"/>
                  <w:i/>
                  <w:sz w:val="16"/>
                  <w:szCs w:val="16"/>
                </w:rPr>
              </m:ctrlPr>
            </m:dPr>
            <m:e>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rPr>
                    <m:t>j, k</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j</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k</m:t>
                  </m:r>
                </m:sub>
              </m:sSub>
            </m:e>
          </m:d>
          <m:nary>
            <m:naryPr>
              <m:limLoc m:val="undOvr"/>
              <m:ctrlPr>
                <w:rPr>
                  <w:rFonts w:ascii="Cambria Math" w:hAnsi="Cambria Math"/>
                  <w:i/>
                  <w:sz w:val="16"/>
                  <w:szCs w:val="16"/>
                </w:rPr>
              </m:ctrlPr>
            </m:naryPr>
            <m:sub>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sct</m:t>
                  </m:r>
                </m:sub>
              </m:sSub>
            </m:sub>
            <m:sup/>
            <m:e>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e>
              </m:d>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k</m:t>
                      </m:r>
                    </m:sub>
                  </m:sSub>
                </m:e>
                <m:sup>
                  <m:r>
                    <w:rPr>
                      <w:rFonts w:ascii="Cambria Math" w:hAnsi="Cambria Math"/>
                      <w:sz w:val="16"/>
                      <w:szCs w:val="16"/>
                    </w:rPr>
                    <m:t>E</m:t>
                  </m:r>
                </m:sup>
              </m:sSup>
              <m:d>
                <m:dPr>
                  <m:ctrlPr>
                    <w:rPr>
                      <w:rFonts w:ascii="Cambria Math" w:hAnsi="Cambria Math"/>
                      <w:i/>
                      <w:sz w:val="16"/>
                      <w:szCs w:val="16"/>
                    </w:rPr>
                  </m:ctrlPr>
                </m:dPr>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e>
              </m:d>
              <m:r>
                <w:rPr>
                  <w:rFonts w:ascii="Cambria Math" w:hAnsi="Cambria Math"/>
                  <w:sz w:val="16"/>
                  <w:szCs w:val="16"/>
                </w:rPr>
                <m:t xml:space="preserve"> dA</m:t>
              </m:r>
            </m:e>
          </m:nary>
          <m:r>
            <w:rPr>
              <w:rFonts w:ascii="Cambria Math" w:hAnsi="Cambria Math"/>
              <w:sz w:val="16"/>
              <w:szCs w:val="16"/>
            </w:rPr>
            <m:t xml:space="preserve">,  </m:t>
          </m:r>
          <m:d>
            <m:dPr>
              <m:ctrlPr>
                <w:rPr>
                  <w:rFonts w:ascii="Cambria Math" w:hAnsi="Cambria Math"/>
                  <w:i/>
                  <w:sz w:val="16"/>
                  <w:szCs w:val="16"/>
                </w:rPr>
              </m:ctrlPr>
            </m:dPr>
            <m:e>
              <m:r>
                <w:rPr>
                  <w:rFonts w:ascii="Cambria Math" w:hAnsi="Cambria Math"/>
                  <w:sz w:val="16"/>
                  <w:szCs w:val="16"/>
                </w:rPr>
                <m:t>4</m:t>
              </m:r>
            </m:e>
          </m:d>
        </m:oMath>
      </m:oMathPara>
    </w:p>
    <w:p>
      <w:r>
        <w:t xml:space="preserve">where </w:t>
      </w:r>
      <m:oMath>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=1-</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ε</m:t>
                    </m:r>
                  </m:e>
                </m:acc>
              </m:e>
              <m:sub>
                <m:r>
                  <w:rPr>
                    <w:rFonts w:ascii="Cambria Math" w:hAnsi="Cambria Math"/>
                  </w:rPr>
                  <m:t>sct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t xml:space="preserve"> and the electric contrast source vector 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e>
          <m:sup>
            <m:r>
              <w:rPr>
                <w:rFonts w:ascii="Cambria Math" w:hAnsi="Cambria Math"/>
              </w:rPr>
              <m:t>E</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r>
              <w:rPr>
                <w:rFonts w:ascii="Cambria Math" w:hAnsi="Cambria Math"/>
              </w:rPr>
              <m:t>x</m:t>
            </m:r>
          </m:e>
        </m:d>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k</m:t>
            </m:r>
          </m:sub>
        </m:sSub>
        <m:r>
          <w:rPr>
            <w:rFonts w:ascii="Cambria Math" w:hAnsi="Cambria Math"/>
          </w:rPr>
          <m:t>(x)</m:t>
        </m:r>
      </m:oMath>
      <w:r>
        <w:t xml:space="preserve"> </w:t>
      </w:r>
      <w:r>
        <w:fldChar w:fldCharType="begin"/>
      </w:r>
      <w:r>
        <w:instrText xml:space="preserve"> ADDIN ZOTERO_ITEM CSL_CITATION {"citationID":"wPjAzlEd","properties":{"formattedCitation":"[1]","plainCitation":"[1]","noteIndex":0},"citationItems":[{"id":2052,"uris":["http://zotero.org/users/10162777/items/2IYXUIUK"],"itemData":{"id":2052,"type":"book","abstract":"\"Forward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 indicator function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oMath>
      <w:r>
        <w:t xml:space="preserve"> assumes the property that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r>
          <w:rPr>
            <w:rFonts w:ascii="Cambria Math" w:hAnsi="Cambria Math"/>
            <w:sz w:val="14"/>
            <w:szCs w:val="14"/>
          </w:rPr>
          <m:t>=1</m:t>
        </m:r>
      </m:oMath>
      <w:r>
        <w:t xml:space="preserve"> if j and k are equal, otherwise it is zero. Thus two solutions are required to solve for the electric contrast sources which can then be used to solve for the electric field components at the recievers given by </w:t>
      </w:r>
    </w:p>
    <w:p>
      <w:pPr>
        <w:rPr>
          <w:sz w:val="14"/>
          <w:szCs w:val="14"/>
        </w:rPr>
      </w:pPr>
      <m:oMath>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E</m:t>
                    </m:r>
                  </m:e>
                </m:acc>
              </m:e>
              <m:sub>
                <m:r>
                  <w:rPr>
                    <w:rFonts w:ascii="Cambria Math" w:hAnsi="Cambria Math"/>
                    <w:sz w:val="14"/>
                    <w:szCs w:val="14"/>
                  </w:rPr>
                  <m:t>j</m:t>
                </m:r>
              </m:sub>
            </m:sSub>
          </m:e>
          <m:sup>
            <m:r>
              <w:rPr>
                <w:rFonts w:ascii="Cambria Math" w:hAnsi="Cambria Math"/>
                <w:sz w:val="14"/>
                <w:szCs w:val="14"/>
              </w:rPr>
              <m:t>sct</m:t>
            </m:r>
          </m:sup>
        </m:sSup>
        <m:d>
          <m:dPr>
            <m:ctrlPr>
              <w:rPr>
                <w:rFonts w:ascii="Cambria Math" w:hAnsi="Cambria Math"/>
                <w:i/>
                <w:sz w:val="14"/>
                <w:szCs w:val="14"/>
              </w:rPr>
            </m:ctrlPr>
          </m:dPr>
          <m:e>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R</m:t>
                </m:r>
              </m:sup>
            </m:sSup>
          </m:e>
        </m:d>
        <m:r>
          <w:rPr>
            <w:rFonts w:ascii="Cambria Math" w:hAnsi="Cambria Math"/>
            <w:sz w:val="14"/>
            <w:szCs w:val="14"/>
          </w:rPr>
          <m:t>=</m:t>
        </m:r>
        <m:nary>
          <m:naryPr>
            <m:limLoc m:val="subSup"/>
            <m:ctrlPr>
              <w:rPr>
                <w:rFonts w:ascii="Cambria Math" w:hAnsi="Cambria Math"/>
                <w:i/>
                <w:sz w:val="14"/>
                <w:szCs w:val="14"/>
              </w:rPr>
            </m:ctrlPr>
          </m:naryPr>
          <m:sub>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D</m:t>
                </m:r>
              </m:e>
              <m:sub>
                <m:r>
                  <w:rPr>
                    <w:rFonts w:ascii="Cambria Math" w:hAnsi="Cambria Math"/>
                    <w:sz w:val="14"/>
                    <w:szCs w:val="14"/>
                  </w:rPr>
                  <m:t>sct</m:t>
                </m:r>
              </m:sub>
            </m:sSub>
          </m:sub>
          <m:sup/>
          <m:e>
            <m:d>
              <m:dPr>
                <m:ctrlPr>
                  <w:rPr>
                    <w:rFonts w:ascii="Cambria Math" w:hAnsi="Cambria Math"/>
                    <w:i/>
                    <w:sz w:val="14"/>
                    <w:szCs w:val="14"/>
                  </w:rPr>
                </m:ctrlPr>
              </m:dPr>
              <m:e>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γ</m:t>
                            </m:r>
                          </m:e>
                        </m:acc>
                      </m:e>
                      <m:sub>
                        <m:r>
                          <w:rPr>
                            <w:rFonts w:ascii="Cambria Math" w:hAnsi="Cambria Math"/>
                            <w:sz w:val="14"/>
                            <w:szCs w:val="14"/>
                          </w:rPr>
                          <m:t>0</m:t>
                        </m:r>
                      </m:sub>
                    </m:sSub>
                  </m:e>
                  <m:sup>
                    <m:r>
                      <w:rPr>
                        <w:rFonts w:ascii="Cambria Math" w:hAnsi="Cambria Math"/>
                        <w:sz w:val="14"/>
                        <w:szCs w:val="14"/>
                      </w:rPr>
                      <m:t>2</m:t>
                    </m:r>
                  </m:sup>
                </m:sSup>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j</m:t>
                        </m:r>
                      </m:sub>
                    </m:sSub>
                  </m:e>
                  <m:sup>
                    <m:r>
                      <w:rPr>
                        <w:rFonts w:ascii="Cambria Math" w:hAnsi="Cambria Math"/>
                        <w:sz w:val="14"/>
                        <w:szCs w:val="14"/>
                      </w:rPr>
                      <m:t>R</m:t>
                    </m:r>
                  </m:sup>
                </m:sSup>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k</m:t>
                        </m:r>
                      </m:sub>
                    </m:sSub>
                  </m:e>
                  <m:sup>
                    <m:r>
                      <w:rPr>
                        <w:rFonts w:ascii="Cambria Math" w:hAnsi="Cambria Math"/>
                        <w:sz w:val="14"/>
                        <w:szCs w:val="14"/>
                      </w:rPr>
                      <m:t>R</m:t>
                    </m:r>
                  </m:sup>
                </m:sSup>
              </m:e>
            </m:d>
            <m:acc>
              <m:accPr>
                <m:ctrlPr>
                  <w:rPr>
                    <w:rFonts w:ascii="Cambria Math" w:hAnsi="Cambria Math"/>
                    <w:i/>
                    <w:sz w:val="14"/>
                    <w:szCs w:val="14"/>
                  </w:rPr>
                </m:ctrlPr>
              </m:accPr>
              <m:e>
                <m:r>
                  <w:rPr>
                    <w:rFonts w:ascii="Cambria Math" w:hAnsi="Cambria Math"/>
                    <w:sz w:val="14"/>
                    <w:szCs w:val="14"/>
                  </w:rPr>
                  <m:t>G</m:t>
                </m:r>
              </m:e>
            </m:acc>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R</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w</m:t>
                        </m:r>
                      </m:e>
                    </m:acc>
                  </m:e>
                  <m:sub>
                    <m:r>
                      <w:rPr>
                        <w:rFonts w:ascii="Cambria Math" w:hAnsi="Cambria Math"/>
                        <w:sz w:val="14"/>
                        <w:szCs w:val="14"/>
                      </w:rPr>
                      <m:t>k</m:t>
                    </m:r>
                  </m:sub>
                </m:sSub>
              </m:e>
              <m:sup>
                <m:r>
                  <w:rPr>
                    <w:rFonts w:ascii="Cambria Math" w:hAnsi="Cambria Math"/>
                    <w:sz w:val="14"/>
                    <w:szCs w:val="14"/>
                  </w:rPr>
                  <m:t>E</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e>
        </m:nary>
        <m:r>
          <w:rPr>
            <w:rFonts w:ascii="Cambria Math" w:hAnsi="Cambria Math"/>
            <w:sz w:val="14"/>
            <w:szCs w:val="14"/>
          </w:rPr>
          <m:t>dA</m:t>
        </m:r>
      </m:oMath>
      <w:r>
        <w:rPr>
          <w:sz w:val="14"/>
          <w:szCs w:val="14"/>
        </w:rPr>
        <w:t>.</w:t>
      </w:r>
    </w:p>
    <w:p>
      <w:pPr>
        <w:rPr>
          <w:smallCaps/>
          <w:kern w:val="2"/>
        </w:rPr>
      </w:pPr>
      <w:r>
        <w:t xml:space="preserve">The permittivity contrasts also assume only a real component with zero conductivity and are frequency independent. The diagram, adapted from </w:t>
      </w:r>
      <w:r>
        <w:fldChar w:fldCharType="begin"/>
      </w:r>
      <w:r>
        <w:instrText xml:space="preserve"> ADDIN ZOTERO_ITEM CSL_CITATION {"citationID":"7jI4BE5N","properties":{"formattedCitation":"[1]","plainCitation":"[1]","noteIndex":0},"citationItems":[{"id":2052,"uris":["http://zotero.org/users/10162777/items/2IYXUIUK"],"itemData":{"id":2052,"type":"book","abstract":"\"Forward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illustrates the canonical version of the problem.  Receivers used to validate the solver against a Bessel Function Approach form a ring around the main scatterer lying between the source and the scatterer boundary </w:t>
      </w:r>
      <w:r>
        <w:fldChar w:fldCharType="begin"/>
      </w:r>
      <w:r>
        <w:instrText xml:space="preserve"> ADDIN ZOTERO_ITEM CSL_CITATION {"citationID":"9GVPhwlC","properties":{"formattedCitation":"[4]","plainCitation":"[4]","noteIndex":0},"citationItems":[{"id":3686,"uris":["http://zotero.org/users/10162777/items/U74K2KSC"],"itemData":{"id":3686,"type":"report","collection-title":"MEng Final Portfolio","title":"Appendix D: Project Design &amp; Implementation","author":[{"family":"McElwee","given":"Anthony James"}],"issued":{"date-parts":[["2023",8]]},"citation-key":"mcelweeAppendixProjectDesign2023"}}],"schema":"https://github.com/citation-style-language/schema/raw/master/csl-citation.json"} </w:instrText>
      </w:r>
      <w:r>
        <w:fldChar w:fldCharType="separate"/>
      </w:r>
      <w:r>
        <w:t>[4]</w:t>
      </w:r>
      <w:r>
        <w:fldChar w:fldCharType="end"/>
      </w:r>
      <w:r>
        <w:rPr>
          <w:rStyle w:val="FootnoteReference"/>
        </w:rPr>
        <w:footnoteReference w:id="3"/>
      </w:r>
      <w:r>
        <w:t xml:space="preserve">. </w:t>
      </w:r>
    </w:p>
    <w:p>
      <w:pPr>
        <w:pStyle w:val="Heading1"/>
        <w:numPr>
          <w:ilvl w:val="0"/>
          <w:numId w:val="2"/>
        </w:numPr>
      </w:pPr>
      <w:r>
        <w:t>Existing work in the domain of electromagnetic scattering and machine learning</w:t>
      </w:r>
    </w:p>
    <w:p>
      <w:pPr>
        <w:rPr>
          <w:i/>
          <w:iCs/>
        </w:rPr>
      </w:pPr>
      <w:r>
        <w:rPr>
          <w:i/>
          <w:iCs/>
        </w:rPr>
        <w:t>This is a survey of the state of the art. It should be more than a list of citations of prior work. Give this section a title relevant to your project (“Existing techniques for chronological displacement”). Organize prior work in groups and evaluate them. What are their common features, strengths and weaknesses? This section should be persuading the reader that there is a gaping hole in the research literature, and hint that the technique you are about to describe will fill that hole. The prior art on which you base this section will have already been discussed by you in your Literature Survey. However, you should have greater insight into prior research now, having completed your own project. Do not simply cut and paste text from your literature survey into this section rewrite it so that it is concise enough to meet the length requirements of a research paper and to reflect your improved understanding of your research topic.</w:t>
      </w:r>
    </w:p>
    <w:p>
      <w:pPr>
        <w:pStyle w:val="Text"/>
        <w:rPr>
          <w:b/>
          <w:bCs/>
          <w:u w:val="single"/>
        </w:rPr>
      </w:pPr>
      <w:r>
        <w:rPr>
          <w:b/>
          <w:bCs/>
          <w:u w:val="single"/>
        </w:rPr>
        <w:t>End of page 1 (0 pages)</w:t>
      </w:r>
    </w:p>
    <w:p>
      <w:pPr>
        <w:pStyle w:val="ListParagraph"/>
        <w:numPr>
          <w:ilvl w:val="0"/>
          <w:numId w:val="6"/>
        </w:numPr>
      </w:pPr>
      <w:r>
        <w:t xml:space="preserve">Look at </w:t>
      </w:r>
      <w:r>
        <w:fldChar w:fldCharType="begin"/>
      </w:r>
      <w:r>
        <w:instrText xml:space="preserve"> ADDIN ZOTERO_ITEM CSL_CITATION {"citationID":"v0qYqyLK","properties":{"formattedCitation":"[2]","plainCitation":"[2]","noteIndex":0},"citationItems":[{"id":3680,"uris":["http://zotero.org/users/10162777/items/YJTFD7X4"],"itemData":{"id":3680,"type":"article-journal","container-title":"IEEE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section A.</w:t>
      </w:r>
    </w:p>
    <w:p>
      <w:pPr>
        <w:pStyle w:val="ListParagraph"/>
        <w:numPr>
          <w:ilvl w:val="0"/>
          <w:numId w:val="6"/>
        </w:numPr>
      </w:pPr>
      <w:r>
        <w:t>Look at the project log!</w:t>
      </w:r>
    </w:p>
    <w:p>
      <w:pPr>
        <w:pStyle w:val="ListParagraph"/>
        <w:numPr>
          <w:ilvl w:val="0"/>
          <w:numId w:val="6"/>
        </w:numPr>
      </w:pPr>
      <w:r>
        <w:t>DO THIS WHEN OTHER SECTIONS ARE COMPLETE TO MANAGE SPACE. IF YOU NEED TO BULK OUT THEN DO SO, OTHERWISE NOTE THAT THE PROJECT LOG IN THE APPENDCICES CONTAINS MORE COMMENTRAY AND THE LITERATURE REVIEW REMAINS RELEVANT.</w:t>
      </w:r>
    </w:p>
    <w:p>
      <w:pPr>
        <w:pStyle w:val="ListParagraph"/>
        <w:numPr>
          <w:ilvl w:val="0"/>
          <w:numId w:val="6"/>
        </w:numPr>
      </w:pPr>
      <w:r>
        <w:t>DENS is useful not just for the meta stuff but because it anchors the use of emulators as substep within larger simulations, they are used as approximating subcomponents [CHECK: is this stated?] whereas this project is trying to go beyond that usage of deep learning.</w:t>
      </w:r>
    </w:p>
    <w:p>
      <w:pPr>
        <w:pStyle w:val="Heading1"/>
        <w:numPr>
          <w:ilvl w:val="0"/>
          <w:numId w:val="2"/>
        </w:numPr>
      </w:pPr>
      <w:r>
        <w:t>Technical Description</w:t>
      </w:r>
    </w:p>
    <w:p>
      <w:pPr>
        <w:pStyle w:val="Heading2"/>
      </w:pPr>
      <w:r>
        <w:t>Conventional Solver Creation</w:t>
      </w:r>
    </w:p>
    <w:p>
      <w:pPr>
        <w:ind w:firstLine="202"/>
      </w:pPr>
      <w:r>
        <w:t xml:space="preserve">As noted in the introduction, generating solutions to forward electromagnetic scattering problems is a potentially complicated, time-intensive task. MATLAB code, provided in conjuction with </w:t>
      </w:r>
      <w:r>
        <w:fldChar w:fldCharType="begin"/>
      </w:r>
      <w:r>
        <w:instrText xml:space="preserve"> ADDIN ZOTERO_ITEM CSL_CITATION {"citationID":"T9wjuwH7","properties":{"formattedCitation":"[1]","plainCitation":"[1]","noteIndex":0},"citationItems":[{"id":2052,"uris":["http://zotero.org/users/10162777/items/2IYXUIUK"],"itemData":{"id":2052,"type":"book","abstract":"\"Forward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was translated by the student to Python and then adapted to generate solutions in a bid to accelerate the experimental development. The source of the original code eminates from an extremely experienced researcher that is cited recurrently in other references consulted during the investigation of the paper</w:t>
      </w:r>
      <w:r>
        <w:rPr>
          <w:rStyle w:val="FootnoteReference"/>
        </w:rPr>
        <w:footnoteReference w:id="4"/>
      </w:r>
      <w:r>
        <w:t>.</w:t>
      </w:r>
    </w:p>
    <w:p>
      <w:pPr>
        <w:ind w:firstLine="202"/>
      </w:pPr>
      <w:r>
        <w:t xml:space="preserve">Equation (4) is defined continuously over the domain, thus giving rise to an infinite number of linear equations with an infinite number of unknown variables for </w:t>
      </w:r>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j</m:t>
                </m:r>
              </m:sub>
            </m:sSub>
          </m:e>
          <m:sup>
            <m:r>
              <w:rPr>
                <w:rFonts w:ascii="Cambria Math" w:hAnsi="Cambria Math"/>
                <w:sz w:val="16"/>
                <w:szCs w:val="16"/>
              </w:rPr>
              <m:t>E</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d>
      </m:oMath>
      <w:r>
        <w:rPr>
          <w:sz w:val="16"/>
          <w:szCs w:val="16"/>
        </w:rPr>
        <w:t xml:space="preserve">. </w:t>
      </w:r>
      <w:r>
        <w:t xml:space="preserve">The MoM scheme is used to discretize this continuous operator problem. A finite set of basis functions is used to gerernate a weak form of the continuous operator equation. There exists analytical solutions to the weak formulations of Green Functions but in Equation (4) singularities arise when the position vector and the source vector are equal. Details of the averaging and approximation strategies used to fully express equation (4) are given in Chapter 1.3 of </w:t>
      </w:r>
      <w:r>
        <w:fldChar w:fldCharType="begin"/>
      </w:r>
      <w:r>
        <w:instrText xml:space="preserve"> ADDIN ZOTERO_ITEM CSL_CITATION {"citationID":"OujAkxVU","properties":{"formattedCitation":"[1]","plainCitation":"[1]","noteIndex":0},"citationItems":[{"id":2052,"uris":["http://zotero.org/users/10162777/items/2IYXUIUK"],"itemData":{"id":2052,"type":"book","abstract":"\"Forward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From these formulations arises a discrete operator that can be represented using circular convolution. Through the use of a circulant matrix [CHECK: Include the matrix here if space allowed, see 1.64.], the multiplication steps required to solve the MoM linear system of N equations is simplified to a vector of 2*N components. The convolution is computed using Fast Fourier Transforms (FFT) which reduces the complexity of the matrix-vector multiplication from </w:t>
      </w:r>
      <m:oMath>
        <m:r>
          <m:rPr>
            <m:scr m:val="script"/>
          </m:rP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to </w:t>
      </w:r>
      <m:oMath>
        <m:r>
          <m:rPr>
            <m:scr m:val="script"/>
          </m:rPr>
          <w:rPr>
            <w:rFonts w:ascii="Cambria Math" w:hAnsi="Cambria Math"/>
          </w:rPr>
          <m:t>O(</m:t>
        </m:r>
        <m:r>
          <w:rPr>
            <w:rFonts w:ascii="Cambria Math" w:hAnsi="Cambria Math"/>
          </w:rPr>
          <m:t xml:space="preserve">N </m:t>
        </m:r>
        <m:r>
          <m:rPr>
            <m:sty m:val="p"/>
          </m:rPr>
          <w:rPr>
            <w:rFonts w:ascii="Cambria Math" w:hAnsi="Cambria Math"/>
          </w:rPr>
          <m:t>log⁡</m:t>
        </m:r>
        <m:r>
          <w:rPr>
            <w:rFonts w:ascii="Cambria Math" w:hAnsi="Cambria Math"/>
          </w:rPr>
          <m:t>(N))</m:t>
        </m:r>
      </m:oMath>
      <w:r>
        <w:t>.</w:t>
      </w:r>
    </w:p>
    <w:p>
      <w:pPr>
        <w:ind w:firstLine="202"/>
      </w:pPr>
      <w:r>
        <w:t xml:space="preserve">This MoM disctretisation, and the exploitation of the circulant properties of the operator functions, leads to the use of Iterative Krylov solvers to find a solution that minimises a residual  error criteria set by the engineer. As noted in </w:t>
      </w:r>
      <w:r>
        <w:fldChar w:fldCharType="begin"/>
      </w:r>
      <w:r>
        <w:instrText xml:space="preserve"> ADDIN ZOTERO_ITEM CSL_CITATION {"citationID":"1Y31PXrb","properties":{"formattedCitation":"[2]","plainCitation":"[2]","noteIndex":0},"citationItems":[{"id":3680,"uris":["http://zotero.org/users/10162777/items/YJTFD7X4"],"itemData":{"id":3680,"type":"article-journal","container-title":"IEEE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and eventually </w:t>
      </w:r>
      <w:r>
        <w:fldChar w:fldCharType="begin"/>
      </w:r>
      <w:r>
        <w:instrText xml:space="preserve"> ADDIN ZOTERO_ITEM CSL_CITATION {"citationID":"AkJ83ppk","properties":{"formattedCitation":"[1]","plainCitation":"[1]","noteIndex":0},"citationItems":[{"id":2052,"uris":["http://zotero.org/users/10162777/items/2IYXUIUK"],"itemData":{"id":2052,"type":"book","abstract":"\"Forward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the Biconjugate Gradient Stabilized Method (BICGSTAB) solver is favoured to solve these MoM electromagnetic scattering problems, with both texts reporting a significant reduction in iterations required to achieve threshold error criteria compared to other Iterative Krylov solvers. Through the use of these mathematical techniques, the Python code is high-performance, thus providing a defensible comparison, in terms of inference time, to any deep learning emulator model. The general deep learning model predition time is 0.3 seconds with the conventional times for the datasets given in the next section.</w:t>
      </w:r>
    </w:p>
    <w:p>
      <w:pPr>
        <w:pStyle w:val="Heading2"/>
      </w:pPr>
      <w:r>
        <w:t xml:space="preserve"> Dataset Generation Description</w:t>
      </w:r>
    </w:p>
    <w:p>
      <w:pPr>
        <w:ind w:firstLine="202"/>
      </w:pPr>
      <w:r>
        <w:t>Three types of dataset were generated to conduct experimental analysis: major base dataset with two contrast scatterers (DS1); minor single lower-contrast scatterer dataset for testing model generalisability of true-negative sample cases (DS2); minor single higher-contrast scatterer dataset for testing model generalisability to increased higher-contrast population (DS3). The input parameters for all simulations were the same except for the scatterer contrast values.</w:t>
      </w:r>
    </w:p>
    <w:p>
      <w:pPr>
        <w:ind w:firstLine="202"/>
      </w:pPr>
      <w:r>
        <w:lastRenderedPageBreak/>
        <w:t>The final generation of the scatterer geometry was kept minimial in order to reduce generation time. A variation on the generator used to validate against the Bessel-Approach was adapted to create DS1, DS2 and DS3. In all cases, cells outside the major scatterer area were replaced with the zero contrast value, as illustrated in the figures below. It should be noted that the problem was formulated, via the MoM wrapping, as a discrete-to-discrete approximation of a continuous valued problem, rather than an image-to-image problem. The aim of the model development is to test the impact of using Prescient2DL to assist SolverEMF2, rather than provide emulator generated approximations or visualisations.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4"/>
        <w:gridCol w:w="1734"/>
        <w:gridCol w:w="1735"/>
      </w:tblGrid>
      <w:tr>
        <w:trPr>
          <w:jc w:val="center"/>
        </w:trPr>
        <w:tc>
          <w:tcPr>
            <w:tcW w:w="1734" w:type="dxa"/>
          </w:tcPr>
          <w:p>
            <w:pPr>
              <w:keepNext/>
              <w:jc w:val="center"/>
              <w:rPr>
                <w:sz w:val="16"/>
                <w:szCs w:val="16"/>
              </w:rPr>
            </w:pPr>
            <w:r>
              <w:rPr>
                <w:noProof/>
                <w:sz w:val="16"/>
                <w:szCs w:val="16"/>
              </w:rPr>
              <w:drawing>
                <wp:inline distT="0" distB="0" distL="0" distR="0">
                  <wp:extent cx="8001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3486" cy="803486"/>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2</w:t>
            </w:r>
            <w:r>
              <w:rPr>
                <w:sz w:val="16"/>
                <w:szCs w:val="16"/>
              </w:rPr>
              <w:fldChar w:fldCharType="end"/>
            </w:r>
            <w:r>
              <w:rPr>
                <w:sz w:val="16"/>
                <w:szCs w:val="16"/>
              </w:rPr>
              <w:t>. DS1 geometry sample.</w:t>
            </w:r>
          </w:p>
        </w:tc>
        <w:tc>
          <w:tcPr>
            <w:tcW w:w="1734" w:type="dxa"/>
          </w:tcPr>
          <w:p>
            <w:pPr>
              <w:keepNext/>
              <w:jc w:val="center"/>
              <w:rPr>
                <w:sz w:val="16"/>
                <w:szCs w:val="16"/>
              </w:rPr>
            </w:pPr>
            <w:r>
              <w:rPr>
                <w:noProof/>
                <w:sz w:val="16"/>
                <w:szCs w:val="16"/>
              </w:rPr>
              <w:drawing>
                <wp:inline distT="0" distB="0" distL="0" distR="0">
                  <wp:extent cx="805543" cy="8055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357" cy="809357"/>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3</w:t>
            </w:r>
            <w:r>
              <w:rPr>
                <w:sz w:val="16"/>
                <w:szCs w:val="16"/>
              </w:rPr>
              <w:fldChar w:fldCharType="end"/>
            </w:r>
            <w:r>
              <w:rPr>
                <w:sz w:val="16"/>
                <w:szCs w:val="16"/>
              </w:rPr>
              <w:t>. DS2 geometry sample.</w:t>
            </w:r>
          </w:p>
        </w:tc>
        <w:tc>
          <w:tcPr>
            <w:tcW w:w="1735" w:type="dxa"/>
          </w:tcPr>
          <w:p>
            <w:pPr>
              <w:keepNext/>
              <w:jc w:val="center"/>
              <w:rPr>
                <w:sz w:val="16"/>
                <w:szCs w:val="16"/>
              </w:rPr>
            </w:pPr>
            <w:r>
              <w:rPr>
                <w:noProof/>
                <w:sz w:val="16"/>
                <w:szCs w:val="16"/>
              </w:rPr>
              <w:drawing>
                <wp:inline distT="0" distB="0" distL="0" distR="0">
                  <wp:extent cx="800100"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3226" cy="803226"/>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4</w:t>
            </w:r>
            <w:r>
              <w:rPr>
                <w:sz w:val="16"/>
                <w:szCs w:val="16"/>
              </w:rPr>
              <w:fldChar w:fldCharType="end"/>
            </w:r>
            <w:r>
              <w:rPr>
                <w:sz w:val="16"/>
                <w:szCs w:val="16"/>
              </w:rPr>
              <w:t>. DS3 geometry sample.</w:t>
            </w:r>
          </w:p>
        </w:tc>
      </w:tr>
    </w:tbl>
    <w:p>
      <w:pPr>
        <w:ind w:firstLine="202"/>
      </w:pPr>
      <w:r>
        <w:t xml:space="preserve">DS1 geometery contained one higher-contrast 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inside a geometrically larger lower contrast-scatterer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=1.25</m:t>
        </m:r>
      </m:oMath>
      <w:r>
        <w:t>. The centre point of the lower-contrast scatterer was allowed to be within the a distance from the domain origin of its own radius ensuring that it was contained entirely within the domain simulation grid. Both scatterers were of constant fixed size with the smaller scatter populating 5% of the area of the larger scatterer. A seeded random number generator was used to shift the smaller scatterer within a range where at least one cell of higher-contrast scatterer would exist within the boundary of the main scatterer in order to mimic a positive sample in a biomedical screening scenario.</w:t>
      </w:r>
    </w:p>
    <w:p>
      <w:pPr>
        <w:ind w:firstLine="202"/>
      </w:pPr>
      <w:r>
        <w:t xml:space="preserve">DS2 has the same geometric rules as DS1 except that the higher-contrast value was set to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=1.0</m:t>
        </m:r>
      </m:oMath>
      <w:r>
        <w:t>, thus forming a vacuum void within, or piercing, the larger scatter. This is equivalent to generating negative cases where no secondary tissue exists in the simulation domain.</w:t>
      </w:r>
    </w:p>
    <w:p>
      <w:pPr>
        <w:ind w:firstLine="202"/>
      </w:pPr>
      <w:r>
        <w:t xml:space="preserve">DS3 has all contrast values set to the higher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value to simulate a total shift in permitivity values. This is also a negative sample scenario which tests the ability of the model to generalise to larger higher-contrast populations not seen at training time.</w:t>
      </w:r>
    </w:p>
    <w:p>
      <w:pPr>
        <w:ind w:firstLine="202"/>
      </w:pPr>
      <w:r>
        <w:t xml:space="preserve">With carrier frequency at 10 MHz and the highest permitivity contrast,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the smallest wavelength was 22.7m. The source emmiter is located 170m in the negative x direction. A grid dimension of 128x128 was choosen in order to comply with the FFT requirement that the grid be an integer power of 2, and the typical computer vision approach of using grids divisible by 32. The grid delta was 2m giving rise to a sample per cell of 11. Training a model where the grid dimension is greater than 128 becomes computationally difficult as memory issues arise when the number of layers increases in the deep learning architecture</w:t>
      </w:r>
      <w:r>
        <w:rPr>
          <w:rStyle w:val="FootnoteReference"/>
        </w:rPr>
        <w:footnoteReference w:id="5"/>
      </w:r>
      <w:r>
        <w:t>.</w:t>
      </w:r>
    </w:p>
    <w:p>
      <w:pPr>
        <w:ind w:firstLine="202"/>
      </w:pPr>
      <w:r>
        <w:t xml:space="preserve">The material contrast parameters in the medical domain are much more extreme for incident frequencies at 10 MHz </w:t>
      </w:r>
      <w:r>
        <w:fldChar w:fldCharType="begin"/>
      </w:r>
      <w:r>
        <w:instrText xml:space="preserve"> ADDIN ZOTERO_ITEM CSL_CITATION {"citationID":"MposjaJu","properties":{"formattedCitation":"[2]","plainCitation":"[2]","noteIndex":0},"citationItems":[{"id":3680,"uris":["http://zotero.org/users/10162777/items/YJTFD7X4"],"itemData":{"id":3680,"type":"article-journal","container-title":"IEEE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In order to initiate research in the general area, a much lower contrast value was choosen to allow for a large volume of samples to be generated in a shorter time frame. </w:t>
      </w:r>
    </w:p>
    <w:p>
      <w:pPr>
        <w:ind w:firstLine="202"/>
      </w:pPr>
      <w:r>
        <w:t>All iterative solver computations were carried out on a local laptop CPU i7-11800H @ 2.3 GHz using Python, in particular NumPy and SciPy libraries. DS1 samples took 1 seconds per sample, while DS2 samples took 0.75 seconds per sample and DS3 samples took 2.2 seconds per sample.</w:t>
      </w:r>
    </w:p>
    <w:p>
      <w:pPr>
        <w:ind w:firstLine="202"/>
      </w:pPr>
      <w:r>
        <w:t>The generated data was saved in NumPy format. All outputs were saved by splitting the real, imaginary and absolute components of the complex field by channel. The fields were as follows: the real component of the scatterer geometry; the incident E field in the x and y direction; the incident ZH field in the z direction; the two solved scattered E fields in the x and y directions.</w:t>
      </w:r>
    </w:p>
    <w:p>
      <w:pPr>
        <w:ind w:firstLine="202"/>
      </w:pPr>
      <w:r>
        <w:t>In addition, two extra files were saved seperately to document the properties of the generated sample: a PNG file illustrating the contained scatter geometry; a separate NumPy file documenting the iteration count, residual error and iteration duration from the iterative solver call-back information. As Equation (4) is solving for the contrast-source, the predicted scattered fields need to be transformed back into the contrast source formulation though the use of the FFT accelerated operator equation at time of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c>
          <w:tcPr>
            <w:tcW w:w="5203" w:type="dxa"/>
          </w:tcPr>
          <w:p>
            <w:pPr>
              <w:keepNext/>
              <w:jc w:val="center"/>
            </w:pPr>
            <w:r>
              <w:rPr>
                <w:noProof/>
              </w:rPr>
              <w:drawing>
                <wp:inline distT="0" distB="0" distL="0" distR="0">
                  <wp:extent cx="3162300" cy="1781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2300" cy="1781175"/>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5</w:t>
            </w:r>
            <w:r>
              <w:rPr>
                <w:sz w:val="16"/>
                <w:szCs w:val="16"/>
              </w:rPr>
              <w:fldChar w:fldCharType="end"/>
            </w:r>
            <w:r>
              <w:rPr>
                <w:sz w:val="16"/>
                <w:szCs w:val="16"/>
              </w:rPr>
              <w:t>. Electric Field incident waves in x and y direction.</w:t>
            </w:r>
          </w:p>
        </w:tc>
      </w:tr>
    </w:tbl>
    <w:p>
      <w:pPr>
        <w:pStyle w:val="Heading2"/>
      </w:pPr>
      <w:r>
        <w:t>Train/Test/Split Approach</w:t>
      </w:r>
    </w:p>
    <w:p>
      <w:pPr>
        <w:ind w:firstLine="202"/>
      </w:pPr>
      <w:r>
        <w:t>The approach taken was to first establish if the model could emulate the conventional solutions. The data was saved in folders of 1000 samples. At the train/validate/test splitting stage, 20% of the 1000 samples were retained for testing (200) and 20% of the training data was retained for validation (160) leaving 640 samples for training. The base models were trained on 5000 samples and tested in terms of impact on the SolverEMF2 on three separate test sets, each of 100 samples (DS1, DS2, DS3).</w:t>
      </w:r>
    </w:p>
    <w:p>
      <w:pPr>
        <w:pStyle w:val="Heading2"/>
      </w:pPr>
      <w:r>
        <w:t xml:space="preserve"> Model Development</w:t>
      </w:r>
    </w:p>
    <w:p>
      <w:pPr>
        <w:ind w:firstLine="202"/>
      </w:pPr>
      <w:r>
        <w:t>All deep learning computations were carried out on a local laptop GeForce RTX 3070 GPU using Tensorflow and Keras Python libraries.</w:t>
      </w:r>
    </w:p>
    <w:p>
      <w:pPr>
        <w:ind w:firstLine="202"/>
      </w:pPr>
      <w:r>
        <w:t>The training inputs were the scatter geometery as a single channel, followed by the real, imaginary and absolute values of the complex incident wave of relevant axis bringing the total input channel count to four</w:t>
      </w:r>
      <w:r>
        <w:rPr>
          <w:rStyle w:val="FootnoteReference"/>
        </w:rPr>
        <w:footnoteReference w:id="6"/>
      </w:r>
      <w:r>
        <w:t xml:space="preserve">. The outputs were the real and imaginary components of the electric field in the axis of interest bringing the output count to two channels. This resulted in a requirement to train two models, one for each field, in order to provide a full-dimensional, initial guess to the SolverEMF2 workflow. A key step in the pre-processing </w:t>
      </w:r>
      <w:r>
        <w:lastRenderedPageBreak/>
        <w:t>of the data was that the target arrays were standardised to a range of [0, 1]. This allows the model to train far faster. In order to provide the predictions as inputs in SolverEMF2, the process is reversed at the provision of initial guess time. The information required to perform this standardisation can be estimated from a  small group of sample solutions making it a robust and simple way to accelerate the training process</w:t>
      </w:r>
      <w:r>
        <w:rPr>
          <w:rStyle w:val="FootnoteReference"/>
        </w:rPr>
        <w:footnoteReference w:id="7"/>
      </w:r>
      <w:r>
        <w:t>.</w:t>
      </w:r>
    </w:p>
    <w:p>
      <w:pPr>
        <w:pStyle w:val="Heading3"/>
      </w:pPr>
      <w:r>
        <w:t>Model Architecture</w:t>
      </w:r>
    </w:p>
    <w:p>
      <w:pPr>
        <w:ind w:firstLine="202"/>
        <w:rPr>
          <w:noProof/>
          <w:lang w:val="en-GB"/>
        </w:rPr>
      </w:pPr>
      <w:r>
        <w:t xml:space="preserve">The models were fitted using a 54 layer U-net type architecture. ‘Elu’ activation functions were selected to add non-linearity, as recommended in </w:t>
      </w:r>
      <w:r>
        <w:fldChar w:fldCharType="begin"/>
      </w:r>
      <w:r>
        <w:instrText xml:space="preserve"> ADDIN ZOTERO_ITEM CSL_CITATION {"citationID":"QG1Banv2","properties":{"formattedCitation":"[6]","plainCitation":"[6]","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 xml:space="preserve"> where experimental evidence was provided to demonstrate that their use gave rise to faster training times in comparison to ‘Relu’ activation functions. All layers, where possible, had trainable bias terms included in their configurations. Initially a batch normalisation layer is applied at the input and each downsampling block afterwards contains a convolution layer that has stride two. This doubles the channel count and halves the width and height of the input. This is followed by a convolution layer with a single stride to add enhanced complexity to the model. The bottom layer is a bottleneck convolution layer that brings the dimension to 2x2x256 the encoder to the decoder side. On the upscaling decoding side of the U-net, a transposed convolution layer with stride two halves the channel count and doubles the dimensions. </w:t>
      </w:r>
      <w:r>
        <w:rPr>
          <w:noProof/>
          <w:lang w:val="en-GB"/>
        </w:rPr>
        <w:t>Upsampling layers were also tried but they led to stronger grid-like lines on the output predictions. Transposed convolution layers also have more trainable parameters which increases the model capacity for handling complexity.</w:t>
      </w:r>
    </w:p>
    <w:p>
      <w:pPr>
        <w:ind w:firstLine="202"/>
      </w:pPr>
      <w:r>
        <w:t xml:space="preserve">This is followed by a convolution layer to increase the model complexity. </w:t>
      </w:r>
      <w:r>
        <w:rPr>
          <w:noProof/>
          <w:lang w:val="en-GB"/>
        </w:rPr>
        <w:t>A seeded Dropout layer with a small value was included after the first stage of the decoder to increase regularisation to the model.</w:t>
      </w:r>
    </w:p>
    <w:p>
      <w:pPr>
        <w:ind w:firstLine="202"/>
      </w:pPr>
      <w:r>
        <w:t>The encoder side is also connected to the decoder side via skip concatenation layers. In order to add non-linearity after the concatenation step, a convolution layer is added on the decoding side for each skip connection. Max Pooling was not implemented due to a degradation in the intial residual error metrics.</w:t>
      </w:r>
    </w:p>
    <w:p>
      <w:pPr>
        <w:ind w:firstLine="202"/>
        <w:rPr>
          <w:noProof/>
          <w:lang w:val="en-GB"/>
        </w:rPr>
      </w:pPr>
      <w:r>
        <w:rPr>
          <w:noProof/>
          <w:lang w:val="en-GB"/>
        </w:rPr>
        <w:t>At the penultimate stage of the decoder, two linear convolution layers with kernal size (3, 3) were included in the model. As there is a certain smoothness quality to the predicted fields, these layers are included with the aim of blurring the output, reducing speckling that appeared in earlier predicted plots.</w:t>
      </w:r>
    </w:p>
    <w:p>
      <w:pPr>
        <w:ind w:firstLine="202"/>
        <w:rPr>
          <w:lang w:val="en-GB"/>
        </w:rPr>
      </w:pPr>
      <w:r>
        <w:rPr>
          <w:noProof/>
          <w:lang w:val="en-GB"/>
        </w:rPr>
        <w:t>The Adam optimizer was used when fitting the model and the Mean_Squared_Logarithmic_Error was used as the loss function. [CHECK: include equation?]</w:t>
      </w:r>
      <w:r>
        <w:rPr>
          <w:lang w:val="en-GB"/>
        </w:rPr>
        <w:t xml:space="preserve">. </w:t>
      </w:r>
      <w:r>
        <w:t>The model training times were both roughly 20 minutes which is to be expected as the same model architecture was used in both instances.</w:t>
      </w:r>
    </w:p>
    <w:p>
      <w:pPr>
        <w:pStyle w:val="Text"/>
        <w:jc w:val="left"/>
        <w:rPr>
          <w:b/>
          <w:bCs/>
          <w:u w:val="single"/>
        </w:rPr>
      </w:pPr>
      <w:r>
        <w:rPr>
          <w:lang w:val="en-GB"/>
        </w:rPr>
        <w:t>The use of augmentations in the training data was avoided since medical applications require pre-designated incident wave directions. Re-orientating the incident fields would not increase model generalisability in the path of interest. With the exception of horizontal mirroring, data augmentation would not reduce the required number of generated samples. While it would shrink the possible permutations in the scene configuration space, this would increase the probability of duplicates between the training/test/validation sets over the different folder sessions.</w:t>
      </w:r>
    </w:p>
    <w:p>
      <w:pPr>
        <w:pStyle w:val="Heading1"/>
        <w:numPr>
          <w:ilvl w:val="0"/>
          <w:numId w:val="2"/>
        </w:numPr>
      </w:pPr>
      <w:r>
        <w:t>Results</w:t>
      </w:r>
    </w:p>
    <w:p>
      <w:pPr>
        <w:pStyle w:val="Heading2"/>
      </w:pPr>
      <w:r>
        <w:t xml:space="preserve"> Model Training Loss Curves</w:t>
      </w:r>
    </w:p>
    <w:p>
      <w:pPr>
        <w:ind w:firstLine="202"/>
        <w:rPr>
          <w:lang w:val="en-GB"/>
        </w:rPr>
      </w:pPr>
      <w:r>
        <w:t xml:space="preserve">As depicted in Figure 6, the training loss curve features an extremely abrupt initial decrease followed by a slowly declining plateau. These curves are comparable to loss curves reported in </w:t>
      </w:r>
      <w:r>
        <w:fldChar w:fldCharType="begin"/>
      </w:r>
      <w:r>
        <w:instrText xml:space="preserve"> ADDIN ZOTERO_ITEM CSL_CITATION {"citationID":"hVTr8ljW","properties":{"formattedCitation":"[7], [8]","plainCitation":"[7], [8]","noteIndex":0},"citationItems":[{"id":3683,"uris":["http://zotero.org/users/10162777/items/ZSFT8REI"],"itemData":{"id":3683,"type":"article-journal","abstract":"For industrial design and the improvement of fluid flow simulations, computational fluid dynamics (CFD) solvers offer practical functions and conveniences. However, because iterative simulations demand lengthy computation times and a considerable amount of memory for sophisticated calculations, CFD solvers are not economically viable. Such limitations are overcome by CFD data-driven learning models based on neural networks, which lower the trade-off between accurate simulation performance and model complexity. Deep neural networks (DNNs) or convolutional neural networks (CNNs) are good illustrations of deep learning-based CFD models for fluid flow modeling. However, improving the accuracy of fluid flow reconstruction or estimation in these earlier methods is crucial. Based on interpolated feature data generation and a deep U-Net learning model, this work suggests a rapid laminar flow prediction model for inference of Naiver–Stokes solutions. The simulated dataset consists of 2D obstacles in various positions and orientations, including cylinders, triangles, rectangles, and pentagons. The accuracy of estimating velocities and pressure fields with minimal relative errors can be improved using this cutting-edge technique in training and testing procedures. Tasks involving CFD design and optimization should benefit from the experimental findings.","container-title":"Sustainability","DOI":"10.3390/su141911996","ISSN":"2071-1050","issue":"19","language":"en","license":"http://creativecommons.org/licenses/by/3.0/","note":"number: 19\npublisher: Multidisciplinary Digital Publishing Institute","page":"11996","source":"www.mdpi.com","title":"Towards Incompressible Laminar Flow Estimation Based on Interpolated Feature Generation and Deep Learning","volume":"14","author":[{"family":"Le","given":"Thi-Thu-Huong"},{"family":"Kang","given":"Hyoeun"},{"family":"Kim","given":"Howon"}],"issued":{"date-parts":[["2022",1]]},"citation-key":"leIncompressibleLaminarFlow2022"}},{"id":2985,"uris":["http://zotero.org/users/10162777/items/ISKCBNF8"],"itemData":{"id":2985,"type":"article-journal","abstract":"The aim of this paper is to provide a deep learning based method that can solve high-dimensional Fredholm integral equations. A deep residual neural network is constructed at a fixed number of collocation points selected randomly in the integration domain. The loss function of the deep residual neural network is defined as a linear least-square problem using the integral equation at the collocation points in the training set. The training iteration is done for the same set of parameters for different training sets. The numerical experiments show that the deep learning method is efficient with a moderate generalization error at all points. And the computational cost does not suffer from “curse of dimensionality” problem.","container-title":"International Journal of Applied and Computational Mathematics","DOI":"10.1007/s40819-022-01288-3","ISSN":"2199-5796","issue":"2","journalAbbreviation":"Int. J. Appl. Comput. Math","language":"en","note":"0 citations (Crossref) [2023-01-03]","page":"87","source":"Springer Link","title":"Solving Fredholm Integral Equations Using Deep Learning","volume":"8","author":[{"family":"Guan","given":"Yu"},{"family":"Fang","given":"Tingting"},{"family":"Zhang","given":"Diankun"},{"family":"Jin","given":"Congming"}],"issued":{"date-parts":[["2022",3,29]]},"citation-key":"guanSolvingFredholmIntegral2022"}}],"schema":"https://github.com/citation-style-language/schema/raw/master/csl-citation.json"} </w:instrText>
      </w:r>
      <w:r>
        <w:fldChar w:fldCharType="separate"/>
      </w:r>
      <w:r>
        <w:t>[7], [8]</w:t>
      </w:r>
      <w:r>
        <w:fldChar w:fldCharType="end"/>
      </w:r>
      <w:r>
        <w:t xml:space="preserve">. The loss values are so small that it was required to plot the curves on a logarithmic scale. Both the training and validation curves track each other tightly until the final training session when the training curve starts fluctuating rapidly, albeit with small magnitude. This is an indication that the model has started to overfit the training data. </w:t>
      </w:r>
      <w:r>
        <w:rPr>
          <w:lang w:val="en-GB"/>
        </w:rPr>
        <w:t>The spikes that occur at the loading of fresh training data indicate there may be possible issues in the model design.</w:t>
      </w:r>
      <w:r>
        <w:t xml:space="preserve"> The complexity of the y-dimension, E2, is more apparent since the incident dipole wave has greater magnitude of change compared to the x-dimension co-ordinate</w:t>
      </w:r>
      <w:r>
        <w:rPr>
          <w:lang w:val="en-GB"/>
        </w:rPr>
        <w:t>.</w:t>
      </w:r>
    </w:p>
    <w:p>
      <w:pPr>
        <w:ind w:firstLine="202"/>
        <w:rPr>
          <w:sz w:val="8"/>
          <w:szCs w:val="8"/>
          <w:lang w:val="en-GB"/>
        </w:rPr>
      </w:pPr>
    </w:p>
    <w:tbl>
      <w:tblPr>
        <w:tblStyle w:val="TableGrid"/>
        <w:tblW w:w="0" w:type="auto"/>
        <w:tblLook w:val="04A0" w:firstRow="1" w:lastRow="0" w:firstColumn="1" w:lastColumn="0" w:noHBand="0" w:noVBand="1"/>
      </w:tblPr>
      <w:tblGrid>
        <w:gridCol w:w="5203"/>
      </w:tblGrid>
      <w:tr>
        <w:tc>
          <w:tcPr>
            <w:tcW w:w="5203" w:type="dxa"/>
            <w:tcBorders>
              <w:top w:val="nil"/>
              <w:left w:val="nil"/>
              <w:bottom w:val="nil"/>
              <w:right w:val="nil"/>
            </w:tcBorders>
          </w:tcPr>
          <w:p>
            <w:pPr>
              <w:keepNext/>
              <w:jc w:val="center"/>
            </w:pPr>
            <w:r>
              <w:rPr>
                <w:noProof/>
              </w:rPr>
              <w:drawing>
                <wp:inline distT="0" distB="0" distL="0" distR="0">
                  <wp:extent cx="2519362" cy="16198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346" cy="1628860"/>
                          </a:xfrm>
                          <a:prstGeom prst="rect">
                            <a:avLst/>
                          </a:prstGeom>
                          <a:noFill/>
                          <a:ln>
                            <a:noFill/>
                          </a:ln>
                        </pic:spPr>
                      </pic:pic>
                    </a:graphicData>
                  </a:graphic>
                </wp:inline>
              </w:drawing>
            </w:r>
          </w:p>
          <w:p>
            <w:pPr>
              <w:jc w:val="center"/>
              <w:rPr>
                <w:i/>
                <w:iCs/>
              </w:rPr>
            </w:pPr>
            <w:r>
              <w:rPr>
                <w:i/>
                <w:iCs/>
              </w:rPr>
              <w:t xml:space="preserve">Figure </w:t>
            </w:r>
            <w:r>
              <w:rPr>
                <w:i/>
                <w:iCs/>
              </w:rPr>
              <w:fldChar w:fldCharType="begin"/>
            </w:r>
            <w:r>
              <w:rPr>
                <w:i/>
                <w:iCs/>
              </w:rPr>
              <w:instrText xml:space="preserve"> SEQ Figure \* ARABIC </w:instrText>
            </w:r>
            <w:r>
              <w:rPr>
                <w:i/>
                <w:iCs/>
              </w:rPr>
              <w:fldChar w:fldCharType="separate"/>
            </w:r>
            <w:r>
              <w:rPr>
                <w:i/>
                <w:iCs/>
                <w:noProof/>
              </w:rPr>
              <w:t>6</w:t>
            </w:r>
            <w:r>
              <w:rPr>
                <w:i/>
                <w:iCs/>
              </w:rPr>
              <w:fldChar w:fldCharType="end"/>
            </w:r>
            <w:r>
              <w:rPr>
                <w:i/>
                <w:iCs/>
              </w:rPr>
              <w:t>. Training history of the E1 component of Prescient2DL. The E2 component sufferers from even greater spikes at each training data loading stage.</w:t>
            </w:r>
          </w:p>
        </w:tc>
      </w:tr>
    </w:tbl>
    <w:p>
      <w:pPr>
        <w:ind w:firstLine="202"/>
        <w:rPr>
          <w:sz w:val="6"/>
          <w:szCs w:val="6"/>
          <w:lang w:val="en-GB"/>
        </w:rPr>
      </w:pPr>
    </w:p>
    <w:p>
      <w:pPr>
        <w:ind w:firstLine="202"/>
        <w:rPr>
          <w:lang w:val="en-GB"/>
        </w:rPr>
      </w:pPr>
      <w:r>
        <w:rPr>
          <w:lang w:val="en-GB"/>
        </w:rPr>
        <w:t xml:space="preserve">While it may appear that training could be terminated after the first training session, the model is only achieving visually comparable predictions between epoch 300 and 400, as depicted in Figure 6. The final learning rate frequently reduced to the order of magnitude reflected in Table 2. </w:t>
      </w:r>
    </w:p>
    <w:p>
      <w:pPr>
        <w:pStyle w:val="Heading2"/>
      </w:pPr>
      <w:r>
        <w:t>Model Performance</w:t>
      </w:r>
    </w:p>
    <w:p>
      <w:pPr>
        <w:ind w:firstLine="202"/>
      </w:pPr>
      <w:r>
        <w:rPr>
          <w:lang w:val="en-GB"/>
        </w:rPr>
        <w:t>There is a strong visual similarity between the predicted fields and the fully solved fields, as displayed in Figure 7.</w:t>
      </w:r>
    </w:p>
    <w:p>
      <w:pPr>
        <w:ind w:firstLine="202"/>
        <w:rPr>
          <w:sz w:val="4"/>
          <w:szCs w:val="4"/>
          <w:lang w:val="en-GB"/>
        </w:rPr>
      </w:pPr>
    </w:p>
    <w:tbl>
      <w:tblPr>
        <w:tblStyle w:val="TableGrid"/>
        <w:tblW w:w="5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9"/>
      </w:tblGrid>
      <w:tr>
        <w:trPr>
          <w:trHeight w:val="1705"/>
        </w:trPr>
        <w:tc>
          <w:tcPr>
            <w:tcW w:w="5449" w:type="dxa"/>
          </w:tcPr>
          <w:tbl>
            <w:tblPr>
              <w:tblStyle w:val="TableGrid"/>
              <w:tblW w:w="0" w:type="auto"/>
              <w:tblInd w:w="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1"/>
              <w:gridCol w:w="1260"/>
              <w:gridCol w:w="1475"/>
            </w:tblGrid>
            <w:tr>
              <w:trPr>
                <w:trHeight w:val="20"/>
              </w:trPr>
              <w:tc>
                <w:tcPr>
                  <w:tcW w:w="2421" w:type="dxa"/>
                </w:tcPr>
                <w:p>
                  <w:pPr>
                    <w:rPr>
                      <w:b/>
                      <w:bCs/>
                      <w:lang w:val="en-GB"/>
                    </w:rPr>
                  </w:pPr>
                  <w:r>
                    <w:rPr>
                      <w:b/>
                      <w:bCs/>
                      <w:lang w:val="en-GB"/>
                    </w:rPr>
                    <w:t>Mean Squared Error</w:t>
                  </w:r>
                </w:p>
              </w:tc>
              <w:tc>
                <w:tcPr>
                  <w:tcW w:w="1260" w:type="dxa"/>
                </w:tcPr>
                <w:p>
                  <w:pPr>
                    <w:rPr>
                      <w:b/>
                      <w:bCs/>
                      <w:lang w:val="en-GB"/>
                    </w:rPr>
                  </w:pPr>
                  <w:r>
                    <w:rPr>
                      <w:b/>
                      <w:bCs/>
                      <w:lang w:val="en-GB"/>
                    </w:rPr>
                    <w:t>E1 Model</w:t>
                  </w:r>
                </w:p>
              </w:tc>
              <w:tc>
                <w:tcPr>
                  <w:tcW w:w="1475" w:type="dxa"/>
                </w:tcPr>
                <w:p>
                  <w:pPr>
                    <w:rPr>
                      <w:b/>
                      <w:bCs/>
                      <w:lang w:val="en-GB"/>
                    </w:rPr>
                  </w:pPr>
                  <w:r>
                    <w:rPr>
                      <w:b/>
                      <w:bCs/>
                      <w:lang w:val="en-GB"/>
                    </w:rPr>
                    <w:t>E2 Model</w:t>
                  </w:r>
                </w:p>
              </w:tc>
            </w:tr>
            <w:tr>
              <w:trPr>
                <w:trHeight w:val="20"/>
              </w:trPr>
              <w:tc>
                <w:tcPr>
                  <w:tcW w:w="2421" w:type="dxa"/>
                </w:tcPr>
                <w:p>
                  <w:pPr>
                    <w:rPr>
                      <w:lang w:val="en-GB"/>
                    </w:rPr>
                  </w:pPr>
                  <w:r>
                    <w:rPr>
                      <w:lang w:val="en-GB"/>
                    </w:rPr>
                    <w:t xml:space="preserve">Training </w:t>
                  </w:r>
                </w:p>
              </w:tc>
              <w:tc>
                <w:tcPr>
                  <w:tcW w:w="1260" w:type="dxa"/>
                </w:tcPr>
                <w:p>
                  <w:pPr>
                    <w:rPr>
                      <w:lang w:val="en-GB"/>
                    </w:rPr>
                  </w:pPr>
                  <w:r>
                    <w:rPr>
                      <w:lang w:val="en-GB"/>
                    </w:rPr>
                    <w:t>2.3042e-05</w:t>
                  </w:r>
                </w:p>
              </w:tc>
              <w:tc>
                <w:tcPr>
                  <w:tcW w:w="1475" w:type="dxa"/>
                </w:tcPr>
                <w:p>
                  <w:pPr>
                    <w:rPr>
                      <w:lang w:val="en-GB"/>
                    </w:rPr>
                  </w:pPr>
                  <w:r>
                    <w:rPr>
                      <w:lang w:val="en-GB"/>
                    </w:rPr>
                    <w:t>3.7006e-05</w:t>
                  </w:r>
                </w:p>
              </w:tc>
            </w:tr>
            <w:tr>
              <w:trPr>
                <w:trHeight w:val="20"/>
              </w:trPr>
              <w:tc>
                <w:tcPr>
                  <w:tcW w:w="2421" w:type="dxa"/>
                </w:tcPr>
                <w:p>
                  <w:pPr>
                    <w:rPr>
                      <w:lang w:val="en-GB"/>
                    </w:rPr>
                  </w:pPr>
                  <w:r>
                    <w:rPr>
                      <w:lang w:val="en-GB"/>
                    </w:rPr>
                    <w:t>Validation</w:t>
                  </w:r>
                </w:p>
              </w:tc>
              <w:tc>
                <w:tcPr>
                  <w:tcW w:w="1260" w:type="dxa"/>
                </w:tcPr>
                <w:p>
                  <w:pPr>
                    <w:rPr>
                      <w:lang w:val="en-GB"/>
                    </w:rPr>
                  </w:pPr>
                  <w:r>
                    <w:rPr>
                      <w:lang w:val="en-GB"/>
                    </w:rPr>
                    <w:t>2.5000e-05</w:t>
                  </w:r>
                </w:p>
              </w:tc>
              <w:tc>
                <w:tcPr>
                  <w:tcW w:w="1475" w:type="dxa"/>
                </w:tcPr>
                <w:p>
                  <w:pPr>
                    <w:rPr>
                      <w:lang w:val="en-GB"/>
                    </w:rPr>
                  </w:pPr>
                  <w:r>
                    <w:rPr>
                      <w:lang w:val="en-GB"/>
                    </w:rPr>
                    <w:t>3.7967e-05</w:t>
                  </w:r>
                </w:p>
              </w:tc>
            </w:tr>
            <w:tr>
              <w:trPr>
                <w:trHeight w:val="20"/>
              </w:trPr>
              <w:tc>
                <w:tcPr>
                  <w:tcW w:w="2421" w:type="dxa"/>
                </w:tcPr>
                <w:p>
                  <w:pPr>
                    <w:rPr>
                      <w:lang w:val="en-GB"/>
                    </w:rPr>
                  </w:pPr>
                  <w:r>
                    <w:rPr>
                      <w:lang w:val="en-GB"/>
                    </w:rPr>
                    <w:t>Testing</w:t>
                  </w:r>
                </w:p>
              </w:tc>
              <w:tc>
                <w:tcPr>
                  <w:tcW w:w="1260" w:type="dxa"/>
                </w:tcPr>
                <w:p>
                  <w:pPr>
                    <w:rPr>
                      <w:lang w:val="en-GB"/>
                    </w:rPr>
                  </w:pPr>
                  <w:r>
                    <w:rPr>
                      <w:lang w:val="en-GB"/>
                    </w:rPr>
                    <w:t>2.6289e-05</w:t>
                  </w:r>
                </w:p>
              </w:tc>
              <w:tc>
                <w:tcPr>
                  <w:tcW w:w="1475" w:type="dxa"/>
                </w:tcPr>
                <w:p>
                  <w:pPr>
                    <w:rPr>
                      <w:lang w:val="en-GB"/>
                    </w:rPr>
                  </w:pPr>
                  <w:r>
                    <w:rPr>
                      <w:lang w:val="en-GB"/>
                    </w:rPr>
                    <w:t>4.1606e-05</w:t>
                  </w:r>
                </w:p>
              </w:tc>
            </w:tr>
            <w:tr>
              <w:trPr>
                <w:trHeight w:val="20"/>
              </w:trPr>
              <w:tc>
                <w:tcPr>
                  <w:tcW w:w="2421" w:type="dxa"/>
                </w:tcPr>
                <w:p>
                  <w:pPr>
                    <w:rPr>
                      <w:lang w:val="en-GB"/>
                    </w:rPr>
                  </w:pPr>
                  <w:r>
                    <w:rPr>
                      <w:lang w:val="en-GB"/>
                    </w:rPr>
                    <w:t>Final Learning Rate</w:t>
                  </w:r>
                </w:p>
              </w:tc>
              <w:tc>
                <w:tcPr>
                  <w:tcW w:w="1260" w:type="dxa"/>
                </w:tcPr>
                <w:p>
                  <w:pPr>
                    <w:rPr>
                      <w:lang w:val="en-GB"/>
                    </w:rPr>
                  </w:pPr>
                  <w:r>
                    <w:rPr>
                      <w:lang w:val="en-GB"/>
                    </w:rPr>
                    <w:t>1.0000e-22</w:t>
                  </w:r>
                </w:p>
              </w:tc>
              <w:tc>
                <w:tcPr>
                  <w:tcW w:w="1475" w:type="dxa"/>
                </w:tcPr>
                <w:p>
                  <w:pPr>
                    <w:keepNext/>
                    <w:rPr>
                      <w:lang w:val="en-GB"/>
                    </w:rPr>
                  </w:pPr>
                  <w:r>
                    <w:rPr>
                      <w:lang w:val="en-GB"/>
                    </w:rPr>
                    <w:t>1.0000e-22</w:t>
                  </w:r>
                </w:p>
              </w:tc>
            </w:tr>
          </w:tbl>
          <w:p>
            <w:pPr>
              <w:pStyle w:val="Caption"/>
              <w:jc w:val="cente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2</w:t>
            </w:r>
            <w:r>
              <w:rPr>
                <w:sz w:val="20"/>
                <w:szCs w:val="20"/>
              </w:rPr>
              <w:fldChar w:fldCharType="end"/>
            </w:r>
            <w:r>
              <w:rPr>
                <w:sz w:val="20"/>
                <w:szCs w:val="20"/>
              </w:rPr>
              <w:t>. Final folder model scores and terminal learning rate.</w:t>
            </w:r>
          </w:p>
        </w:tc>
      </w:tr>
    </w:tbl>
    <w:p>
      <w:pPr>
        <w:ind w:firstLine="202"/>
        <w:rPr>
          <w:lang w:val="en-GB"/>
        </w:rPr>
      </w:pPr>
      <w:r>
        <w:rPr>
          <w:lang w:val="en-GB"/>
        </w:rPr>
        <w:t>The Mean Squared Error reported in Table 2 show that, if treated as an emulator, Prescient2DL achieves a strong degree of similiarity to the fully solved Iterative Krylov solution. The divergence and rotational components of the fields are both being captured by the model and this is evidenced in the plot of the absolute difference in Figure 7.</w:t>
      </w:r>
    </w:p>
    <w:p>
      <w:pPr>
        <w:ind w:firstLine="202"/>
        <w:rPr>
          <w:lang w:val="en-GB"/>
        </w:rPr>
      </w:pPr>
      <w:r>
        <w:rPr>
          <w:lang w:val="en-GB"/>
        </w:rPr>
        <w:t>Table 3 provides descriptive statistics for each statistical test set used to evaluate the impact of Prescient2DL on SolverEMF2. Each set consisted of 100 original samples solved using the naïve initial guess of the incident wave as the scattered field. After training the models for predicting the two scattered fields, a second run of SolverEMF2 was used on the same original samples, allowing for direct comparison across duration of calculation, iteration count and initial error.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rPr>
          <w:jc w:val="center"/>
        </w:trPr>
        <w:tc>
          <w:tcPr>
            <w:tcW w:w="5203" w:type="dxa"/>
          </w:tcPr>
          <w:p>
            <w:pPr>
              <w:keepNext/>
              <w:jc w:val="center"/>
            </w:pPr>
            <w:r>
              <w:object w:dxaOrig="15192" w:dyaOrig="11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15pt;height:190.9pt" o:ole="">
                  <v:imagedata r:id="rId14" o:title=""/>
                </v:shape>
                <o:OLEObject Type="Embed" ProgID="PBrush" ShapeID="_x0000_i1025" DrawAspect="Content" ObjectID="_1754063598" r:id="rId15"/>
              </w:object>
            </w:r>
          </w:p>
          <w:p>
            <w:pPr>
              <w:pStyle w:val="Caption"/>
              <w:jc w:val="center"/>
              <w:rPr>
                <w:lang w:val="en-GB"/>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7</w:t>
            </w:r>
            <w:r>
              <w:rPr>
                <w:sz w:val="20"/>
                <w:szCs w:val="20"/>
              </w:rPr>
              <w:fldChar w:fldCharType="end"/>
            </w:r>
            <w:r>
              <w:rPr>
                <w:sz w:val="20"/>
                <w:szCs w:val="20"/>
              </w:rPr>
              <w:t>. E2 model final prediction on DS1.</w:t>
            </w:r>
          </w:p>
        </w:tc>
      </w:tr>
    </w:tbl>
    <w:tbl>
      <w:tblPr>
        <w:tblW w:w="4132" w:type="dxa"/>
        <w:jc w:val="center"/>
        <w:tblLook w:val="04A0" w:firstRow="1" w:lastRow="0" w:firstColumn="1" w:lastColumn="0" w:noHBand="0" w:noVBand="1"/>
      </w:tblPr>
      <w:tblGrid>
        <w:gridCol w:w="1586"/>
        <w:gridCol w:w="509"/>
        <w:gridCol w:w="1032"/>
        <w:gridCol w:w="1005"/>
      </w:tblGrid>
      <w:tr>
        <w:trPr>
          <w:trHeight w:val="20"/>
          <w:jc w:val="center"/>
        </w:trPr>
        <w:tc>
          <w:tcPr>
            <w:tcW w:w="1586" w:type="dxa"/>
            <w:tcBorders>
              <w:top w:val="single" w:sz="4" w:space="0" w:color="auto"/>
              <w:left w:val="single" w:sz="4" w:space="0" w:color="auto"/>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Metric</w:t>
            </w:r>
          </w:p>
        </w:tc>
        <w:tc>
          <w:tcPr>
            <w:tcW w:w="509"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N</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Mean</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SD</w:t>
            </w:r>
          </w:p>
        </w:tc>
      </w:tr>
      <w:tr>
        <w:trPr>
          <w:trHeight w:val="20"/>
          <w:jc w:val="center"/>
        </w:trPr>
        <w:tc>
          <w:tcPr>
            <w:tcW w:w="4132" w:type="dxa"/>
            <w:gridSpan w:val="4"/>
            <w:tcBorders>
              <w:top w:val="single" w:sz="4" w:space="0" w:color="auto"/>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DS1</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1.106213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0.055213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1.010293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0.093377</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0.655282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22.05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0.479373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0.004857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0.002712</w:t>
            </w:r>
          </w:p>
        </w:tc>
      </w:tr>
      <w:tr>
        <w:trPr>
          <w:trHeight w:val="2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0.001102</w:t>
            </w:r>
          </w:p>
        </w:tc>
        <w:tc>
          <w:tcPr>
            <w:tcW w:w="1005"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0.000492</w:t>
            </w:r>
          </w:p>
        </w:tc>
      </w:tr>
      <w:tr>
        <w:trPr>
          <w:trHeight w:val="20"/>
          <w:jc w:val="center"/>
        </w:trPr>
        <w:tc>
          <w:tcPr>
            <w:tcW w:w="1586" w:type="dxa"/>
            <w:tcBorders>
              <w:top w:val="nil"/>
              <w:left w:val="nil"/>
              <w:bottom w:val="nil"/>
              <w:right w:val="nil"/>
            </w:tcBorders>
            <w:shd w:val="clear" w:color="auto" w:fill="auto"/>
            <w:noWrap/>
            <w:hideMark/>
          </w:tcPr>
          <w:p>
            <w:pPr>
              <w:suppressAutoHyphens w:val="0"/>
              <w:jc w:val="right"/>
              <w:rPr>
                <w:color w:val="000000"/>
                <w:sz w:val="18"/>
                <w:szCs w:val="18"/>
              </w:rPr>
            </w:pPr>
          </w:p>
        </w:tc>
        <w:tc>
          <w:tcPr>
            <w:tcW w:w="509" w:type="dxa"/>
            <w:tcBorders>
              <w:top w:val="nil"/>
              <w:left w:val="nil"/>
              <w:bottom w:val="nil"/>
              <w:right w:val="nil"/>
            </w:tcBorders>
            <w:shd w:val="clear" w:color="auto" w:fill="auto"/>
            <w:noWrap/>
            <w:hideMark/>
          </w:tcPr>
          <w:p>
            <w:pPr>
              <w:suppressAutoHyphens w:val="0"/>
              <w:rPr>
                <w:sz w:val="18"/>
                <w:szCs w:val="18"/>
              </w:rPr>
            </w:pPr>
          </w:p>
        </w:tc>
        <w:tc>
          <w:tcPr>
            <w:tcW w:w="1032" w:type="dxa"/>
            <w:tcBorders>
              <w:top w:val="nil"/>
              <w:left w:val="nil"/>
              <w:bottom w:val="nil"/>
              <w:right w:val="nil"/>
            </w:tcBorders>
            <w:shd w:val="clear" w:color="auto" w:fill="auto"/>
            <w:noWrap/>
            <w:hideMark/>
          </w:tcPr>
          <w:p>
            <w:pPr>
              <w:suppressAutoHyphens w:val="0"/>
              <w:rPr>
                <w:sz w:val="18"/>
                <w:szCs w:val="18"/>
              </w:rPr>
            </w:pPr>
          </w:p>
        </w:tc>
        <w:tc>
          <w:tcPr>
            <w:tcW w:w="1005" w:type="dxa"/>
            <w:tcBorders>
              <w:top w:val="nil"/>
              <w:left w:val="nil"/>
              <w:bottom w:val="nil"/>
              <w:right w:val="nil"/>
            </w:tcBorders>
            <w:shd w:val="clear" w:color="auto" w:fill="auto"/>
            <w:noWrap/>
            <w:hideMark/>
          </w:tcPr>
          <w:p>
            <w:pPr>
              <w:suppressAutoHyphens w:val="0"/>
              <w:rPr>
                <w:sz w:val="18"/>
                <w:szCs w:val="18"/>
              </w:rPr>
            </w:pPr>
          </w:p>
        </w:tc>
      </w:tr>
      <w:tr>
        <w:trPr>
          <w:trHeight w:val="20"/>
          <w:jc w:val="center"/>
        </w:trPr>
        <w:tc>
          <w:tcPr>
            <w:tcW w:w="4132" w:type="dxa"/>
            <w:gridSpan w:val="4"/>
            <w:tcBorders>
              <w:top w:val="single" w:sz="8" w:space="0" w:color="000000"/>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0.772</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0.132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0.72</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0.071</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19.57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0.573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19.35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0.52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0.002</w:t>
            </w:r>
          </w:p>
        </w:tc>
      </w:tr>
      <w:tr>
        <w:trPr>
          <w:trHeight w:val="2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8.014×10</w:t>
            </w:r>
            <w:r>
              <w:rPr>
                <w:color w:val="000000"/>
                <w:sz w:val="18"/>
                <w:szCs w:val="18"/>
                <w:vertAlign w:val="superscript"/>
              </w:rPr>
              <w:t>-4</w:t>
            </w:r>
          </w:p>
        </w:tc>
        <w:tc>
          <w:tcPr>
            <w:tcW w:w="1005"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3.702×10</w:t>
            </w:r>
            <w:r>
              <w:rPr>
                <w:color w:val="000000"/>
                <w:sz w:val="18"/>
                <w:szCs w:val="18"/>
                <w:vertAlign w:val="superscript"/>
              </w:rPr>
              <w:t>-4</w:t>
            </w:r>
          </w:p>
        </w:tc>
      </w:tr>
      <w:tr>
        <w:trPr>
          <w:trHeight w:val="20"/>
          <w:jc w:val="center"/>
        </w:trPr>
        <w:tc>
          <w:tcPr>
            <w:tcW w:w="1586" w:type="dxa"/>
            <w:tcBorders>
              <w:top w:val="nil"/>
              <w:left w:val="nil"/>
              <w:bottom w:val="nil"/>
              <w:right w:val="nil"/>
            </w:tcBorders>
            <w:shd w:val="clear" w:color="auto" w:fill="auto"/>
            <w:noWrap/>
            <w:hideMark/>
          </w:tcPr>
          <w:p>
            <w:pPr>
              <w:suppressAutoHyphens w:val="0"/>
              <w:rPr>
                <w:color w:val="000000"/>
                <w:sz w:val="18"/>
                <w:szCs w:val="18"/>
              </w:rPr>
            </w:pPr>
          </w:p>
        </w:tc>
        <w:tc>
          <w:tcPr>
            <w:tcW w:w="509" w:type="dxa"/>
            <w:tcBorders>
              <w:top w:val="nil"/>
              <w:left w:val="nil"/>
              <w:bottom w:val="nil"/>
              <w:right w:val="nil"/>
            </w:tcBorders>
            <w:shd w:val="clear" w:color="auto" w:fill="auto"/>
            <w:noWrap/>
            <w:hideMark/>
          </w:tcPr>
          <w:p>
            <w:pPr>
              <w:suppressAutoHyphens w:val="0"/>
              <w:rPr>
                <w:sz w:val="18"/>
                <w:szCs w:val="18"/>
              </w:rPr>
            </w:pPr>
          </w:p>
        </w:tc>
        <w:tc>
          <w:tcPr>
            <w:tcW w:w="1032" w:type="dxa"/>
            <w:tcBorders>
              <w:top w:val="nil"/>
              <w:left w:val="nil"/>
              <w:bottom w:val="nil"/>
              <w:right w:val="nil"/>
            </w:tcBorders>
            <w:shd w:val="clear" w:color="auto" w:fill="auto"/>
            <w:noWrap/>
            <w:hideMark/>
          </w:tcPr>
          <w:p>
            <w:pPr>
              <w:suppressAutoHyphens w:val="0"/>
              <w:rPr>
                <w:sz w:val="18"/>
                <w:szCs w:val="18"/>
              </w:rPr>
            </w:pPr>
          </w:p>
        </w:tc>
        <w:tc>
          <w:tcPr>
            <w:tcW w:w="1005" w:type="dxa"/>
            <w:tcBorders>
              <w:top w:val="nil"/>
              <w:left w:val="nil"/>
              <w:bottom w:val="nil"/>
              <w:right w:val="nil"/>
            </w:tcBorders>
            <w:shd w:val="clear" w:color="auto" w:fill="auto"/>
            <w:noWrap/>
            <w:hideMark/>
          </w:tcPr>
          <w:p>
            <w:pPr>
              <w:suppressAutoHyphens w:val="0"/>
              <w:rPr>
                <w:sz w:val="18"/>
                <w:szCs w:val="18"/>
              </w:rPr>
            </w:pPr>
          </w:p>
        </w:tc>
      </w:tr>
      <w:tr>
        <w:trPr>
          <w:trHeight w:val="20"/>
          <w:jc w:val="center"/>
        </w:trPr>
        <w:tc>
          <w:tcPr>
            <w:tcW w:w="4132" w:type="dxa"/>
            <w:gridSpan w:val="4"/>
            <w:tcBorders>
              <w:top w:val="single" w:sz="8" w:space="0" w:color="000000"/>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2.218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0.198</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2.308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0.246</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56.65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1.048</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56.58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0.955</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0.019</w:t>
            </w:r>
          </w:p>
        </w:tc>
      </w:tr>
      <w:tr>
        <w:trPr>
          <w:trHeight w:val="2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0.02</w:t>
            </w:r>
          </w:p>
        </w:tc>
        <w:tc>
          <w:tcPr>
            <w:tcW w:w="1005" w:type="dxa"/>
            <w:tcBorders>
              <w:top w:val="nil"/>
              <w:left w:val="nil"/>
              <w:bottom w:val="single" w:sz="8" w:space="0" w:color="000000"/>
              <w:right w:val="nil"/>
            </w:tcBorders>
            <w:shd w:val="clear" w:color="auto" w:fill="auto"/>
            <w:hideMark/>
          </w:tcPr>
          <w:p>
            <w:pPr>
              <w:keepNext/>
              <w:suppressAutoHyphens w:val="0"/>
              <w:jc w:val="right"/>
              <w:rPr>
                <w:color w:val="000000"/>
                <w:sz w:val="18"/>
                <w:szCs w:val="18"/>
              </w:rPr>
            </w:pPr>
            <w:r>
              <w:rPr>
                <w:color w:val="000000"/>
                <w:sz w:val="18"/>
                <w:szCs w:val="18"/>
              </w:rPr>
              <w:t>0.011</w:t>
            </w:r>
          </w:p>
        </w:tc>
      </w:tr>
    </w:tbl>
    <w:p>
      <w:pPr>
        <w:pStyle w:val="Caption"/>
        <w:jc w:val="center"/>
        <w:rPr>
          <w:sz w:val="18"/>
          <w:szCs w:val="18"/>
        </w:rPr>
      </w:pPr>
      <w:r>
        <w:rPr>
          <w:sz w:val="18"/>
          <w:szCs w:val="18"/>
        </w:rPr>
        <w:t xml:space="preserve">Table </w:t>
      </w:r>
      <w:r>
        <w:rPr>
          <w:sz w:val="18"/>
          <w:szCs w:val="18"/>
        </w:rPr>
        <w:fldChar w:fldCharType="begin"/>
      </w:r>
      <w:r>
        <w:rPr>
          <w:sz w:val="18"/>
          <w:szCs w:val="18"/>
        </w:rPr>
        <w:instrText xml:space="preserve"> SEQ Table \* ARABIC </w:instrText>
      </w:r>
      <w:r>
        <w:rPr>
          <w:sz w:val="18"/>
          <w:szCs w:val="18"/>
        </w:rPr>
        <w:fldChar w:fldCharType="separate"/>
      </w:r>
      <w:r>
        <w:rPr>
          <w:noProof/>
          <w:sz w:val="18"/>
          <w:szCs w:val="18"/>
        </w:rPr>
        <w:t>3</w:t>
      </w:r>
      <w:r>
        <w:rPr>
          <w:sz w:val="18"/>
          <w:szCs w:val="18"/>
        </w:rPr>
        <w:fldChar w:fldCharType="end"/>
      </w:r>
      <w:r>
        <w:rPr>
          <w:sz w:val="18"/>
          <w:szCs w:val="18"/>
        </w:rPr>
        <w:t xml:space="preserve">. Descriptive Statistics of Testing Datasets. </w:t>
      </w:r>
      <w:r>
        <w:rPr>
          <w:sz w:val="18"/>
          <w:szCs w:val="18"/>
          <w:lang w:val="en-GB"/>
        </w:rPr>
        <w:t>“o” corresponds to the naïve guess while “m” gives model-assisted information.</w:t>
      </w:r>
    </w:p>
    <w:p>
      <w:pPr>
        <w:ind w:firstLine="202"/>
      </w:pPr>
      <w:r>
        <w:t>Results indicate that the model generalises well on DS2. For the generalisbility test on DS3, it is evident that the visual resemblence between the predicted fields and the actual fields has broken down, as depicted in Figure 8.</w:t>
      </w:r>
    </w:p>
    <w:p>
      <w:pPr>
        <w:ind w:firstLine="202"/>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6"/>
      </w:tblGrid>
      <w:tr>
        <w:trPr>
          <w:trHeight w:val="3414"/>
        </w:trPr>
        <w:tc>
          <w:tcPr>
            <w:tcW w:w="5196" w:type="dxa"/>
          </w:tcPr>
          <w:p>
            <w:pPr>
              <w:keepNext/>
              <w:jc w:val="center"/>
            </w:pPr>
            <w:r>
              <w:rPr>
                <w:noProof/>
              </w:rPr>
              <w:drawing>
                <wp:inline distT="0" distB="0" distL="0" distR="0">
                  <wp:extent cx="3162300" cy="19596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1959610"/>
                          </a:xfrm>
                          <a:prstGeom prst="rect">
                            <a:avLst/>
                          </a:prstGeom>
                          <a:noFill/>
                          <a:ln>
                            <a:noFill/>
                          </a:ln>
                        </pic:spPr>
                      </pic:pic>
                    </a:graphicData>
                  </a:graphic>
                </wp:inline>
              </w:drawing>
            </w:r>
          </w:p>
          <w:p>
            <w:pPr>
              <w:pStyle w:val="Caption"/>
              <w:jc w:val="center"/>
              <w:rPr>
                <w:sz w:val="20"/>
                <w:szCs w:val="20"/>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8</w:t>
            </w:r>
            <w:r>
              <w:rPr>
                <w:sz w:val="20"/>
                <w:szCs w:val="20"/>
              </w:rPr>
              <w:fldChar w:fldCharType="end"/>
            </w:r>
            <w:r>
              <w:rPr>
                <w:sz w:val="20"/>
                <w:szCs w:val="20"/>
              </w:rPr>
              <w:t>. E1 model final prediction on DS3.</w:t>
            </w:r>
          </w:p>
        </w:tc>
      </w:tr>
    </w:tbl>
    <w:p>
      <w:pPr>
        <w:ind w:firstLine="202"/>
        <w:rPr>
          <w:kern w:val="2"/>
        </w:rPr>
      </w:pPr>
      <w:r>
        <w:t xml:space="preserve">Commentray on </w:t>
      </w:r>
      <w:r>
        <w:rPr>
          <w:lang w:val="en-GB"/>
        </w:rPr>
        <w:t xml:space="preserve">training issues and a </w:t>
      </w:r>
      <w:r>
        <w:t xml:space="preserve">more exhaustive description of the predictive results are available in </w:t>
      </w:r>
      <w:r>
        <w:fldChar w:fldCharType="begin"/>
      </w:r>
      <w:r>
        <w:instrText xml:space="preserve"> ADDIN ZOTERO_ITEM CSL_CITATION {"citationID":"NW58cd5e","properties":{"formattedCitation":"[9]","plainCitation":"[9]","noteIndex":0},"citationItems":[{"id":3688,"uris":["http://zotero.org/users/10162777/items/DWZBJTBR"],"itemData":{"id":3688,"type":"report","collection-title":"MEng Final Portfolio","title":"Appendix E: Testing &amp; Results","author":[{"family":"McElwee","given":"Anthony James"}],"issued":{"date-parts":[["2023",8]]},"citation-key":"mcelweeAppendixTestingResults2023"}}],"schema":"https://github.com/citation-style-language/schema/raw/master/csl-citation.json"} </w:instrText>
      </w:r>
      <w:r>
        <w:fldChar w:fldCharType="separate"/>
      </w:r>
      <w:r>
        <w:t>[9]</w:t>
      </w:r>
      <w:r>
        <w:fldChar w:fldCharType="end"/>
      </w:r>
      <w:r>
        <w:t>.</w:t>
      </w:r>
    </w:p>
    <w:p>
      <w:pPr>
        <w:pStyle w:val="Heading1"/>
        <w:numPr>
          <w:ilvl w:val="0"/>
          <w:numId w:val="2"/>
        </w:numPr>
      </w:pPr>
      <w:r>
        <w:t>Analysis</w:t>
      </w:r>
      <w:r>
        <w:rPr>
          <w:rStyle w:val="FootnoteReference"/>
        </w:rPr>
        <w:footnoteReference w:id="8"/>
      </w:r>
    </w:p>
    <w:p>
      <w:pPr>
        <w:ind w:firstLine="202"/>
      </w:pPr>
      <w:r>
        <w:t>As established in Section IV, Prescient2DL emulates the scenarios of DS1 from both a visual and mean squared error perspective. However, the paper sought to provide experimental data to enable the testing of its impact upon SolverEMF2.</w:t>
      </w:r>
      <w:r>
        <w:t xml:space="preserve"> Table 3 outlines the statistical results.</w:t>
      </w:r>
    </w:p>
    <w:p>
      <w:pPr>
        <w:rPr>
          <w:sz w:val="6"/>
          <w:szCs w:val="6"/>
        </w:rPr>
      </w:pPr>
    </w:p>
    <w:tbl>
      <w:tblPr>
        <w:tblW w:w="4490" w:type="dxa"/>
        <w:jc w:val="center"/>
        <w:tblLook w:val="04A0" w:firstRow="1" w:lastRow="0" w:firstColumn="1" w:lastColumn="0" w:noHBand="0" w:noVBand="1"/>
      </w:tblPr>
      <w:tblGrid>
        <w:gridCol w:w="501"/>
        <w:gridCol w:w="1230"/>
        <w:gridCol w:w="976"/>
        <w:gridCol w:w="627"/>
        <w:gridCol w:w="1261"/>
      </w:tblGrid>
      <w:tr>
        <w:trPr>
          <w:trHeight w:val="288"/>
          <w:jc w:val="center"/>
        </w:trPr>
        <w:tc>
          <w:tcPr>
            <w:tcW w:w="4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 </w:t>
            </w:r>
          </w:p>
        </w:tc>
        <w:tc>
          <w:tcPr>
            <w:tcW w:w="1174"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Metric</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t</w:t>
            </w:r>
          </w:p>
        </w:tc>
        <w:tc>
          <w:tcPr>
            <w:tcW w:w="610"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p</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 xml:space="preserve">Mean </w:t>
            </w:r>
          </w:p>
          <w:p>
            <w:pPr>
              <w:suppressAutoHyphens w:val="0"/>
              <w:jc w:val="center"/>
              <w:rPr>
                <w:b/>
                <w:bCs/>
                <w:color w:val="000000"/>
                <w:sz w:val="16"/>
                <w:szCs w:val="16"/>
              </w:rPr>
            </w:pPr>
            <w:r>
              <w:rPr>
                <w:b/>
                <w:bCs/>
                <w:color w:val="000000"/>
                <w:sz w:val="16"/>
                <w:szCs w:val="16"/>
              </w:rPr>
              <w:t>Difference</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Duration</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8.9132305</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0.0959198</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3.394</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0.052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-3.3</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-0.09</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Iteration_Count</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7.2478005</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0.52</w:t>
            </w:r>
          </w:p>
        </w:tc>
      </w:tr>
      <w:tr>
        <w:trPr>
          <w:trHeight w:val="300"/>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4.2</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0.22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0.572</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0.569</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0.07</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Error_Initial</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16.5942404</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0.0037544</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14.493</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12.829</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keepNext/>
              <w:suppressAutoHyphens w:val="0"/>
              <w:jc w:val="right"/>
              <w:rPr>
                <w:color w:val="000000"/>
                <w:sz w:val="16"/>
                <w:szCs w:val="16"/>
              </w:rPr>
            </w:pPr>
            <w:r>
              <w:rPr>
                <w:color w:val="000000"/>
                <w:sz w:val="16"/>
                <w:szCs w:val="16"/>
              </w:rPr>
              <w:t>0.01</w:t>
            </w:r>
          </w:p>
        </w:tc>
      </w:tr>
    </w:tbl>
    <w:p>
      <w:pPr>
        <w:pStyle w:val="Caption"/>
        <w:jc w:val="center"/>
        <w:rPr>
          <w:noProof/>
          <w:sz w:val="20"/>
          <w:szCs w:val="20"/>
        </w:rP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3</w:t>
      </w:r>
      <w:r>
        <w:rPr>
          <w:sz w:val="20"/>
          <w:szCs w:val="20"/>
        </w:rPr>
        <w:fldChar w:fldCharType="end"/>
      </w:r>
      <w:r>
        <w:rPr>
          <w:sz w:val="20"/>
          <w:szCs w:val="20"/>
        </w:rPr>
        <w:t>. Paired Samples T-Test</w:t>
      </w:r>
      <w:r>
        <w:rPr>
          <w:noProof/>
          <w:sz w:val="20"/>
          <w:szCs w:val="20"/>
        </w:rPr>
        <w:t>s comparing naive to model-assisted performance.</w:t>
      </w:r>
    </w:p>
    <w:p>
      <w:pPr>
        <w:pStyle w:val="Heading2"/>
        <w:rPr>
          <w:lang w:val="en-GB"/>
        </w:rPr>
      </w:pPr>
      <w:r>
        <w:rPr>
          <w:lang w:val="en-GB"/>
        </w:rPr>
        <w:t>Research Test 01 – Initial Solution Conveyance t-Test</w:t>
      </w:r>
    </w:p>
    <w:p>
      <w:pPr>
        <w:jc w:val="center"/>
        <w:rPr>
          <w:lang w:val="en-GB"/>
        </w:rPr>
      </w:pPr>
      <w:r>
        <w:rPr>
          <w:i/>
          <w:iCs/>
          <w:lang w:val="en-GB"/>
        </w:rPr>
        <w:t>“Null Hypothesis H</w:t>
      </w:r>
      <w:r>
        <w:rPr>
          <w:i/>
          <w:iCs/>
          <w:vertAlign w:val="subscript"/>
          <w:lang w:val="en-GB"/>
        </w:rPr>
        <w:t>0</w:t>
      </w:r>
      <w:r>
        <w:rPr>
          <w:i/>
          <w:iCs/>
          <w:lang w:val="en-GB"/>
        </w:rPr>
        <w:t>: The initial error (Residual Norm) in the Krylov Iterative Metrics in SolverEMF2 is the same as for the non-DL assisted conventional solver.</w:t>
      </w:r>
      <w:r>
        <w:rPr>
          <w:i/>
          <w:iCs/>
          <w:lang w:val="en-GB"/>
        </w:rPr>
        <w:t xml:space="preserve"> </w:t>
      </w:r>
      <w:r>
        <w:rPr>
          <w:i/>
          <w:iCs/>
          <w:lang w:val="en-GB"/>
        </w:rPr>
        <w:t>Alternative Hypothesis H</w:t>
      </w:r>
      <w:r>
        <w:rPr>
          <w:i/>
          <w:iCs/>
          <w:vertAlign w:val="subscript"/>
          <w:lang w:val="en-GB"/>
        </w:rPr>
        <w:t>A</w:t>
      </w:r>
      <w:r>
        <w:rPr>
          <w:i/>
          <w:iCs/>
          <w:lang w:val="en-GB"/>
        </w:rPr>
        <w:t xml:space="preserve">: The initial error (Residual Norm) in the Krylov Iterative Metrics in SolverEMF2 is lower than the non-DL assisted conventional solver” </w:t>
      </w:r>
      <w:r>
        <w:rPr>
          <w:i/>
          <w:iCs/>
          <w:lang w:val="en-GB"/>
        </w:rPr>
        <w:fldChar w:fldCharType="begin"/>
      </w:r>
      <w:r>
        <w:rPr>
          <w:i/>
          <w:iCs/>
          <w:lang w:val="en-GB"/>
        </w:rPr>
        <w:instrText xml:space="preserve"> ADDIN ZOTERO_ITEM CSL_CITATION {"citationID":"bnRV2JnI","properties":{"formattedCitation":"[10]","plainCitation":"[10]","noteIndex":0},"citationItems":[{"id":3692,"uris":["http://zotero.org/users/10162777/items/2UCXHHSB"],"itemData":{"id":3692,"type":"report","collection-title":"MEng Final Portfolio","title":"Appendix B: Project Design Plan","author":[{"family":"McElwee","given":"Anthony James"}],"issued":{"date-parts":[["2023",8]]},"citation-key":"mcelweeAppendixProjectDesign2023a"}}],"schema":"https://github.com/citation-style-language/schema/raw/master/csl-citation.json"} </w:instrText>
      </w:r>
      <w:r>
        <w:rPr>
          <w:i/>
          <w:iCs/>
          <w:lang w:val="en-GB"/>
        </w:rPr>
        <w:fldChar w:fldCharType="separate"/>
      </w:r>
      <w:r>
        <w:t>[10]</w:t>
      </w:r>
      <w:r>
        <w:rPr>
          <w:i/>
          <w:iCs/>
          <w:lang w:val="en-GB"/>
        </w:rPr>
        <w:fldChar w:fldCharType="end"/>
      </w:r>
      <w:r>
        <w:rPr>
          <w:lang w:val="en-GB"/>
        </w:rPr>
        <w:t>.</w:t>
      </w:r>
    </w:p>
    <w:p>
      <w:r>
        <w:t>For all three test sets, Prescient2DL is able to lower the initial error of SolverEMF2 in a statistically significant manner. The null hypothesis is rejected. In DS1, the initial error is lowered to 18% of that provided by the naïve guess.</w:t>
      </w:r>
    </w:p>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rPr>
          <w:jc w:val="center"/>
        </w:trPr>
        <w:tc>
          <w:tcPr>
            <w:tcW w:w="5203" w:type="dxa"/>
          </w:tcPr>
          <w:p>
            <w:pPr>
              <w:keepNext/>
              <w:jc w:val="center"/>
            </w:pPr>
            <w:r>
              <w:rPr>
                <w:noProof/>
                <w:lang w:val="en-GB"/>
              </w:rPr>
              <w:drawing>
                <wp:inline distT="0" distB="0" distL="0" distR="0">
                  <wp:extent cx="3171092" cy="2140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199" cy="2147477"/>
                          </a:xfrm>
                          <a:prstGeom prst="rect">
                            <a:avLst/>
                          </a:prstGeom>
                        </pic:spPr>
                      </pic:pic>
                    </a:graphicData>
                  </a:graphic>
                </wp:inline>
              </w:drawing>
            </w:r>
          </w:p>
          <w:p>
            <w:pPr>
              <w:jc w:val="center"/>
              <w:rPr>
                <w:i/>
                <w:iCs/>
              </w:rPr>
            </w:pPr>
            <w:r>
              <w:rPr>
                <w:i/>
                <w:iCs/>
              </w:rPr>
              <w:t xml:space="preserve">Figure </w:t>
            </w:r>
            <w:r>
              <w:rPr>
                <w:i/>
                <w:iCs/>
              </w:rPr>
              <w:fldChar w:fldCharType="begin"/>
            </w:r>
            <w:r>
              <w:rPr>
                <w:i/>
                <w:iCs/>
              </w:rPr>
              <w:instrText xml:space="preserve"> SEQ Figure \* ARABIC </w:instrText>
            </w:r>
            <w:r>
              <w:rPr>
                <w:i/>
                <w:iCs/>
              </w:rPr>
              <w:fldChar w:fldCharType="separate"/>
            </w:r>
            <w:r>
              <w:rPr>
                <w:i/>
                <w:iCs/>
                <w:noProof/>
              </w:rPr>
              <w:t>9</w:t>
            </w:r>
            <w:r>
              <w:rPr>
                <w:i/>
                <w:iCs/>
                <w:noProof/>
              </w:rPr>
              <w:fldChar w:fldCharType="end"/>
            </w:r>
            <w:r>
              <w:rPr>
                <w:i/>
                <w:iCs/>
              </w:rPr>
              <w:t>. Raincloud plot</w:t>
            </w:r>
            <w:r>
              <w:rPr>
                <w:i/>
                <w:iCs/>
                <w:noProof/>
              </w:rPr>
              <w:t xml:space="preserve"> of initial error comparison in DS1.</w:t>
            </w:r>
          </w:p>
        </w:tc>
      </w:tr>
    </w:tbl>
    <w:p/>
    <w:p>
      <w:pPr>
        <w:pStyle w:val="Heading2"/>
        <w:rPr>
          <w:lang w:val="en-GB"/>
        </w:rPr>
      </w:pPr>
      <w:r>
        <w:rPr>
          <w:lang w:val="en-GB"/>
        </w:rPr>
        <w:t>Research Test 0</w:t>
      </w:r>
      <w:r>
        <w:rPr>
          <w:lang w:val="en-GB"/>
        </w:rPr>
        <w:t>2</w:t>
      </w:r>
      <w:r>
        <w:rPr>
          <w:lang w:val="en-GB"/>
        </w:rPr>
        <w:t xml:space="preserve"> – Initial Solution Convergence t-Test</w:t>
      </w:r>
    </w:p>
    <w:p>
      <w:pPr>
        <w:jc w:val="center"/>
        <w:rPr>
          <w:lang w:val="en-GB"/>
        </w:rPr>
      </w:pPr>
      <w:r>
        <w:rPr>
          <w:i/>
          <w:iCs/>
          <w:lang w:val="en-GB"/>
        </w:rPr>
        <w:t>“Null Hypothesis H</w:t>
      </w:r>
      <w:r>
        <w:rPr>
          <w:i/>
          <w:iCs/>
          <w:vertAlign w:val="subscript"/>
          <w:lang w:val="en-GB"/>
        </w:rPr>
        <w:t>0</w:t>
      </w:r>
      <w:r>
        <w:rPr>
          <w:i/>
          <w:iCs/>
          <w:lang w:val="en-GB"/>
        </w:rPr>
        <w:t>: A linear approximation of the slope of the curve for plot Residual Norm versus Iteration Count, labelled as convergence rate, in the Krylov Iterative Metrics for SolverEMF2 is the same as for the non-DL assisted conventional solver.</w:t>
      </w:r>
      <w:r>
        <w:rPr>
          <w:i/>
          <w:iCs/>
          <w:lang w:val="en-GB"/>
        </w:rPr>
        <w:t xml:space="preserve"> </w:t>
      </w:r>
      <w:r>
        <w:rPr>
          <w:i/>
          <w:iCs/>
          <w:lang w:val="en-GB"/>
        </w:rPr>
        <w:t>Alternative Hypothesis H</w:t>
      </w:r>
      <w:r>
        <w:rPr>
          <w:i/>
          <w:iCs/>
          <w:vertAlign w:val="subscript"/>
          <w:lang w:val="en-GB"/>
        </w:rPr>
        <w:t>A</w:t>
      </w:r>
      <w:r>
        <w:rPr>
          <w:i/>
          <w:iCs/>
          <w:lang w:val="en-GB"/>
        </w:rPr>
        <w:t xml:space="preserve">: A linear approximation of the slope of the curve for plot Residual Norm versus Iteration Count, labelled as convergence rate, in </w:t>
      </w:r>
      <w:r>
        <w:rPr>
          <w:i/>
          <w:iCs/>
          <w:lang w:val="en-GB"/>
        </w:rPr>
        <w:lastRenderedPageBreak/>
        <w:t xml:space="preserve">the Krylov Iterative Metrics for SolverEMF2 is the not equal to the non-DL assisted conventional solver” </w:t>
      </w:r>
      <w:r>
        <w:rPr>
          <w:i/>
          <w:iCs/>
          <w:lang w:val="en-GB"/>
        </w:rPr>
        <w:fldChar w:fldCharType="begin"/>
      </w:r>
      <w:r>
        <w:rPr>
          <w:i/>
          <w:iCs/>
          <w:lang w:val="en-GB"/>
        </w:rPr>
        <w:instrText xml:space="preserve"> ADDIN ZOTERO_ITEM CSL_CITATION {"citationID":"NcHUUPrf","properties":{"formattedCitation":"[10]","plainCitation":"[10]","noteIndex":0},"citationItems":[{"id":3692,"uris":["http://zotero.org/users/10162777/items/2UCXHHSB"],"itemData":{"id":3692,"type":"report","collection-title":"MEng Final Portfolio","title":"Appendix B: Project Design Plan","author":[{"family":"McElwee","given":"Anthony James"}],"issued":{"date-parts":[["2023",8]]},"citation-key":"mcelweeAppendixProjectDesign2023a"}}],"schema":"https://github.com/citation-style-language/schema/raw/master/csl-citation.json"} </w:instrText>
      </w:r>
      <w:r>
        <w:rPr>
          <w:i/>
          <w:iCs/>
          <w:lang w:val="en-GB"/>
        </w:rPr>
        <w:fldChar w:fldCharType="separate"/>
      </w:r>
      <w:r>
        <w:t>[10]</w:t>
      </w:r>
      <w:r>
        <w:rPr>
          <w:i/>
          <w:iCs/>
          <w:lang w:val="en-GB"/>
        </w:rPr>
        <w:fldChar w:fldCharType="end"/>
      </w:r>
      <w:r>
        <w:rPr>
          <w:lang w:val="en-GB"/>
        </w:rPr>
        <w:t>.</w:t>
      </w:r>
    </w:p>
    <w:p>
      <w:pPr>
        <w:ind w:firstLine="202"/>
        <w:rPr>
          <w:noProof/>
        </w:rPr>
      </w:pPr>
      <w:r>
        <w:rPr>
          <w:noProof/>
        </w:rPr>
        <w:t>Again, there is a difference in the mean between the iteration count of naïve and Prescient2DL informed solutions in DS1 and DS2. For DS3, there is no evidence to show a reduction and so the null fails to be rejected.</w:t>
      </w:r>
    </w:p>
    <w:p>
      <w:pPr>
        <w:pStyle w:val="Heading2"/>
        <w:rPr>
          <w:lang w:val="en-GB"/>
        </w:rPr>
      </w:pPr>
      <w:r>
        <w:rPr>
          <w:lang w:val="en-GB"/>
        </w:rPr>
        <w:t>Wider Analysis &amp; Impact Requirememts</w:t>
      </w:r>
    </w:p>
    <w:p>
      <w:pPr>
        <w:ind w:firstLine="202"/>
      </w:pPr>
      <w:r>
        <w:rPr>
          <w:noProof/>
        </w:rPr>
        <w:t>Prescient2DL is able to generalise to DS2 without too much of a degradation in terms of lowering the initial error but struggles on DS3. Overeall, a</w:t>
      </w:r>
      <w:r>
        <w:rPr>
          <w:noProof/>
        </w:rPr>
        <w:t>lthough the initial error in the model-assisted approach is lower and more consistant then the naive approach, it is not low enough to impact SolverEMF2.</w:t>
      </w:r>
      <w:r>
        <w:rPr>
          <w:noProof/>
        </w:rPr>
        <w:t xml:space="preserve"> Indeed, the difference in iteration count </w:t>
      </w:r>
      <w:r>
        <w:rPr>
          <w:noProof/>
        </w:rPr>
        <w:t>for DS1</w:t>
      </w:r>
      <w:r>
        <w:rPr>
          <w:noProof/>
        </w:rPr>
        <w:t xml:space="preserve">is only roughly half of one iteration. The descriptive statistics in Section IV and the statistical analysis presented here indicate that Prescient2DL does not accelerate </w:t>
      </w:r>
      <w:r>
        <w:rPr>
          <w:noProof/>
        </w:rPr>
        <w:t>SolverEMF2</w:t>
      </w:r>
      <w:r>
        <w:rPr>
          <w:noProof/>
        </w:rPr>
        <w:t xml:space="preserve"> in generating solutions. A subset of the information gathered during a sample run is captured in Table 4. </w:t>
      </w:r>
      <w:r>
        <w:t>If the current tests and results show low means squared error but immaterial impact upon SolverEMF2, how would results that actually achieve Method of Moments solution acceleration manifest in this scenario?</w:t>
      </w:r>
    </w:p>
    <w:p>
      <w:pPr>
        <w:ind w:firstLine="202"/>
      </w:pPr>
    </w:p>
    <w:tbl>
      <w:tblPr>
        <w:tblW w:w="4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80"/>
        <w:gridCol w:w="1520"/>
      </w:tblGrid>
      <w:tr>
        <w:trPr>
          <w:trHeight w:val="20"/>
          <w:jc w:val="center"/>
        </w:trPr>
        <w:tc>
          <w:tcPr>
            <w:tcW w:w="1240" w:type="dxa"/>
            <w:shd w:val="clear" w:color="auto" w:fill="auto"/>
            <w:noWrap/>
            <w:vAlign w:val="center"/>
            <w:hideMark/>
          </w:tcPr>
          <w:p>
            <w:pPr>
              <w:suppressAutoHyphens w:val="0"/>
              <w:jc w:val="center"/>
              <w:rPr>
                <w:b/>
                <w:bCs/>
                <w:color w:val="000000"/>
              </w:rPr>
            </w:pPr>
            <w:r>
              <w:rPr>
                <w:b/>
                <w:bCs/>
                <w:color w:val="000000"/>
              </w:rPr>
              <w:t>Sample 5101</w:t>
            </w:r>
          </w:p>
        </w:tc>
        <w:tc>
          <w:tcPr>
            <w:tcW w:w="1380" w:type="dxa"/>
            <w:shd w:val="clear" w:color="auto" w:fill="auto"/>
            <w:vAlign w:val="center"/>
            <w:hideMark/>
          </w:tcPr>
          <w:p>
            <w:pPr>
              <w:suppressAutoHyphens w:val="0"/>
              <w:jc w:val="center"/>
              <w:rPr>
                <w:b/>
                <w:bCs/>
                <w:color w:val="000000"/>
              </w:rPr>
            </w:pPr>
            <w:r>
              <w:rPr>
                <w:b/>
                <w:bCs/>
                <w:color w:val="000000"/>
              </w:rPr>
              <w:t>Naïve</w:t>
            </w:r>
            <w:r>
              <w:rPr>
                <w:b/>
                <w:bCs/>
                <w:color w:val="000000"/>
              </w:rPr>
              <w:br/>
              <w:t>Original Run</w:t>
            </w:r>
          </w:p>
        </w:tc>
        <w:tc>
          <w:tcPr>
            <w:tcW w:w="1520" w:type="dxa"/>
            <w:shd w:val="clear" w:color="auto" w:fill="auto"/>
            <w:vAlign w:val="center"/>
            <w:hideMark/>
          </w:tcPr>
          <w:p>
            <w:pPr>
              <w:suppressAutoHyphens w:val="0"/>
              <w:jc w:val="center"/>
              <w:rPr>
                <w:b/>
                <w:bCs/>
                <w:color w:val="000000"/>
              </w:rPr>
            </w:pPr>
            <w:r>
              <w:rPr>
                <w:b/>
                <w:bCs/>
                <w:color w:val="000000"/>
              </w:rPr>
              <w:t>Model-Assisted</w:t>
            </w:r>
            <w:r>
              <w:rPr>
                <w:b/>
                <w:bCs/>
                <w:color w:val="000000"/>
              </w:rPr>
              <w:br/>
              <w:t>Run</w:t>
            </w:r>
          </w:p>
        </w:tc>
      </w:tr>
      <w:tr>
        <w:trPr>
          <w:trHeight w:val="20"/>
          <w:jc w:val="center"/>
        </w:trPr>
        <w:tc>
          <w:tcPr>
            <w:tcW w:w="1240" w:type="dxa"/>
            <w:shd w:val="clear" w:color="auto" w:fill="auto"/>
            <w:noWrap/>
            <w:vAlign w:val="center"/>
            <w:hideMark/>
          </w:tcPr>
          <w:p>
            <w:pPr>
              <w:suppressAutoHyphens w:val="0"/>
              <w:jc w:val="center"/>
              <w:rPr>
                <w:b/>
                <w:bCs/>
                <w:color w:val="000000"/>
              </w:rPr>
            </w:pPr>
            <w:r>
              <w:rPr>
                <w:b/>
                <w:bCs/>
                <w:color w:val="000000"/>
              </w:rPr>
              <w:t>Iteration</w:t>
            </w:r>
          </w:p>
        </w:tc>
        <w:tc>
          <w:tcPr>
            <w:tcW w:w="1380" w:type="dxa"/>
            <w:shd w:val="clear" w:color="auto" w:fill="auto"/>
            <w:noWrap/>
            <w:vAlign w:val="center"/>
            <w:hideMark/>
          </w:tcPr>
          <w:p>
            <w:pPr>
              <w:suppressAutoHyphens w:val="0"/>
              <w:jc w:val="center"/>
              <w:rPr>
                <w:b/>
                <w:bCs/>
                <w:color w:val="000000"/>
              </w:rPr>
            </w:pPr>
            <w:r>
              <w:rPr>
                <w:b/>
                <w:bCs/>
                <w:color w:val="000000"/>
              </w:rPr>
              <w:t>Residual Error</w:t>
            </w:r>
          </w:p>
        </w:tc>
        <w:tc>
          <w:tcPr>
            <w:tcW w:w="1520" w:type="dxa"/>
            <w:shd w:val="clear" w:color="auto" w:fill="auto"/>
            <w:noWrap/>
            <w:vAlign w:val="center"/>
            <w:hideMark/>
          </w:tcPr>
          <w:p>
            <w:pPr>
              <w:suppressAutoHyphens w:val="0"/>
              <w:jc w:val="center"/>
              <w:rPr>
                <w:b/>
                <w:bCs/>
                <w:color w:val="000000"/>
              </w:rPr>
            </w:pPr>
            <w:r>
              <w:rPr>
                <w:b/>
                <w:bCs/>
                <w:color w:val="000000"/>
              </w:rPr>
              <w:t>Residual Error</w:t>
            </w:r>
          </w:p>
        </w:tc>
      </w:tr>
      <w:tr>
        <w:trPr>
          <w:trHeight w:val="20"/>
          <w:jc w:val="center"/>
        </w:trPr>
        <w:tc>
          <w:tcPr>
            <w:tcW w:w="1240" w:type="dxa"/>
            <w:shd w:val="clear" w:color="auto" w:fill="auto"/>
            <w:noWrap/>
            <w:vAlign w:val="center"/>
            <w:hideMark/>
          </w:tcPr>
          <w:p>
            <w:pPr>
              <w:suppressAutoHyphens w:val="0"/>
              <w:jc w:val="center"/>
              <w:rPr>
                <w:color w:val="000000"/>
              </w:rPr>
            </w:pPr>
            <w:r>
              <w:rPr>
                <w:color w:val="000000"/>
              </w:rPr>
              <w:t>0</w:t>
            </w:r>
          </w:p>
        </w:tc>
        <w:tc>
          <w:tcPr>
            <w:tcW w:w="1380" w:type="dxa"/>
            <w:shd w:val="clear" w:color="auto" w:fill="auto"/>
            <w:noWrap/>
            <w:vAlign w:val="center"/>
            <w:hideMark/>
          </w:tcPr>
          <w:p>
            <w:pPr>
              <w:suppressAutoHyphens w:val="0"/>
              <w:jc w:val="center"/>
              <w:rPr>
                <w:color w:val="000000"/>
              </w:rPr>
            </w:pPr>
            <w:r>
              <w:rPr>
                <w:color w:val="000000"/>
              </w:rPr>
              <w:t>0.00207481</w:t>
            </w:r>
          </w:p>
        </w:tc>
        <w:tc>
          <w:tcPr>
            <w:tcW w:w="1520" w:type="dxa"/>
            <w:shd w:val="clear" w:color="auto" w:fill="auto"/>
            <w:noWrap/>
            <w:vAlign w:val="center"/>
            <w:hideMark/>
          </w:tcPr>
          <w:p>
            <w:pPr>
              <w:suppressAutoHyphens w:val="0"/>
              <w:jc w:val="center"/>
              <w:rPr>
                <w:color w:val="000000"/>
              </w:rPr>
            </w:pPr>
            <w:r>
              <w:rPr>
                <w:color w:val="000000"/>
              </w:rPr>
              <w:t>0.000512025</w:t>
            </w:r>
          </w:p>
        </w:tc>
      </w:tr>
      <w:tr>
        <w:trPr>
          <w:trHeight w:val="20"/>
          <w:jc w:val="center"/>
        </w:trPr>
        <w:tc>
          <w:tcPr>
            <w:tcW w:w="1240" w:type="dxa"/>
            <w:shd w:val="clear" w:color="auto" w:fill="auto"/>
            <w:noWrap/>
            <w:vAlign w:val="center"/>
            <w:hideMark/>
          </w:tcPr>
          <w:p>
            <w:pPr>
              <w:suppressAutoHyphens w:val="0"/>
              <w:jc w:val="center"/>
              <w:rPr>
                <w:color w:val="000000"/>
              </w:rPr>
            </w:pPr>
            <w:r>
              <w:rPr>
                <w:color w:val="000000"/>
              </w:rPr>
              <w:t>1</w:t>
            </w:r>
          </w:p>
        </w:tc>
        <w:tc>
          <w:tcPr>
            <w:tcW w:w="1380" w:type="dxa"/>
            <w:shd w:val="clear" w:color="auto" w:fill="auto"/>
            <w:noWrap/>
            <w:vAlign w:val="center"/>
            <w:hideMark/>
          </w:tcPr>
          <w:p>
            <w:pPr>
              <w:suppressAutoHyphens w:val="0"/>
              <w:jc w:val="center"/>
              <w:rPr>
                <w:color w:val="000000"/>
              </w:rPr>
            </w:pPr>
            <w:r>
              <w:rPr>
                <w:color w:val="000000"/>
              </w:rPr>
              <w:t>0.000234899</w:t>
            </w:r>
          </w:p>
        </w:tc>
        <w:tc>
          <w:tcPr>
            <w:tcW w:w="1520" w:type="dxa"/>
            <w:shd w:val="clear" w:color="auto" w:fill="auto"/>
            <w:noWrap/>
            <w:vAlign w:val="center"/>
            <w:hideMark/>
          </w:tcPr>
          <w:p>
            <w:pPr>
              <w:suppressAutoHyphens w:val="0"/>
              <w:jc w:val="center"/>
              <w:rPr>
                <w:color w:val="000000"/>
              </w:rPr>
            </w:pPr>
            <w:r>
              <w:rPr>
                <w:color w:val="000000"/>
              </w:rPr>
              <w:t>7.02384E-05</w:t>
            </w:r>
          </w:p>
        </w:tc>
      </w:tr>
      <w:tr>
        <w:trPr>
          <w:trHeight w:val="20"/>
          <w:jc w:val="center"/>
        </w:trPr>
        <w:tc>
          <w:tcPr>
            <w:tcW w:w="1240" w:type="dxa"/>
            <w:shd w:val="clear" w:color="auto" w:fill="auto"/>
            <w:noWrap/>
            <w:vAlign w:val="center"/>
            <w:hideMark/>
          </w:tcPr>
          <w:p>
            <w:pPr>
              <w:suppressAutoHyphens w:val="0"/>
              <w:jc w:val="center"/>
              <w:rPr>
                <w:color w:val="000000"/>
              </w:rPr>
            </w:pPr>
            <w:r>
              <w:rPr>
                <w:color w:val="000000"/>
              </w:rPr>
              <w:t>2</w:t>
            </w:r>
          </w:p>
        </w:tc>
        <w:tc>
          <w:tcPr>
            <w:tcW w:w="1380" w:type="dxa"/>
            <w:shd w:val="clear" w:color="auto" w:fill="auto"/>
            <w:noWrap/>
            <w:vAlign w:val="center"/>
            <w:hideMark/>
          </w:tcPr>
          <w:p>
            <w:pPr>
              <w:suppressAutoHyphens w:val="0"/>
              <w:jc w:val="center"/>
              <w:rPr>
                <w:color w:val="000000"/>
              </w:rPr>
            </w:pPr>
            <w:r>
              <w:rPr>
                <w:color w:val="000000"/>
              </w:rPr>
              <w:t>3.68364E-05</w:t>
            </w:r>
          </w:p>
        </w:tc>
        <w:tc>
          <w:tcPr>
            <w:tcW w:w="1520" w:type="dxa"/>
            <w:shd w:val="clear" w:color="auto" w:fill="auto"/>
            <w:noWrap/>
            <w:vAlign w:val="center"/>
            <w:hideMark/>
          </w:tcPr>
          <w:p>
            <w:pPr>
              <w:suppressAutoHyphens w:val="0"/>
              <w:jc w:val="center"/>
              <w:rPr>
                <w:color w:val="000000"/>
              </w:rPr>
            </w:pPr>
            <w:r>
              <w:rPr>
                <w:color w:val="000000"/>
              </w:rPr>
              <w:t>1.58675E-05</w:t>
            </w:r>
          </w:p>
        </w:tc>
      </w:tr>
      <w:tr>
        <w:trPr>
          <w:trHeight w:val="20"/>
          <w:jc w:val="center"/>
        </w:trPr>
        <w:tc>
          <w:tcPr>
            <w:tcW w:w="1240" w:type="dxa"/>
            <w:shd w:val="clear" w:color="auto" w:fill="auto"/>
            <w:noWrap/>
            <w:vAlign w:val="center"/>
            <w:hideMark/>
          </w:tcPr>
          <w:p>
            <w:pPr>
              <w:suppressAutoHyphens w:val="0"/>
              <w:jc w:val="center"/>
              <w:rPr>
                <w:color w:val="000000"/>
              </w:rPr>
            </w:pPr>
            <w:r>
              <w:rPr>
                <w:color w:val="000000"/>
              </w:rPr>
              <w:t>3</w:t>
            </w:r>
          </w:p>
        </w:tc>
        <w:tc>
          <w:tcPr>
            <w:tcW w:w="1380" w:type="dxa"/>
            <w:shd w:val="clear" w:color="auto" w:fill="auto"/>
            <w:noWrap/>
            <w:vAlign w:val="center"/>
            <w:hideMark/>
          </w:tcPr>
          <w:p>
            <w:pPr>
              <w:suppressAutoHyphens w:val="0"/>
              <w:jc w:val="center"/>
              <w:rPr>
                <w:color w:val="000000"/>
              </w:rPr>
            </w:pPr>
            <w:r>
              <w:rPr>
                <w:color w:val="000000"/>
              </w:rPr>
              <w:t>1.02315E-05</w:t>
            </w:r>
          </w:p>
        </w:tc>
        <w:tc>
          <w:tcPr>
            <w:tcW w:w="1520" w:type="dxa"/>
            <w:shd w:val="clear" w:color="auto" w:fill="auto"/>
            <w:noWrap/>
            <w:vAlign w:val="center"/>
            <w:hideMark/>
          </w:tcPr>
          <w:p>
            <w:pPr>
              <w:suppressAutoHyphens w:val="0"/>
              <w:jc w:val="center"/>
              <w:rPr>
                <w:color w:val="000000"/>
              </w:rPr>
            </w:pPr>
            <w:r>
              <w:rPr>
                <w:color w:val="000000"/>
              </w:rPr>
              <w:t>4.2492E-06</w:t>
            </w:r>
          </w:p>
        </w:tc>
      </w:tr>
      <w:tr>
        <w:trPr>
          <w:trHeight w:val="20"/>
          <w:jc w:val="center"/>
        </w:trPr>
        <w:tc>
          <w:tcPr>
            <w:tcW w:w="1240" w:type="dxa"/>
            <w:shd w:val="clear" w:color="auto" w:fill="auto"/>
            <w:noWrap/>
            <w:vAlign w:val="center"/>
            <w:hideMark/>
          </w:tcPr>
          <w:p>
            <w:pPr>
              <w:suppressAutoHyphens w:val="0"/>
              <w:jc w:val="center"/>
              <w:rPr>
                <w:color w:val="000000"/>
              </w:rPr>
            </w:pPr>
            <w:r>
              <w:rPr>
                <w:color w:val="000000"/>
              </w:rPr>
              <w:t>4</w:t>
            </w:r>
          </w:p>
        </w:tc>
        <w:tc>
          <w:tcPr>
            <w:tcW w:w="1380" w:type="dxa"/>
            <w:shd w:val="clear" w:color="auto" w:fill="auto"/>
            <w:noWrap/>
            <w:vAlign w:val="center"/>
            <w:hideMark/>
          </w:tcPr>
          <w:p>
            <w:pPr>
              <w:suppressAutoHyphens w:val="0"/>
              <w:jc w:val="center"/>
              <w:rPr>
                <w:color w:val="000000"/>
              </w:rPr>
            </w:pPr>
            <w:r>
              <w:rPr>
                <w:color w:val="000000"/>
              </w:rPr>
              <w:t>1.0167E-06</w:t>
            </w:r>
          </w:p>
        </w:tc>
        <w:tc>
          <w:tcPr>
            <w:tcW w:w="1520" w:type="dxa"/>
            <w:shd w:val="clear" w:color="auto" w:fill="auto"/>
            <w:noWrap/>
            <w:vAlign w:val="center"/>
            <w:hideMark/>
          </w:tcPr>
          <w:p>
            <w:pPr>
              <w:suppressAutoHyphens w:val="0"/>
              <w:jc w:val="center"/>
              <w:rPr>
                <w:color w:val="000000"/>
              </w:rPr>
            </w:pPr>
            <w:r>
              <w:rPr>
                <w:color w:val="000000"/>
              </w:rPr>
              <w:t>5.663E-07</w:t>
            </w:r>
          </w:p>
        </w:tc>
      </w:tr>
      <w:tr>
        <w:trPr>
          <w:trHeight w:val="20"/>
          <w:jc w:val="center"/>
        </w:trPr>
        <w:tc>
          <w:tcPr>
            <w:tcW w:w="1240" w:type="dxa"/>
            <w:shd w:val="clear" w:color="auto" w:fill="auto"/>
            <w:noWrap/>
            <w:vAlign w:val="center"/>
            <w:hideMark/>
          </w:tcPr>
          <w:p>
            <w:pPr>
              <w:suppressAutoHyphens w:val="0"/>
              <w:jc w:val="center"/>
              <w:rPr>
                <w:color w:val="000000"/>
              </w:rPr>
            </w:pPr>
            <w:r>
              <w:rPr>
                <w:color w:val="000000"/>
              </w:rPr>
              <w:t>5</w:t>
            </w:r>
          </w:p>
        </w:tc>
        <w:tc>
          <w:tcPr>
            <w:tcW w:w="1380" w:type="dxa"/>
            <w:shd w:val="clear" w:color="auto" w:fill="auto"/>
            <w:noWrap/>
            <w:vAlign w:val="center"/>
            <w:hideMark/>
          </w:tcPr>
          <w:p>
            <w:pPr>
              <w:suppressAutoHyphens w:val="0"/>
              <w:jc w:val="center"/>
              <w:rPr>
                <w:color w:val="000000"/>
              </w:rPr>
            </w:pPr>
            <w:r>
              <w:rPr>
                <w:color w:val="000000"/>
              </w:rPr>
              <w:t>2.997E-07</w:t>
            </w:r>
          </w:p>
        </w:tc>
        <w:tc>
          <w:tcPr>
            <w:tcW w:w="1520" w:type="dxa"/>
            <w:shd w:val="clear" w:color="auto" w:fill="auto"/>
            <w:noWrap/>
            <w:vAlign w:val="center"/>
            <w:hideMark/>
          </w:tcPr>
          <w:p>
            <w:pPr>
              <w:suppressAutoHyphens w:val="0"/>
              <w:jc w:val="center"/>
              <w:rPr>
                <w:color w:val="000000"/>
              </w:rPr>
            </w:pPr>
            <w:r>
              <w:rPr>
                <w:color w:val="000000"/>
              </w:rPr>
              <w:t>6.35E-08</w:t>
            </w:r>
          </w:p>
        </w:tc>
      </w:tr>
      <w:tr>
        <w:trPr>
          <w:trHeight w:val="20"/>
          <w:jc w:val="center"/>
        </w:trPr>
        <w:tc>
          <w:tcPr>
            <w:tcW w:w="1240" w:type="dxa"/>
            <w:shd w:val="clear" w:color="auto" w:fill="auto"/>
            <w:noWrap/>
            <w:vAlign w:val="center"/>
            <w:hideMark/>
          </w:tcPr>
          <w:p>
            <w:pPr>
              <w:suppressAutoHyphens w:val="0"/>
              <w:jc w:val="center"/>
              <w:rPr>
                <w:color w:val="000000"/>
              </w:rPr>
            </w:pPr>
            <w:r>
              <w:rPr>
                <w:color w:val="000000"/>
              </w:rPr>
              <w:t>6</w:t>
            </w:r>
          </w:p>
        </w:tc>
        <w:tc>
          <w:tcPr>
            <w:tcW w:w="1380" w:type="dxa"/>
            <w:shd w:val="clear" w:color="auto" w:fill="auto"/>
            <w:noWrap/>
            <w:vAlign w:val="center"/>
            <w:hideMark/>
          </w:tcPr>
          <w:p>
            <w:pPr>
              <w:suppressAutoHyphens w:val="0"/>
              <w:jc w:val="center"/>
              <w:rPr>
                <w:color w:val="000000"/>
              </w:rPr>
            </w:pPr>
            <w:r>
              <w:rPr>
                <w:color w:val="000000"/>
              </w:rPr>
              <w:t>4.01E-08</w:t>
            </w:r>
          </w:p>
        </w:tc>
        <w:tc>
          <w:tcPr>
            <w:tcW w:w="1520" w:type="dxa"/>
            <w:shd w:val="clear" w:color="auto" w:fill="auto"/>
            <w:noWrap/>
            <w:vAlign w:val="center"/>
            <w:hideMark/>
          </w:tcPr>
          <w:p>
            <w:pPr>
              <w:keepNext/>
              <w:suppressAutoHyphens w:val="0"/>
              <w:jc w:val="center"/>
              <w:rPr>
                <w:color w:val="000000"/>
              </w:rPr>
            </w:pPr>
            <w:r>
              <w:rPr>
                <w:color w:val="000000"/>
              </w:rPr>
              <w:t>1.71E-08</w:t>
            </w:r>
          </w:p>
        </w:tc>
      </w:tr>
    </w:tbl>
    <w:p>
      <w:pPr>
        <w:pStyle w:val="Caption"/>
        <w:jc w:val="center"/>
        <w:rPr>
          <w:sz w:val="20"/>
          <w:szCs w:val="20"/>
        </w:rP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4</w:t>
      </w:r>
      <w:r>
        <w:rPr>
          <w:sz w:val="20"/>
          <w:szCs w:val="20"/>
        </w:rPr>
        <w:fldChar w:fldCharType="end"/>
      </w:r>
      <w:r>
        <w:rPr>
          <w:sz w:val="20"/>
          <w:szCs w:val="20"/>
        </w:rPr>
        <w:t xml:space="preserve">. </w:t>
      </w:r>
      <w:r>
        <w:rPr>
          <w:sz w:val="20"/>
          <w:szCs w:val="20"/>
        </w:rPr>
        <w:t xml:space="preserve">Partial </w:t>
      </w:r>
      <w:r>
        <w:rPr>
          <w:sz w:val="20"/>
          <w:szCs w:val="20"/>
        </w:rPr>
        <w:t>Iterative Solver information for Sample 5101</w:t>
      </w:r>
    </w:p>
    <w:p>
      <w:pPr>
        <w:ind w:firstLine="202"/>
      </w:pPr>
      <w:r>
        <w:t>In order for Prescient2DL to impact the Method of Moments solver by accelerating the solution process, the initial residual error would need to be lowered below at least the first two error levels reported in the residual error column for the Naïve Original Run. Due to dependance of convergence rates for Krylov solvers on the conditioning of the matrices and the eigenvalue properties of the matrices</w:t>
      </w:r>
      <w:r>
        <w:fldChar w:fldCharType="begin"/>
      </w:r>
      <w:r>
        <w:instrText xml:space="preserve"> ADDIN ZOTERO_ITEM CSL_CITATION {"citationID":"JO3DD82Z","properties":{"formattedCitation":"[11]","plainCitation":"[11]","noteIndex":0},"citationItems":[{"id":2259,"uris":["http://zotero.org/users/10162777/items/PNZATMFF"],"itemData":{"id":2259,"type":"book","abstract":"Computational simulation of scientific phenomena and engineering problems often depends on solving linear systems with a large number of unknowns. This book gives insight into the construction of iterative methods for the solution of such systems and helps the reader to select the best solver for a given class of problems. The emphasis is on the main ideas and how they have led to efficient solvers such as CG, GMRES, and BI-CGSTAB. The author also explains the main concepts behind the construction of preconditioners. The reader is encouraged to gain experience by analysing numerous examples that illustrate how best to exploit the methods. The book also hints at many open problems and as such it will appeal to established researchers. There are many exercises that motivate the material and help students to understand the essential steps in the analysis and construction of algorithms.","edition":"1","ISBN":"978-0-521-81828-5","note":"DOI: 10.1017/CBO9780511615115","publisher":"Cambridge University Press","source":"DOI.org (Crossref)","title":"Iterative Krylov Methods for Large Linear Systems","URL":"https://www.cambridge.org/core/product/identifier/9780511615115/type/book","author":[{"family":"Vorst","given":"Henk A.","non-dropping-particle":"van der"}],"accessed":{"date-parts":[["2022",11,14]]},"issued":{"date-parts":[["2003",4,17]]},"citation-key":"vandervorstIterativeKrylovMethods2003"}}],"schema":"https://github.com/citation-style-language/schema/raw/master/csl-citation.json"} </w:instrText>
      </w:r>
      <w:r>
        <w:fldChar w:fldCharType="separate"/>
      </w:r>
      <w:r>
        <w:t>[11]</w:t>
      </w:r>
      <w:r>
        <w:fldChar w:fldCharType="end"/>
      </w:r>
      <w:r>
        <w:t>, deep learning models would need to be achieving initial residual errors of 10</w:t>
      </w:r>
      <w:r>
        <w:rPr>
          <w:vertAlign w:val="superscript"/>
        </w:rPr>
        <w:t>-8</w:t>
      </w:r>
      <w:r>
        <w:t xml:space="preserve"> or lower in this toy scenario to </w:t>
      </w:r>
      <w:r>
        <w:t>diminish</w:t>
      </w:r>
      <w:r>
        <w:t xml:space="preserve"> the final iteration count by even 25% of the naïve solution iteration count.</w:t>
      </w:r>
    </w:p>
    <w:p>
      <w:r>
        <w:tab/>
        <w:t>While positive results are lacking with regard to the goal of the paper, the author points out that the research has been fruitful in providing the electromagnetics community with reproducible data, as well as raising concerns about the model training results, pertaining to the application of deep learning to the forward problem. The paper is written with the view that the engineering problem formulation, design approach, data generation process, experimental design and model development are substanital and meaningful in a pre-results context.</w:t>
      </w:r>
    </w:p>
    <w:p>
      <w:pPr>
        <w:pStyle w:val="Heading1"/>
        <w:numPr>
          <w:ilvl w:val="0"/>
          <w:numId w:val="2"/>
        </w:numPr>
      </w:pPr>
      <w:r>
        <w:t>Conclusions</w:t>
      </w:r>
    </w:p>
    <w:p>
      <w:pPr>
        <w:ind w:firstLine="202"/>
      </w:pPr>
      <w:r>
        <w:t xml:space="preserve">Although </w:t>
      </w:r>
      <w:r>
        <w:t>a deep learning model</w:t>
      </w:r>
      <w:r>
        <w:t xml:space="preserve"> </w:t>
      </w:r>
      <w:r>
        <w:t xml:space="preserve">has been shown to </w:t>
      </w:r>
      <w:r>
        <w:t xml:space="preserve">achieving statistical differences in metric performance </w:t>
      </w:r>
      <w:r>
        <w:t>compared to naïve approaches</w:t>
      </w:r>
      <w:r>
        <w:t xml:space="preserve">, </w:t>
      </w:r>
      <w:r>
        <w:t xml:space="preserve">there appears to be nothing </w:t>
      </w:r>
      <w:r>
        <w:t xml:space="preserve">materially </w:t>
      </w:r>
      <w:r>
        <w:t>gained from using the model with regard to accelerating the Method of Moments solver.</w:t>
      </w:r>
    </w:p>
    <w:p>
      <w:pPr>
        <w:ind w:firstLine="202"/>
      </w:pPr>
      <w:r>
        <w:t xml:space="preserve">Before further experimentation with generalizability and extrapolation is to be carried out, </w:t>
      </w:r>
      <w:r>
        <w:t xml:space="preserve">the evidence presented in this paper highlights the need for models to achieve much </w:t>
      </w:r>
      <w:r>
        <w:t xml:space="preserve">lower </w:t>
      </w:r>
      <w:r>
        <w:t>mean squared error results than achieved during this research. In the forward problem, f</w:t>
      </w:r>
      <w:r>
        <w:t xml:space="preserve">urther deep learning model development work </w:t>
      </w:r>
      <w:r>
        <w:t>should focus on lowering the</w:t>
      </w:r>
      <w:r>
        <w:t xml:space="preserve"> initial error so that </w:t>
      </w:r>
      <w:r>
        <w:t xml:space="preserve">the steps required to achieve iterative solution convergence can be reduced. </w:t>
      </w:r>
      <w:r>
        <w:t xml:space="preserve">This </w:t>
      </w:r>
      <w:r>
        <w:t xml:space="preserve">paper </w:t>
      </w:r>
      <w:r>
        <w:t xml:space="preserve">has </w:t>
      </w:r>
      <w:r>
        <w:t xml:space="preserve">also </w:t>
      </w:r>
      <w:r>
        <w:t xml:space="preserve">presented evidence that research in this area remains at the model development stage. </w:t>
      </w:r>
    </w:p>
    <w:p>
      <w:pPr>
        <w:ind w:firstLine="202"/>
      </w:pPr>
      <w:r>
        <w:t>If the creation of models that bring the initial residual error to orders of magnitude lower than currently reported is deemed non-viable, after more extensive experimentation, then the attempted application of deep learning in electromagnetic scattering forward problems could be regarded as frivolous.</w:t>
      </w:r>
    </w:p>
    <w:p>
      <w:pPr>
        <w:pStyle w:val="ListParagraph"/>
        <w:numPr>
          <w:ilvl w:val="0"/>
          <w:numId w:val="4"/>
        </w:numPr>
      </w:pPr>
      <w:r>
        <w:t xml:space="preserve">Dense layers, as reported in </w:t>
      </w:r>
      <w:r>
        <w:fldChar w:fldCharType="begin"/>
      </w:r>
      <w:r>
        <w:instrText xml:space="preserve"> ADDIN ZOTERO_ITEM CSL_CITATION {"citationID":"hlIcogvi","properties":{"formattedCitation":"[6]","plainCitation":"[6]","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 may improve performance since the hybrid infusion relies on deep learning techniques associated with discrete-to-discrete data structures. The architecture deployed in this paper was formulated based on literature that was in the domain of image-to-image data structures.</w:t>
      </w:r>
    </w:p>
    <w:p>
      <w:pPr>
        <w:pStyle w:val="Text"/>
        <w:rPr>
          <w:b/>
          <w:bCs/>
          <w:i/>
          <w:iCs/>
        </w:rPr>
      </w:pPr>
      <w:r>
        <w:rPr>
          <w:b/>
          <w:bCs/>
        </w:rPr>
        <w:t xml:space="preserve">This is the conclusion. </w:t>
      </w:r>
      <w:r>
        <w:rPr>
          <w:b/>
          <w:bCs/>
          <w:i/>
          <w:iCs/>
        </w:rPr>
        <w:t>Here you summarize what has been achieved and learned, and the implications for future research and suggestions for future work that could follow on from your work. This section resembles the introduction in some ways, but remember that by now the reader has read the body of the paper. The introduction was your attempt to encourage them to do so. You can present insights in the conclusions.</w:t>
      </w:r>
    </w:p>
    <w:p>
      <w:pPr>
        <w:pStyle w:val="ReferenceHead"/>
      </w:pPr>
      <w:r>
        <w:t>References</w:t>
      </w:r>
    </w:p>
    <w:p>
      <w:pPr>
        <w:pStyle w:val="Bibliography"/>
        <w:rPr>
          <w:rFonts w:ascii="Times-Roman" w:hAnsi="Times-Roman"/>
          <w:sz w:val="16"/>
        </w:rPr>
      </w:pPr>
      <w:r>
        <w:rPr>
          <w:rFonts w:ascii="Times-Roman" w:hAnsi="Times-Roman" w:cs="Times-Roman"/>
        </w:rPr>
        <w:fldChar w:fldCharType="begin"/>
      </w:r>
      <w:r>
        <w:rPr>
          <w:rFonts w:ascii="Times-Roman" w:hAnsi="Times-Roman" w:cs="Times-Roman"/>
        </w:rPr>
        <w:instrText xml:space="preserve"> ADDIN ZOTERO_BIBL {"uncited":[],"omitted":[],"custom":[]} CSL_BIBLIOGRAPHY </w:instrText>
      </w:r>
      <w:r>
        <w:rPr>
          <w:rFonts w:ascii="Times-Roman" w:hAnsi="Times-Roman" w:cs="Times-Roman"/>
        </w:rPr>
        <w:fldChar w:fldCharType="separate"/>
      </w:r>
      <w:r>
        <w:rPr>
          <w:rFonts w:ascii="Times-Roman" w:hAnsi="Times-Roman"/>
          <w:sz w:val="16"/>
        </w:rPr>
        <w:t>[1]</w:t>
      </w:r>
      <w:r>
        <w:rPr>
          <w:rFonts w:ascii="Times-Roman" w:hAnsi="Times-Roman"/>
          <w:sz w:val="16"/>
        </w:rPr>
        <w:tab/>
        <w:t xml:space="preserve">P. M. van den Berg, </w:t>
      </w:r>
      <w:r>
        <w:rPr>
          <w:rFonts w:ascii="Times-Roman" w:hAnsi="Times-Roman"/>
          <w:i/>
          <w:iCs/>
          <w:sz w:val="16"/>
        </w:rPr>
        <w:t>Forward and inverse scattering algorithms based on contrast source integral equations</w:t>
      </w:r>
      <w:r>
        <w:rPr>
          <w:rFonts w:ascii="Times-Roman" w:hAnsi="Times-Roman"/>
          <w:sz w:val="16"/>
        </w:rPr>
        <w:t>. Hoboken, NJ: Wiley, 2020. [Online]. Available: https://onlinelibrary.wiley.com/doi/book/10.1002/9781119741602</w:t>
      </w:r>
    </w:p>
    <w:p>
      <w:pPr>
        <w:pStyle w:val="Bibliography"/>
        <w:rPr>
          <w:rFonts w:ascii="Times-Roman" w:hAnsi="Times-Roman"/>
          <w:sz w:val="16"/>
        </w:rPr>
      </w:pPr>
      <w:r>
        <w:rPr>
          <w:rFonts w:ascii="Times-Roman" w:hAnsi="Times-Roman"/>
          <w:sz w:val="16"/>
        </w:rPr>
        <w:t>[2]</w:t>
      </w:r>
      <w:r>
        <w:rPr>
          <w:rFonts w:ascii="Times-Roman" w:hAnsi="Times-Roman"/>
          <w:sz w:val="16"/>
        </w:rPr>
        <w:tab/>
        <w:t xml:space="preserve">P. De Tillieux and Y. Goussard, ‘Improving the Computational Cost of Image Reconstruction in Biomedical Magnetic Induction Tomography Using a Volume Integral Equation Approach’, </w:t>
      </w:r>
      <w:r>
        <w:rPr>
          <w:rFonts w:ascii="Times-Roman" w:hAnsi="Times-Roman"/>
          <w:i/>
          <w:iCs/>
          <w:sz w:val="16"/>
        </w:rPr>
        <w:t>IEEE Trans. Antennas Propagat.</w:t>
      </w:r>
      <w:r>
        <w:rPr>
          <w:rFonts w:ascii="Times-Roman" w:hAnsi="Times-Roman"/>
          <w:sz w:val="16"/>
        </w:rPr>
        <w:t>, vol. 69, no. 1, pp. 366–378, Jan. 2021, doi: 10.1109/TAP.2020.3008618.</w:t>
      </w:r>
    </w:p>
    <w:p>
      <w:pPr>
        <w:pStyle w:val="Bibliography"/>
        <w:rPr>
          <w:rFonts w:ascii="Times-Roman" w:hAnsi="Times-Roman"/>
          <w:sz w:val="16"/>
        </w:rPr>
      </w:pPr>
      <w:r>
        <w:rPr>
          <w:rFonts w:ascii="Times-Roman" w:hAnsi="Times-Roman"/>
          <w:sz w:val="16"/>
        </w:rPr>
        <w:t>[3]</w:t>
      </w:r>
      <w:r>
        <w:rPr>
          <w:rFonts w:ascii="Times-Roman" w:hAnsi="Times-Roman"/>
          <w:sz w:val="16"/>
        </w:rPr>
        <w:tab/>
        <w:t>A. J. McElwee, ‘Appendix A: Literature Survey’, Aug. 2023.</w:t>
      </w:r>
    </w:p>
    <w:p>
      <w:pPr>
        <w:pStyle w:val="Bibliography"/>
        <w:rPr>
          <w:rFonts w:ascii="Times-Roman" w:hAnsi="Times-Roman"/>
          <w:sz w:val="16"/>
        </w:rPr>
      </w:pPr>
      <w:r>
        <w:rPr>
          <w:rFonts w:ascii="Times-Roman" w:hAnsi="Times-Roman"/>
          <w:sz w:val="16"/>
        </w:rPr>
        <w:t>[4]</w:t>
      </w:r>
      <w:r>
        <w:rPr>
          <w:rFonts w:ascii="Times-Roman" w:hAnsi="Times-Roman"/>
          <w:sz w:val="16"/>
        </w:rPr>
        <w:tab/>
        <w:t>A. J. McElwee, ‘Appendix D: Project Design &amp; Implementation’, Aug. 2023.</w:t>
      </w:r>
    </w:p>
    <w:p>
      <w:pPr>
        <w:pStyle w:val="Bibliography"/>
        <w:rPr>
          <w:rFonts w:ascii="Times-Roman" w:hAnsi="Times-Roman"/>
          <w:sz w:val="16"/>
        </w:rPr>
      </w:pPr>
      <w:r>
        <w:rPr>
          <w:rFonts w:ascii="Times-Roman" w:hAnsi="Times-Roman"/>
          <w:sz w:val="16"/>
        </w:rPr>
        <w:t>[5]</w:t>
      </w:r>
      <w:r>
        <w:rPr>
          <w:rFonts w:ascii="Times-Roman" w:hAnsi="Times-Roman"/>
          <w:sz w:val="16"/>
        </w:rPr>
        <w:tab/>
        <w:t>A. J. McElwee, ‘Appendix F: Source Code Listing’, Aug. 2023.</w:t>
      </w:r>
    </w:p>
    <w:p>
      <w:pPr>
        <w:pStyle w:val="Bibliography"/>
        <w:rPr>
          <w:rFonts w:ascii="Times-Roman" w:hAnsi="Times-Roman"/>
          <w:sz w:val="16"/>
        </w:rPr>
      </w:pPr>
      <w:r>
        <w:rPr>
          <w:rFonts w:ascii="Times-Roman" w:hAnsi="Times-Roman"/>
          <w:sz w:val="16"/>
        </w:rPr>
        <w:t>[6]</w:t>
      </w:r>
      <w:r>
        <w:rPr>
          <w:rFonts w:ascii="Times-Roman" w:hAnsi="Times-Roman"/>
          <w:sz w:val="16"/>
        </w:rPr>
        <w:tab/>
        <w:t xml:space="preserve">Q. Ren, Y. Wang, Y. Li, and S. Qi, </w:t>
      </w:r>
      <w:r>
        <w:rPr>
          <w:rFonts w:ascii="Times-Roman" w:hAnsi="Times-Roman"/>
          <w:i/>
          <w:iCs/>
          <w:sz w:val="16"/>
        </w:rPr>
        <w:t>Sophisticated Electromagnetic Forward Scattering Solver via Deep Learning</w:t>
      </w:r>
      <w:r>
        <w:rPr>
          <w:rFonts w:ascii="Times-Roman" w:hAnsi="Times-Roman"/>
          <w:sz w:val="16"/>
        </w:rPr>
        <w:t>. Singapore: Springer, 2022. doi: 10.1007/978-981-16-6261-4.</w:t>
      </w:r>
    </w:p>
    <w:p>
      <w:pPr>
        <w:pStyle w:val="Bibliography"/>
        <w:rPr>
          <w:rFonts w:ascii="Times-Roman" w:hAnsi="Times-Roman"/>
          <w:sz w:val="16"/>
        </w:rPr>
      </w:pPr>
      <w:r>
        <w:rPr>
          <w:rFonts w:ascii="Times-Roman" w:hAnsi="Times-Roman"/>
          <w:sz w:val="16"/>
        </w:rPr>
        <w:t>[7]</w:t>
      </w:r>
      <w:r>
        <w:rPr>
          <w:rFonts w:ascii="Times-Roman" w:hAnsi="Times-Roman"/>
          <w:sz w:val="16"/>
        </w:rPr>
        <w:tab/>
        <w:t xml:space="preserve">T.-T.-H. Le, H. Kang, and H. Kim, ‘Towards Incompressible Laminar Flow Estimation Based on Interpolated Feature Generation and Deep Learning’, </w:t>
      </w:r>
      <w:r>
        <w:rPr>
          <w:rFonts w:ascii="Times-Roman" w:hAnsi="Times-Roman"/>
          <w:i/>
          <w:iCs/>
          <w:sz w:val="16"/>
        </w:rPr>
        <w:t>Sustainability</w:t>
      </w:r>
      <w:r>
        <w:rPr>
          <w:rFonts w:ascii="Times-Roman" w:hAnsi="Times-Roman"/>
          <w:sz w:val="16"/>
        </w:rPr>
        <w:t>, vol. 14, no. 19, Art. no. 19, Jan. 2022, doi: 10.3390/su141911996.</w:t>
      </w:r>
    </w:p>
    <w:p>
      <w:pPr>
        <w:pStyle w:val="Bibliography"/>
        <w:rPr>
          <w:rFonts w:ascii="Times-Roman" w:hAnsi="Times-Roman"/>
          <w:sz w:val="16"/>
        </w:rPr>
      </w:pPr>
      <w:r>
        <w:rPr>
          <w:rFonts w:ascii="Times-Roman" w:hAnsi="Times-Roman"/>
          <w:sz w:val="16"/>
        </w:rPr>
        <w:t>[8]</w:t>
      </w:r>
      <w:r>
        <w:rPr>
          <w:rFonts w:ascii="Times-Roman" w:hAnsi="Times-Roman"/>
          <w:sz w:val="16"/>
        </w:rPr>
        <w:tab/>
        <w:t xml:space="preserve">Y. Guan, T. Fang, D. Zhang, and C. Jin, ‘Solving Fredholm Integral Equations Using Deep Learning’, </w:t>
      </w:r>
      <w:r>
        <w:rPr>
          <w:rFonts w:ascii="Times-Roman" w:hAnsi="Times-Roman"/>
          <w:i/>
          <w:iCs/>
          <w:sz w:val="16"/>
        </w:rPr>
        <w:t>Int. J. Appl. Comput. Math</w:t>
      </w:r>
      <w:r>
        <w:rPr>
          <w:rFonts w:ascii="Times-Roman" w:hAnsi="Times-Roman"/>
          <w:sz w:val="16"/>
        </w:rPr>
        <w:t>, vol. 8, no. 2, p. 87, Mar. 2022, doi: 10.1007/s40819-022-01288-3.</w:t>
      </w:r>
    </w:p>
    <w:p>
      <w:pPr>
        <w:pStyle w:val="Bibliography"/>
        <w:rPr>
          <w:rFonts w:ascii="Times-Roman" w:hAnsi="Times-Roman"/>
          <w:sz w:val="16"/>
        </w:rPr>
      </w:pPr>
      <w:r>
        <w:rPr>
          <w:rFonts w:ascii="Times-Roman" w:hAnsi="Times-Roman"/>
          <w:sz w:val="16"/>
        </w:rPr>
        <w:t>[9]</w:t>
      </w:r>
      <w:r>
        <w:rPr>
          <w:rFonts w:ascii="Times-Roman" w:hAnsi="Times-Roman"/>
          <w:sz w:val="16"/>
        </w:rPr>
        <w:tab/>
        <w:t>A. J. McElwee, ‘Appendix E: Testing &amp; Results’, Aug. 2023.</w:t>
      </w:r>
    </w:p>
    <w:p>
      <w:pPr>
        <w:pStyle w:val="Bibliography"/>
        <w:rPr>
          <w:rFonts w:ascii="Times-Roman" w:hAnsi="Times-Roman"/>
          <w:sz w:val="16"/>
        </w:rPr>
      </w:pPr>
      <w:r>
        <w:rPr>
          <w:rFonts w:ascii="Times-Roman" w:hAnsi="Times-Roman"/>
          <w:sz w:val="16"/>
        </w:rPr>
        <w:t>[10]</w:t>
      </w:r>
      <w:r>
        <w:rPr>
          <w:rFonts w:ascii="Times-Roman" w:hAnsi="Times-Roman"/>
          <w:sz w:val="16"/>
        </w:rPr>
        <w:tab/>
        <w:t>A. J. McElwee, ‘Appendix B: Project Design Plan’, Aug. 2023.</w:t>
      </w:r>
    </w:p>
    <w:p>
      <w:pPr>
        <w:pStyle w:val="Bibliography"/>
        <w:rPr>
          <w:rFonts w:ascii="Times-Roman" w:hAnsi="Times-Roman"/>
          <w:sz w:val="16"/>
        </w:rPr>
      </w:pPr>
      <w:r>
        <w:rPr>
          <w:rFonts w:ascii="Times-Roman" w:hAnsi="Times-Roman"/>
          <w:sz w:val="16"/>
        </w:rPr>
        <w:t>[11]</w:t>
      </w:r>
      <w:r>
        <w:rPr>
          <w:rFonts w:ascii="Times-Roman" w:hAnsi="Times-Roman"/>
          <w:sz w:val="16"/>
        </w:rPr>
        <w:tab/>
        <w:t xml:space="preserve">H. A. van der Vorst, </w:t>
      </w:r>
      <w:r>
        <w:rPr>
          <w:rFonts w:ascii="Times-Roman" w:hAnsi="Times-Roman"/>
          <w:i/>
          <w:iCs/>
          <w:sz w:val="16"/>
        </w:rPr>
        <w:t>Iterative Krylov Methods for Large Linear Systems</w:t>
      </w:r>
      <w:r>
        <w:rPr>
          <w:rFonts w:ascii="Times-Roman" w:hAnsi="Times-Roman"/>
          <w:sz w:val="16"/>
        </w:rPr>
        <w:t>, 1st ed. Cambridge University Press, 2003. doi: 10.1017/CBO9780511615115.</w:t>
      </w:r>
    </w:p>
    <w:p>
      <w:pPr>
        <w:pStyle w:val="Bibliography"/>
        <w:rPr>
          <w:rFonts w:ascii="Times-Roman" w:hAnsi="Times-Roman"/>
          <w:sz w:val="16"/>
        </w:rPr>
      </w:pPr>
      <w:r>
        <w:rPr>
          <w:rFonts w:ascii="Times-Roman" w:hAnsi="Times-Roman"/>
          <w:sz w:val="16"/>
        </w:rPr>
        <w:t>[12]</w:t>
      </w:r>
      <w:r>
        <w:rPr>
          <w:rFonts w:ascii="Times-Roman" w:hAnsi="Times-Roman"/>
          <w:sz w:val="16"/>
        </w:rPr>
        <w:tab/>
        <w:t xml:space="preserve">F. Chopra, I. Haaland, C. Roth, and A. Stegmann, ‘The Null Result Penalty’, </w:t>
      </w:r>
      <w:r>
        <w:rPr>
          <w:rFonts w:ascii="Times-Roman" w:hAnsi="Times-Roman"/>
          <w:i/>
          <w:iCs/>
          <w:sz w:val="16"/>
        </w:rPr>
        <w:t>The Economic Journal</w:t>
      </w:r>
      <w:r>
        <w:rPr>
          <w:rFonts w:ascii="Times-Roman" w:hAnsi="Times-Roman"/>
          <w:sz w:val="16"/>
        </w:rPr>
        <w:t>, p. uead060, Aug. 2023, doi: 10.1093/ej/uead060.</w:t>
      </w:r>
    </w:p>
    <w:p>
      <w:pPr>
        <w:pStyle w:val="FigureCaption"/>
        <w:rPr>
          <w:sz w:val="20"/>
          <w:szCs w:val="20"/>
        </w:rPr>
      </w:pPr>
      <w:r>
        <w:rPr>
          <w:rFonts w:ascii="Times-Roman" w:hAnsi="Times-Roman" w:cs="Times-Roman"/>
        </w:rPr>
        <w:fldChar w:fldCharType="end"/>
      </w:r>
    </w:p>
    <w:sectPr>
      <w:headerReference w:type="default" r:id="rId18"/>
      <w:type w:val="continuous"/>
      <w:pgSz w:w="11906" w:h="16838"/>
      <w:pgMar w:top="1009" w:right="822" w:bottom="1009" w:left="822" w:header="431" w:footer="0" w:gutter="0"/>
      <w:cols w:num="2" w:space="288"/>
      <w:formProt w:val="0"/>
      <w:docGrid w:linePitch="312"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skerville">
    <w:altName w:val="Baskerville Old Face"/>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w:t>
      </w:r>
      <w:r>
        <w:rPr>
          <w:rStyle w:val="FootnoteReference"/>
          <w:vertAlign w:val="baseline"/>
        </w:rPr>
        <w:t>D</w:t>
      </w:r>
      <w:r>
        <w:t xml:space="preserve">ate of submission: 2023/08/21. e-mail: </w:t>
      </w:r>
      <w:hyperlink r:id="rId1" w:history="1">
        <w:r>
          <w:rPr>
            <w:rStyle w:val="Hyperlink"/>
          </w:rPr>
          <w:t>anthony.mcelwee2@mail.dcu.ie</w:t>
        </w:r>
      </w:hyperlink>
    </w:p>
  </w:footnote>
  <w:footnote w:id="2">
    <w:p>
      <w:pPr>
        <w:pStyle w:val="FootnoteText"/>
      </w:pPr>
      <w:r>
        <w:rPr>
          <w:rStyle w:val="FootnoteReference"/>
        </w:rPr>
        <w:footnoteRef/>
      </w:r>
      <w:r>
        <w:t xml:space="preserve"> This is a more advanced problem than the E-polarisation problem described in </w:t>
      </w:r>
      <w:r>
        <w:fldChar w:fldCharType="begin"/>
      </w:r>
      <w:r>
        <w:instrText xml:space="preserve"> ADDIN ZOTERO_ITEM CSL_CITATION {"citationID":"YVoHLrDx","properties":{"formattedCitation":"[3]","plainCitation":"[3]","noteIndex":2},"citationItems":[{"id":3685,"uris":["http://zotero.org/users/10162777/items/UEZ5CYBD"],"itemData":{"id":3685,"type":"report","collection-title":"MEng Final Portfolio","title":"Appendix A: Literature Survey","author":[{"family":"McElwee","given":"Anthony James"}],"issued":{"date-parts":[["2023",8]]},"citation-key":"mcelweeAppendixLiteratureSurvey2023"}}],"schema":"https://github.com/citation-style-language/schema/raw/master/csl-citation.json"} </w:instrText>
      </w:r>
      <w:r>
        <w:fldChar w:fldCharType="separate"/>
      </w:r>
      <w:r>
        <w:t>[3]</w:t>
      </w:r>
      <w:r>
        <w:fldChar w:fldCharType="end"/>
      </w:r>
      <w:r>
        <w:t xml:space="preserve">. The lengthy, full derivation and explanation of the problem are given in section 3.2.1 of </w:t>
      </w:r>
      <w:r>
        <w:fldChar w:fldCharType="begin"/>
      </w:r>
      <w:r>
        <w:instrText xml:space="preserve"> ADDIN ZOTERO_ITEM CSL_CITATION {"citationID":"h211A19V","properties":{"formattedCitation":"[1]","plainCitation":"[1]","noteIndex":2},"citationItems":[{"id":2052,"uris":["http://zotero.org/users/10162777/items/2IYXUIUK"],"itemData":{"id":2052,"type":"book","abstract":"\"Forward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footnote>
  <w:footnote w:id="3">
    <w:p>
      <w:pPr>
        <w:pStyle w:val="FootnoteText"/>
      </w:pPr>
      <w:r>
        <w:rPr>
          <w:rStyle w:val="FootnoteReference"/>
        </w:rPr>
        <w:footnoteRef/>
      </w:r>
      <w:r>
        <w:t xml:space="preserve"> Validation is illustrated in </w:t>
      </w:r>
      <w:r>
        <w:fldChar w:fldCharType="begin"/>
      </w:r>
      <w:r>
        <w:instrText xml:space="preserve"> ADDIN ZOTERO_ITEM CSL_CITATION {"citationID":"BZMfI7SE","properties":{"formattedCitation":"[4]","plainCitation":"[4]","noteIndex":3},"citationItems":[{"id":3686,"uris":["http://zotero.org/users/10162777/items/U74K2KSC"],"itemData":{"id":3686,"type":"report","collection-title":"MEng Final Portfolio","title":"Appendix D: Project Design &amp; Implementation","author":[{"family":"McElwee","given":"Anthony James"}],"issued":{"date-parts":[["2023",8]]},"citation-key":"mcelweeAppendixProjectDesign2023"}}],"schema":"https://github.com/citation-style-language/schema/raw/master/csl-citation.json"} </w:instrText>
      </w:r>
      <w:r>
        <w:fldChar w:fldCharType="separate"/>
      </w:r>
      <w:r>
        <w:t>[4]</w:t>
      </w:r>
      <w:r>
        <w:fldChar w:fldCharType="end"/>
      </w:r>
      <w:r>
        <w:t>.</w:t>
      </w:r>
    </w:p>
  </w:footnote>
  <w:footnote w:id="4">
    <w:p>
      <w:pPr>
        <w:pStyle w:val="FootnoteText"/>
      </w:pPr>
      <w:r>
        <w:rPr>
          <w:rStyle w:val="FootnoteReference"/>
        </w:rPr>
        <w:footnoteRef/>
      </w:r>
      <w:r>
        <w:t xml:space="preserve"> The final adapted code can be found in </w:t>
      </w:r>
      <w:r>
        <w:fldChar w:fldCharType="begin"/>
      </w:r>
      <w:r>
        <w:instrText xml:space="preserve"> ADDIN ZOTERO_ITEM CSL_CITATION {"citationID":"AZMXkUGe","properties":{"formattedCitation":"[5]","plainCitation":"[5]","noteIndex":4},"citationItems":[{"id":3687,"uris":["http://zotero.org/users/10162777/items/9SZPDFWC"],"itemData":{"id":3687,"type":"report","collection-title":"MEng Final Portfolio","title":"Appendix F: Source Code Listing","author":[{"family":"McElwee","given":"Anthony James"}],"issued":{"date-parts":[["2023",8]]},"citation-key":"mcelweeAppendixSourceCode2023"}}],"schema":"https://github.com/citation-style-language/schema/raw/master/csl-citation.json"} </w:instrText>
      </w:r>
      <w:r>
        <w:fldChar w:fldCharType="separate"/>
      </w:r>
      <w:r>
        <w:t>[5]</w:t>
      </w:r>
      <w:r>
        <w:fldChar w:fldCharType="end"/>
      </w:r>
      <w:r>
        <w:t xml:space="preserve">. Considerable effort has been made to maintain the original structure of the code as a source of truth so that it can be used more widely in future research efforts, as well as be tied back to the reference text for documentation. Significant gains have been made in the last decade in machine learning due to the open and transparent nature of shared code. The aspiration is that this adaptation can add to development in the electromagetic scattering domain. The code is fully documented over the breadth of more than one hundred pages in </w:t>
      </w:r>
      <w:r>
        <w:fldChar w:fldCharType="begin"/>
      </w:r>
      <w:r>
        <w:instrText xml:space="preserve"> ADDIN ZOTERO_ITEM CSL_CITATION {"citationID":"we4lVo67","properties":{"formattedCitation":"[1]","plainCitation":"[1]","noteIndex":4},"citationItems":[{"id":2052,"uris":["http://zotero.org/users/10162777/items/2IYXUIUK"],"itemData":{"id":2052,"type":"book","abstract":"\"Forward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the culmination of over 50 articles.</w:t>
      </w:r>
    </w:p>
  </w:footnote>
  <w:footnote w:id="5">
    <w:p>
      <w:pPr>
        <w:pStyle w:val="FootnoteText"/>
      </w:pPr>
      <w:r>
        <w:rPr>
          <w:rStyle w:val="FootnoteReference"/>
        </w:rPr>
        <w:footnoteRef/>
      </w:r>
      <w:r>
        <w:t xml:space="preserve"> While references consulted  in </w:t>
      </w:r>
      <w:r>
        <w:fldChar w:fldCharType="begin"/>
      </w:r>
      <w:r>
        <w:instrText xml:space="preserve"> ADDIN ZOTERO_ITEM CSL_CITATION {"citationID":"OoOZ7xhZ","properties":{"formattedCitation":"[3]","plainCitation":"[3]","noteIndex":5},"citationItems":[{"id":3685,"uris":["http://zotero.org/users/10162777/items/UEZ5CYBD"],"itemData":{"id":3685,"type":"report","collection-title":"MEng Final Portfolio","title":"Appendix A: Literature Survey","author":[{"family":"McElwee","given":"Anthony James"}],"issued":{"date-parts":[["2023",8]]},"citation-key":"mcelweeAppendixLiteratureSurvey2023"}}],"schema":"https://github.com/citation-style-language/schema/raw/master/csl-citation.json"} </w:instrText>
      </w:r>
      <w:r>
        <w:fldChar w:fldCharType="separate"/>
      </w:r>
      <w:r>
        <w:t>[3]</w:t>
      </w:r>
      <w:r>
        <w:fldChar w:fldCharType="end"/>
      </w:r>
      <w:r>
        <w:t xml:space="preserve">, such as </w:t>
      </w:r>
      <w:r>
        <w:fldChar w:fldCharType="begin"/>
      </w:r>
      <w:r>
        <w:instrText xml:space="preserve"> ADDIN ZOTERO_ITEM CSL_CITATION {"citationID":"fRopbxRU","properties":{"formattedCitation":"[6]","plainCitation":"[6]","noteIndex":5},"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 use very small batch sizes to overcome this issue, the dimensions were deemed sufficent to pose as a challenge for the deep learning model.</w:t>
      </w:r>
    </w:p>
  </w:footnote>
  <w:footnote w:id="6">
    <w:p>
      <w:pPr>
        <w:pStyle w:val="FootnoteText"/>
      </w:pPr>
      <w:r>
        <w:rPr>
          <w:rStyle w:val="FootnoteReference"/>
        </w:rPr>
        <w:footnoteRef/>
      </w:r>
      <w:r>
        <w:t xml:space="preserve"> Co-ordinate systems were siloed for the purposes of this paper. The author expects that inclusion of secondary field information at model inception or at a secondary model stage may increase the final prediction performance.</w:t>
      </w:r>
    </w:p>
  </w:footnote>
  <w:footnote w:id="7">
    <w:p>
      <w:pPr>
        <w:pStyle w:val="FootnoteText"/>
      </w:pPr>
      <w:r>
        <w:rPr>
          <w:rStyle w:val="FootnoteReference"/>
        </w:rPr>
        <w:footnoteRef/>
      </w:r>
      <w:r>
        <w:t xml:space="preserve"> The description of the process is contained in </w:t>
      </w:r>
      <w:r>
        <w:fldChar w:fldCharType="begin"/>
      </w:r>
      <w:r>
        <w:instrText xml:space="preserve"> ADDIN ZOTERO_ITEM CSL_CITATION {"citationID":"kDzdzm4m","properties":{"formattedCitation":"[4]","plainCitation":"[4]","noteIndex":7},"citationItems":[{"id":3686,"uris":["http://zotero.org/users/10162777/items/U74K2KSC"],"itemData":{"id":3686,"type":"report","collection-title":"MEng Final Portfolio","title":"Appendix D: Project Design &amp; Implementation","author":[{"family":"McElwee","given":"Anthony James"}],"issued":{"date-parts":[["2023",8]]},"citation-key":"mcelweeAppendixProjectDesign2023"}}],"schema":"https://github.com/citation-style-language/schema/raw/master/csl-citation.json"} </w:instrText>
      </w:r>
      <w:r>
        <w:fldChar w:fldCharType="separate"/>
      </w:r>
      <w:r>
        <w:t>[4]</w:t>
      </w:r>
      <w:r>
        <w:fldChar w:fldCharType="end"/>
      </w:r>
      <w:r>
        <w:t>.</w:t>
      </w:r>
    </w:p>
  </w:footnote>
  <w:footnote w:id="8">
    <w:p>
      <w:pPr>
        <w:pStyle w:val="FootnoteText"/>
      </w:pPr>
      <w:r>
        <w:rPr>
          <w:rStyle w:val="FootnoteReference"/>
        </w:rPr>
        <w:footnoteRef/>
      </w:r>
      <w:r>
        <w:t xml:space="preserve"> A more exhaustive analysis is available in </w:t>
      </w:r>
      <w:r>
        <w:fldChar w:fldCharType="begin"/>
      </w:r>
      <w:r>
        <w:instrText xml:space="preserve"> ADDIN ZOTERO_ITEM CSL_CITATION {"citationID":"U5xaQjyi","properties":{"formattedCitation":"[9]","plainCitation":"[9]","noteIndex":8},"citationItems":[{"id":3688,"uris":["http://zotero.org/users/10162777/items/DWZBJTBR"],"itemData":{"id":3688,"type":"report","collection-title":"MEng Final Portfolio","title":"Appendix E: Testing &amp; Results","author":[{"family":"McElwee","given":"Anthony James"}],"issued":{"date-parts":[["2023",8]]},"citation-key":"mcelweeAppendixTestingResults2023"}}],"schema":"https://github.com/citation-style-language/schema/raw/master/csl-citation.json"} </w:instrText>
      </w:r>
      <w:r>
        <w:fldChar w:fldCharType="separate"/>
      </w:r>
      <w:r>
        <w:t>[9]</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ind w:right="360"/>
      <w:jc w:val="center"/>
    </w:pPr>
    <w:r>
      <w:t>MEng in Electronic &amp; Computer Engineering</w:t>
    </w:r>
    <w:r>
      <w:rPr>
        <w:noProof/>
      </w:rPr>
      <mc:AlternateContent>
        <mc:Choice Requires="wps">
          <w:drawing>
            <wp:anchor distT="0" distB="0" distL="0" distR="0" simplePos="0" relativeHeight="251656704" behindDoc="1" locked="0" layoutInCell="0" allowOverlap="1">
              <wp:simplePos x="0" y="0"/>
              <wp:positionH relativeFrom="margin">
                <wp:align>right</wp:align>
              </wp:positionH>
              <wp:positionV relativeFrom="paragraph">
                <wp:posOffset>635</wp:posOffset>
              </wp:positionV>
              <wp:extent cx="64135" cy="145415"/>
              <wp:effectExtent l="0" t="0" r="0" b="0"/>
              <wp:wrapSquare wrapText="largest"/>
              <wp:docPr id="9" name="Frame4"/>
              <wp:cNvGraphicFramePr/>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FrameContents"/>
                          </w:pPr>
                          <w:r>
                            <w:fldChar w:fldCharType="begin"/>
                          </w:r>
                          <w:r>
                            <w:instrText xml:space="preserve"> PAGE </w:instrText>
                          </w:r>
                          <w:r>
                            <w:fldChar w:fldCharType="separate"/>
                          </w:r>
                          <w:r>
                            <w:t>8</w:t>
                          </w:r>
                          <w:r>
                            <w:fldChar w:fldCharType="end"/>
                          </w:r>
                        </w:p>
                      </w:txbxContent>
                    </wps:txbx>
                    <wps:bodyPr lIns="0" tIns="0" rIns="0" bIns="0" anchor="t">
                      <a:spAutoFit/>
                    </wps:bodyPr>
                  </wps:wsp>
                </a:graphicData>
              </a:graphic>
            </wp:anchor>
          </w:drawing>
        </mc:Choice>
        <mc:Fallback>
          <w:pict>
            <v:rect id="Frame4" o:spid="_x0000_s1027" style="position:absolute;left:0;text-align:left;margin-left:-46.15pt;margin-top:.05pt;width:5.05pt;height:11.45pt;z-index:-2516597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" o:allowincell="f" filled="f" stroked="f" strokeweight="0">
              <v:textbox style="mso-fit-shape-to-text:t" inset="0,0,0,0">
                <w:txbxContent>
                  <w:p>
                    <w:pPr>
                      <w:pStyle w:val="FrameContents"/>
                    </w:pPr>
                    <w:r>
                      <w:fldChar w:fldCharType="begin"/>
                    </w:r>
                    <w:r>
                      <w:instrText xml:space="preserve"> PAGE </w:instrText>
                    </w:r>
                    <w:r>
                      <w:fldChar w:fldCharType="separate"/>
                    </w:r>
                    <w:r>
                      <w:t>8</w:t>
                    </w:r>
                    <w:r>
                      <w:fldChar w:fldCharType="end"/>
                    </w:r>
                  </w:p>
                </w:txbxContent>
              </v:textbox>
              <w10:wrap type="square" side="largest" anchorx="margin"/>
            </v:rect>
          </w:pict>
        </mc:Fallback>
      </mc:AlternateContent>
    </w:r>
    <w:r>
      <w:t>, August 2023</w:t>
    </w:r>
  </w:p>
  <w:p>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3C0A"/>
    <w:multiLevelType w:val="hybridMultilevel"/>
    <w:tmpl w:val="B71C3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42EF2"/>
    <w:multiLevelType w:val="multilevel"/>
    <w:tmpl w:val="85C09440"/>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0"/>
        </w:tabs>
        <w:ind w:left="0" w:firstLine="0"/>
      </w:pPr>
      <w:rPr>
        <w:b w:val="0"/>
      </w:rPr>
    </w:lvl>
    <w:lvl w:ilvl="2">
      <w:start w:val="1"/>
      <w:numFmt w:val="decimal"/>
      <w:pStyle w:val="Heading3"/>
      <w:lvlText w:val="%3)"/>
      <w:lvlJc w:val="left"/>
      <w:pPr>
        <w:tabs>
          <w:tab w:val="num" w:pos="0"/>
        </w:tabs>
        <w:ind w:left="0" w:firstLine="0"/>
      </w:pPr>
      <w:rPr>
        <w:i/>
      </w:r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2" w15:restartNumberingAfterBreak="0">
    <w:nsid w:val="4DA20AFD"/>
    <w:multiLevelType w:val="hybridMultilevel"/>
    <w:tmpl w:val="FAB6AC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42F1BE2"/>
    <w:multiLevelType w:val="multilevel"/>
    <w:tmpl w:val="C9A8F00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5" w15:restartNumberingAfterBreak="0">
    <w:nsid w:val="7533666D"/>
    <w:multiLevelType w:val="hybridMultilevel"/>
    <w:tmpl w:val="0A244C28"/>
    <w:lvl w:ilvl="0" w:tplc="04090001">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F47FE4"/>
    <w:multiLevelType w:val="multilevel"/>
    <w:tmpl w:val="679AE918"/>
    <w:lvl w:ilvl="0">
      <w:start w:val="1"/>
      <w:numFmt w:val="decimal"/>
      <w:pStyle w:val="Reference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4"/>
  </w:num>
  <w:num w:numId="3">
    <w:abstractNumId w:val="1"/>
  </w:num>
  <w:num w:numId="4">
    <w:abstractNumId w:val="0"/>
  </w:num>
  <w:num w:numId="5">
    <w:abstractNumId w:val="2"/>
  </w:num>
  <w:num w:numId="6">
    <w:abstractNumId w:val="5"/>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visionView w:inkAnnotations="0"/>
  <w:defaultTabStop w:val="202"/>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7BAED1-D093-460A-A2BA-E47DB457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3"/>
      </w:numPr>
      <w:spacing w:before="240" w:after="80"/>
      <w:jc w:val="center"/>
      <w:outlineLvl w:val="0"/>
    </w:pPr>
    <w:rPr>
      <w:smallCaps/>
      <w:kern w:val="2"/>
    </w:rPr>
  </w:style>
  <w:style w:type="paragraph" w:styleId="Heading2">
    <w:name w:val="heading 2"/>
    <w:basedOn w:val="Normal"/>
    <w:next w:val="Normal"/>
    <w:link w:val="Heading2Char"/>
    <w:uiPriority w:val="9"/>
    <w:qFormat/>
    <w:pPr>
      <w:keepNext/>
      <w:numPr>
        <w:ilvl w:val="1"/>
        <w:numId w:val="3"/>
      </w:numPr>
      <w:spacing w:before="120" w:after="60"/>
      <w:outlineLvl w:val="1"/>
    </w:pPr>
    <w:rPr>
      <w:i/>
      <w:iCs/>
    </w:rPr>
  </w:style>
  <w:style w:type="paragraph" w:styleId="Heading3">
    <w:name w:val="heading 3"/>
    <w:basedOn w:val="Normal"/>
    <w:next w:val="Normal"/>
    <w:link w:val="Heading3Char"/>
    <w:uiPriority w:val="9"/>
    <w:qFormat/>
    <w:pPr>
      <w:keepNext/>
      <w:numPr>
        <w:ilvl w:val="2"/>
        <w:numId w:val="3"/>
      </w:numPr>
      <w:outlineLvl w:val="2"/>
    </w:pPr>
    <w:rPr>
      <w:i/>
      <w:iCs/>
    </w:rPr>
  </w:style>
  <w:style w:type="paragraph" w:styleId="Heading4">
    <w:name w:val="heading 4"/>
    <w:basedOn w:val="Normal"/>
    <w:next w:val="Normal"/>
    <w:link w:val="Heading4Char"/>
    <w:uiPriority w:val="9"/>
    <w:qFormat/>
    <w:pPr>
      <w:keepNext/>
      <w:numPr>
        <w:ilvl w:val="3"/>
        <w:numId w:val="3"/>
      </w:numPr>
      <w:spacing w:before="240" w:after="60"/>
      <w:outlineLvl w:val="3"/>
    </w:pPr>
    <w:rPr>
      <w:i/>
      <w:iCs/>
      <w:sz w:val="18"/>
      <w:szCs w:val="18"/>
    </w:rPr>
  </w:style>
  <w:style w:type="paragraph" w:styleId="Heading5">
    <w:name w:val="heading 5"/>
    <w:basedOn w:val="Normal"/>
    <w:next w:val="Normal"/>
    <w:link w:val="Heading5Char"/>
    <w:uiPriority w:val="9"/>
    <w:qFormat/>
    <w:pPr>
      <w:numPr>
        <w:ilvl w:val="4"/>
        <w:numId w:val="3"/>
      </w:numPr>
      <w:spacing w:before="240" w:after="60"/>
      <w:outlineLvl w:val="4"/>
    </w:pPr>
    <w:rPr>
      <w:sz w:val="18"/>
      <w:szCs w:val="18"/>
    </w:rPr>
  </w:style>
  <w:style w:type="paragraph" w:styleId="Heading6">
    <w:name w:val="heading 6"/>
    <w:basedOn w:val="Normal"/>
    <w:next w:val="Normal"/>
    <w:link w:val="Heading6Char"/>
    <w:uiPriority w:val="9"/>
    <w:qFormat/>
    <w:pPr>
      <w:numPr>
        <w:ilvl w:val="5"/>
        <w:numId w:val="3"/>
      </w:numPr>
      <w:spacing w:before="240" w:after="60"/>
      <w:outlineLvl w:val="5"/>
    </w:pPr>
    <w:rPr>
      <w:i/>
      <w:iCs/>
      <w:sz w:val="16"/>
      <w:szCs w:val="16"/>
    </w:rPr>
  </w:style>
  <w:style w:type="paragraph" w:styleId="Heading7">
    <w:name w:val="heading 7"/>
    <w:basedOn w:val="Normal"/>
    <w:next w:val="Normal"/>
    <w:link w:val="Heading7Char"/>
    <w:uiPriority w:val="9"/>
    <w:qFormat/>
    <w:pPr>
      <w:numPr>
        <w:ilvl w:val="6"/>
        <w:numId w:val="3"/>
      </w:numPr>
      <w:spacing w:before="240" w:after="60"/>
      <w:outlineLvl w:val="6"/>
    </w:pPr>
    <w:rPr>
      <w:sz w:val="16"/>
      <w:szCs w:val="16"/>
    </w:rPr>
  </w:style>
  <w:style w:type="paragraph" w:styleId="Heading8">
    <w:name w:val="heading 8"/>
    <w:basedOn w:val="Normal"/>
    <w:next w:val="Normal"/>
    <w:link w:val="Heading8Char"/>
    <w:uiPriority w:val="9"/>
    <w:qFormat/>
    <w:pPr>
      <w:numPr>
        <w:ilvl w:val="7"/>
        <w:numId w:val="3"/>
      </w:numPr>
      <w:spacing w:before="240" w:after="60"/>
      <w:outlineLvl w:val="7"/>
    </w:pPr>
    <w:rPr>
      <w:i/>
      <w:iCs/>
      <w:sz w:val="16"/>
      <w:szCs w:val="16"/>
    </w:rPr>
  </w:style>
  <w:style w:type="paragraph" w:styleId="Heading9">
    <w:name w:val="heading 9"/>
    <w:basedOn w:val="Normal"/>
    <w:next w:val="Normal"/>
    <w:link w:val="Heading9Char"/>
    <w:uiPriority w:val="9"/>
    <w:qFormat/>
    <w:pPr>
      <w:numPr>
        <w:ilvl w:val="8"/>
        <w:numId w:val="3"/>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Pr>
      <w:rFonts w:ascii="Times New Roman" w:hAnsi="Times New Roman" w:cs="Times New Roman"/>
      <w:i/>
      <w:iCs/>
      <w:sz w:val="22"/>
      <w:szCs w:val="22"/>
    </w:rPr>
  </w:style>
  <w:style w:type="character" w:customStyle="1"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5">
    <w:name w:val="A5"/>
    <w:qFormat/>
    <w:rPr>
      <w:color w:val="00529F"/>
      <w:sz w:val="20"/>
      <w:szCs w:val="20"/>
    </w:rPr>
  </w:style>
  <w:style w:type="character" w:customStyle="1" w:styleId="BalloonTextChar">
    <w:name w:val="Balloon Text Char"/>
    <w:basedOn w:val="DefaultParagraphFont"/>
    <w:link w:val="BalloonText"/>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customStyle="1" w:styleId="BodyText1">
    <w:name w:val="Body Text1"/>
    <w:basedOn w:val="DefaultParagraphFont"/>
    <w:uiPriority w:val="99"/>
    <w:qFormat/>
    <w:rPr>
      <w:rFonts w:ascii="Verdana" w:hAnsi="Verdana" w:cs="Verdana"/>
      <w:color w:val="000000"/>
      <w:sz w:val="22"/>
      <w:szCs w:val="22"/>
    </w:rPr>
  </w:style>
  <w:style w:type="character" w:customStyle="1" w:styleId="bodytype">
    <w:name w:val="body type"/>
    <w:basedOn w:val="DefaultParagraphFont"/>
    <w:uiPriority w:val="99"/>
    <w:qFormat/>
    <w:rPr>
      <w:rFonts w:ascii="Formata-Regular" w:hAnsi="Formata-Regular" w:cs="Formata-Regular"/>
      <w:color w:val="000000"/>
      <w:sz w:val="22"/>
      <w:szCs w:val="22"/>
    </w:rPr>
  </w:style>
  <w:style w:type="character" w:customStyle="1" w:styleId="Heading1Char">
    <w:name w:val="Heading 1 Char"/>
    <w:basedOn w:val="DefaultParagraphFont"/>
    <w:link w:val="Heading1"/>
    <w:uiPriority w:val="9"/>
    <w:qFormat/>
    <w:rPr>
      <w:smallCaps/>
      <w:kern w:val="2"/>
    </w:rPr>
  </w:style>
  <w:style w:type="character" w:customStyle="1" w:styleId="ReferenceHeadChar">
    <w:name w:val="Reference Head Char"/>
    <w:basedOn w:val="Heading1Char"/>
    <w:link w:val="ReferenceHead"/>
    <w:qFormat/>
    <w:rPr>
      <w:smallCaps/>
      <w:kern w:val="2"/>
    </w:rPr>
  </w:style>
  <w:style w:type="character" w:customStyle="1" w:styleId="Style1Char">
    <w:name w:val="Style1 Char"/>
    <w:basedOn w:val="ReferenceHeadChar"/>
    <w:link w:val="Style1"/>
    <w:qFormat/>
    <w:rPr>
      <w:smallCaps/>
      <w:kern w:val="2"/>
    </w:rPr>
  </w:style>
  <w:style w:type="character" w:customStyle="1" w:styleId="BodyText2">
    <w:name w:val="Body Text2"/>
    <w:basedOn w:val="DefaultParagraphFont"/>
    <w:uiPriority w:val="99"/>
    <w:qFormat/>
    <w:rPr>
      <w:rFonts w:ascii="Verdana" w:hAnsi="Verdana" w:cs="Verdana"/>
      <w:color w:val="000000"/>
      <w:sz w:val="22"/>
      <w:szCs w:val="22"/>
    </w:rPr>
  </w:style>
  <w:style w:type="character" w:customStyle="1" w:styleId="Heading2Char">
    <w:name w:val="Heading 2 Char"/>
    <w:basedOn w:val="DefaultParagraphFont"/>
    <w:link w:val="Heading2"/>
    <w:uiPriority w:val="9"/>
    <w:qFormat/>
    <w:rPr>
      <w:i/>
      <w:iCs/>
    </w:rPr>
  </w:style>
  <w:style w:type="character" w:customStyle="1" w:styleId="TextL-MAGChar">
    <w:name w:val="Text L-MAG Char"/>
    <w:basedOn w:val="DefaultParagraphFont"/>
    <w:link w:val="TextL-MAG"/>
    <w:qFormat/>
    <w:rPr>
      <w:rFonts w:ascii="Arial" w:eastAsia="MS Mincho" w:hAnsi="Arial"/>
      <w:sz w:val="18"/>
      <w:szCs w:val="22"/>
      <w:lang w:eastAsia="ja-JP"/>
    </w:rPr>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semiHidden/>
    <w:qFormat/>
    <w:rPr>
      <w:sz w:val="16"/>
      <w:szCs w:val="16"/>
    </w:rPr>
  </w:style>
  <w:style w:type="character" w:customStyle="1" w:styleId="BodyTextIndentChar">
    <w:name w:val="Body Text Indent Char"/>
    <w:basedOn w:val="DefaultParagraphFont"/>
    <w:link w:val="BodyTextIndent"/>
    <w:qFormat/>
    <w:rPr>
      <w:szCs w:val="24"/>
    </w:rPr>
  </w:style>
  <w:style w:type="character" w:customStyle="1" w:styleId="HeaderChar">
    <w:name w:val="Header Char"/>
    <w:basedOn w:val="DefaultParagraphFont"/>
    <w:link w:val="Header"/>
    <w:uiPriority w:val="99"/>
    <w:qFormat/>
  </w:style>
  <w:style w:type="character" w:styleId="UnresolvedMention">
    <w:name w:val="Unresolved Mention"/>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i/>
      <w:iCs/>
    </w:rPr>
  </w:style>
  <w:style w:type="character" w:customStyle="1" w:styleId="Heading4Char">
    <w:name w:val="Heading 4 Char"/>
    <w:basedOn w:val="DefaultParagraphFont"/>
    <w:link w:val="Heading4"/>
    <w:uiPriority w:val="9"/>
    <w:qFormat/>
    <w:rPr>
      <w:i/>
      <w:iCs/>
      <w:sz w:val="18"/>
      <w:szCs w:val="18"/>
    </w:rPr>
  </w:style>
  <w:style w:type="character" w:customStyle="1" w:styleId="Heading5Char">
    <w:name w:val="Heading 5 Char"/>
    <w:basedOn w:val="DefaultParagraphFont"/>
    <w:link w:val="Heading5"/>
    <w:uiPriority w:val="9"/>
    <w:qFormat/>
    <w:rPr>
      <w:sz w:val="18"/>
      <w:szCs w:val="18"/>
    </w:rPr>
  </w:style>
  <w:style w:type="character" w:customStyle="1" w:styleId="Heading6Char">
    <w:name w:val="Heading 6 Char"/>
    <w:basedOn w:val="DefaultParagraphFont"/>
    <w:link w:val="Heading6"/>
    <w:uiPriority w:val="9"/>
    <w:qFormat/>
    <w:rPr>
      <w:i/>
      <w:iCs/>
      <w:sz w:val="16"/>
      <w:szCs w:val="16"/>
    </w:rPr>
  </w:style>
  <w:style w:type="character" w:customStyle="1" w:styleId="Heading7Char">
    <w:name w:val="Heading 7 Char"/>
    <w:basedOn w:val="DefaultParagraphFont"/>
    <w:link w:val="Heading7"/>
    <w:uiPriority w:val="9"/>
    <w:qFormat/>
    <w:rPr>
      <w:sz w:val="16"/>
      <w:szCs w:val="16"/>
    </w:rPr>
  </w:style>
  <w:style w:type="character" w:customStyle="1" w:styleId="Heading8Char">
    <w:name w:val="Heading 8 Char"/>
    <w:basedOn w:val="DefaultParagraphFont"/>
    <w:link w:val="Heading8"/>
    <w:uiPriority w:val="9"/>
    <w:qFormat/>
    <w:rPr>
      <w:i/>
      <w:iCs/>
      <w:sz w:val="16"/>
      <w:szCs w:val="16"/>
    </w:rPr>
  </w:style>
  <w:style w:type="character" w:customStyle="1" w:styleId="Heading9Char">
    <w:name w:val="Heading 9 Char"/>
    <w:basedOn w:val="DefaultParagraphFont"/>
    <w:link w:val="Heading9"/>
    <w:uiPriority w:val="9"/>
    <w:qFormat/>
    <w:rPr>
      <w:sz w:val="16"/>
      <w:szCs w:val="16"/>
    </w:rPr>
  </w:style>
  <w:style w:type="character" w:customStyle="1" w:styleId="TitleChar">
    <w:name w:val="Title Char"/>
    <w:basedOn w:val="DefaultParagraphFont"/>
    <w:link w:val="Title"/>
    <w:qFormat/>
    <w:rPr>
      <w:kern w:val="2"/>
      <w:sz w:val="48"/>
      <w:szCs w:val="48"/>
    </w:rPr>
  </w:style>
  <w:style w:type="character" w:customStyle="1" w:styleId="DocumentMapChar">
    <w:name w:val="Document Map Char"/>
    <w:basedOn w:val="DefaultParagraphFont"/>
    <w:link w:val="DocumentMap"/>
    <w:semiHidden/>
    <w:qFormat/>
    <w:rPr>
      <w:rFonts w:ascii="Tahoma" w:hAnsi="Tahoma" w:cs="Tahoma"/>
      <w:shd w:val="clear" w:color="auto" w:fill="000080"/>
    </w:rPr>
  </w:style>
  <w:style w:type="character" w:styleId="CommentReference">
    <w:name w:val="annotation reference"/>
    <w:basedOn w:val="DefaultParagraphFont"/>
    <w:semiHidden/>
    <w:unhideWhenUsed/>
    <w:qFormat/>
    <w:rPr>
      <w:sz w:val="16"/>
      <w:szCs w:val="16"/>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link w:val="TitleChar"/>
    <w:qFormat/>
    <w:pPr>
      <w:jc w:val="center"/>
    </w:pPr>
    <w:rPr>
      <w:kern w:val="2"/>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1"/>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link w:val="DocumentMapChar"/>
    <w:semiHidden/>
    <w:qFormat/>
    <w:pPr>
      <w:shd w:val="clear" w:color="auto" w:fill="000080"/>
    </w:pPr>
    <w:rPr>
      <w:rFonts w:ascii="Tahoma" w:hAnsi="Tahoma" w:cs="Tahoma"/>
    </w:rPr>
  </w:style>
  <w:style w:type="paragraph" w:customStyle="1" w:styleId="Pa0">
    <w:name w:val="Pa0"/>
    <w:basedOn w:val="Normal"/>
    <w:next w:val="Normal"/>
    <w:qFormat/>
    <w:pPr>
      <w:widowControl w:val="0"/>
      <w:spacing w:line="241" w:lineRule="atLeast"/>
    </w:pPr>
    <w:rPr>
      <w:rFonts w:ascii="Baskerville" w:hAnsi="Baskerville"/>
      <w:sz w:val="24"/>
      <w:szCs w:val="24"/>
    </w:rPr>
  </w:style>
  <w:style w:type="paragraph" w:styleId="BalloonText">
    <w:name w:val="Balloon Text"/>
    <w:basedOn w:val="Normal"/>
    <w:link w:val="BalloonTextChar"/>
    <w:qFormat/>
    <w:rPr>
      <w:rFonts w:ascii="Tahoma" w:hAnsi="Tahoma" w:cs="Tahoma"/>
      <w:sz w:val="16"/>
      <w:szCs w:val="16"/>
    </w:rPr>
  </w:style>
  <w:style w:type="paragraph" w:customStyle="1" w:styleId="ParagraphStyle1">
    <w:name w:val="Paragraph Style 1"/>
    <w:basedOn w:val="Normal"/>
    <w:uiPriority w:val="99"/>
    <w:qFormat/>
    <w:pPr>
      <w:widowControl w:val="0"/>
      <w:tabs>
        <w:tab w:val="left" w:pos="480"/>
      </w:tabs>
      <w:spacing w:before="100" w:line="280" w:lineRule="atLeast"/>
      <w:textAlignment w:val="center"/>
    </w:pPr>
    <w:rPr>
      <w:rFonts w:ascii="Formata-Regular" w:eastAsiaTheme="minorEastAsia" w:hAnsi="Formata-Regular" w:cs="Formata-Regular"/>
      <w:color w:val="000000"/>
      <w:sz w:val="22"/>
      <w:szCs w:val="22"/>
      <w:lang w:eastAsia="ja-JP"/>
    </w:rPr>
  </w:style>
  <w:style w:type="paragraph" w:customStyle="1" w:styleId="Style1">
    <w:name w:val="Style1"/>
    <w:basedOn w:val="ReferenceHead"/>
    <w:link w:val="Style1Char"/>
    <w:qFormat/>
  </w:style>
  <w:style w:type="paragraph" w:styleId="Revision">
    <w:name w:val="Revision"/>
    <w:uiPriority w:val="99"/>
    <w:semiHidden/>
    <w:qFormat/>
  </w:style>
  <w:style w:type="paragraph" w:customStyle="1" w:styleId="TextL-MAG">
    <w:name w:val="Text L-MAG"/>
    <w:basedOn w:val="Normal"/>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paragraph" w:styleId="CommentText">
    <w:name w:val="annotation text"/>
    <w:basedOn w:val="Normal"/>
    <w:link w:val="CommentTextChar"/>
    <w:semiHidden/>
    <w:unhideWhenUsed/>
    <w:qFormat/>
  </w:style>
  <w:style w:type="paragraph" w:styleId="CommentSubject">
    <w:name w:val="annotation subject"/>
    <w:basedOn w:val="CommentText"/>
    <w:next w:val="CommentText"/>
    <w:link w:val="CommentSubjectChar"/>
    <w:semiHidden/>
    <w:unhideWhenUsed/>
    <w:qFormat/>
    <w:rPr>
      <w:b/>
      <w:bCs/>
    </w:rPr>
  </w:style>
  <w:style w:type="paragraph" w:customStyle="1" w:styleId="FrameContents">
    <w:name w:val="Frame Contents"/>
    <w:basedOn w:val="Normal"/>
    <w:qFormat/>
  </w:style>
  <w:style w:type="paragraph" w:styleId="Bibliography">
    <w:name w:val="Bibliography"/>
    <w:basedOn w:val="Normal"/>
    <w:next w:val="Normal"/>
    <w:uiPriority w:val="37"/>
    <w:unhideWhenUsed/>
    <w:pPr>
      <w:tabs>
        <w:tab w:val="left" w:pos="384"/>
      </w:tabs>
      <w:ind w:left="384" w:hanging="384"/>
    </w:pPr>
  </w:style>
  <w:style w:type="paragraph" w:styleId="NormalWeb">
    <w:name w:val="Normal (Web)"/>
    <w:basedOn w:val="Normal"/>
    <w:uiPriority w:val="99"/>
    <w:unhideWhenUsed/>
    <w:pPr>
      <w:suppressAutoHyphens w:val="0"/>
      <w:spacing w:before="100" w:beforeAutospacing="1" w:after="100" w:afterAutospacing="1"/>
    </w:pPr>
    <w:rPr>
      <w:sz w:val="24"/>
      <w:szCs w:val="24"/>
      <w:lang w:val="en-IE" w:eastAsia="en-IE"/>
    </w:rPr>
  </w:style>
  <w:style w:type="character" w:customStyle="1" w:styleId="Heading1Char1">
    <w:name w:val="Heading 1 Char1"/>
    <w:basedOn w:val="DefaultParagraphFont"/>
    <w:uiPriority w:val="9"/>
    <w:qFormat/>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6066">
      <w:bodyDiv w:val="1"/>
      <w:marLeft w:val="0"/>
      <w:marRight w:val="0"/>
      <w:marTop w:val="0"/>
      <w:marBottom w:val="0"/>
      <w:divBdr>
        <w:top w:val="none" w:sz="0" w:space="0" w:color="auto"/>
        <w:left w:val="none" w:sz="0" w:space="0" w:color="auto"/>
        <w:bottom w:val="none" w:sz="0" w:space="0" w:color="auto"/>
        <w:right w:val="none" w:sz="0" w:space="0" w:color="auto"/>
      </w:divBdr>
    </w:div>
    <w:div w:id="644045009">
      <w:bodyDiv w:val="1"/>
      <w:marLeft w:val="0"/>
      <w:marRight w:val="0"/>
      <w:marTop w:val="0"/>
      <w:marBottom w:val="0"/>
      <w:divBdr>
        <w:top w:val="none" w:sz="0" w:space="0" w:color="auto"/>
        <w:left w:val="none" w:sz="0" w:space="0" w:color="auto"/>
        <w:bottom w:val="none" w:sz="0" w:space="0" w:color="auto"/>
        <w:right w:val="none" w:sz="0" w:space="0" w:color="auto"/>
      </w:divBdr>
    </w:div>
    <w:div w:id="649679602">
      <w:bodyDiv w:val="1"/>
      <w:marLeft w:val="0"/>
      <w:marRight w:val="0"/>
      <w:marTop w:val="0"/>
      <w:marBottom w:val="0"/>
      <w:divBdr>
        <w:top w:val="none" w:sz="0" w:space="0" w:color="auto"/>
        <w:left w:val="none" w:sz="0" w:space="0" w:color="auto"/>
        <w:bottom w:val="none" w:sz="0" w:space="0" w:color="auto"/>
        <w:right w:val="none" w:sz="0" w:space="0" w:color="auto"/>
      </w:divBdr>
    </w:div>
    <w:div w:id="661548331">
      <w:marLeft w:val="0"/>
      <w:marRight w:val="0"/>
      <w:marTop w:val="0"/>
      <w:marBottom w:val="0"/>
      <w:divBdr>
        <w:top w:val="none" w:sz="0" w:space="0" w:color="auto"/>
        <w:left w:val="none" w:sz="0" w:space="0" w:color="auto"/>
        <w:bottom w:val="none" w:sz="0" w:space="0" w:color="auto"/>
        <w:right w:val="none" w:sz="0" w:space="0" w:color="auto"/>
      </w:divBdr>
      <w:divsChild>
        <w:div w:id="863252357">
          <w:marLeft w:val="0"/>
          <w:marRight w:val="0"/>
          <w:marTop w:val="0"/>
          <w:marBottom w:val="0"/>
          <w:divBdr>
            <w:top w:val="none" w:sz="0" w:space="0" w:color="auto"/>
            <w:left w:val="none" w:sz="0" w:space="0" w:color="auto"/>
            <w:bottom w:val="none" w:sz="0" w:space="0" w:color="auto"/>
            <w:right w:val="none" w:sz="0" w:space="0" w:color="auto"/>
          </w:divBdr>
        </w:div>
      </w:divsChild>
    </w:div>
    <w:div w:id="676883551">
      <w:bodyDiv w:val="1"/>
      <w:marLeft w:val="0"/>
      <w:marRight w:val="0"/>
      <w:marTop w:val="0"/>
      <w:marBottom w:val="0"/>
      <w:divBdr>
        <w:top w:val="none" w:sz="0" w:space="0" w:color="auto"/>
        <w:left w:val="none" w:sz="0" w:space="0" w:color="auto"/>
        <w:bottom w:val="none" w:sz="0" w:space="0" w:color="auto"/>
        <w:right w:val="none" w:sz="0" w:space="0" w:color="auto"/>
      </w:divBdr>
      <w:divsChild>
        <w:div w:id="382949079">
          <w:marLeft w:val="0"/>
          <w:marRight w:val="0"/>
          <w:marTop w:val="0"/>
          <w:marBottom w:val="240"/>
          <w:divBdr>
            <w:top w:val="none" w:sz="0" w:space="0" w:color="auto"/>
            <w:left w:val="none" w:sz="0" w:space="0" w:color="auto"/>
            <w:bottom w:val="none" w:sz="0" w:space="0" w:color="auto"/>
            <w:right w:val="none" w:sz="0" w:space="0" w:color="auto"/>
          </w:divBdr>
        </w:div>
      </w:divsChild>
    </w:div>
    <w:div w:id="823593052">
      <w:marLeft w:val="0"/>
      <w:marRight w:val="0"/>
      <w:marTop w:val="0"/>
      <w:marBottom w:val="0"/>
      <w:divBdr>
        <w:top w:val="none" w:sz="0" w:space="0" w:color="auto"/>
        <w:left w:val="none" w:sz="0" w:space="0" w:color="auto"/>
        <w:bottom w:val="none" w:sz="0" w:space="0" w:color="auto"/>
        <w:right w:val="none" w:sz="0" w:space="0" w:color="auto"/>
      </w:divBdr>
      <w:divsChild>
        <w:div w:id="436827412">
          <w:marLeft w:val="0"/>
          <w:marRight w:val="0"/>
          <w:marTop w:val="0"/>
          <w:marBottom w:val="0"/>
          <w:divBdr>
            <w:top w:val="none" w:sz="0" w:space="0" w:color="auto"/>
            <w:left w:val="none" w:sz="0" w:space="0" w:color="auto"/>
            <w:bottom w:val="none" w:sz="0" w:space="0" w:color="auto"/>
            <w:right w:val="none" w:sz="0" w:space="0" w:color="auto"/>
          </w:divBdr>
          <w:divsChild>
            <w:div w:id="6737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2179">
      <w:bodyDiv w:val="1"/>
      <w:marLeft w:val="0"/>
      <w:marRight w:val="0"/>
      <w:marTop w:val="0"/>
      <w:marBottom w:val="0"/>
      <w:divBdr>
        <w:top w:val="none" w:sz="0" w:space="0" w:color="auto"/>
        <w:left w:val="none" w:sz="0" w:space="0" w:color="auto"/>
        <w:bottom w:val="none" w:sz="0" w:space="0" w:color="auto"/>
        <w:right w:val="none" w:sz="0" w:space="0" w:color="auto"/>
      </w:divBdr>
    </w:div>
    <w:div w:id="1562211512">
      <w:bodyDiv w:val="1"/>
      <w:marLeft w:val="0"/>
      <w:marRight w:val="0"/>
      <w:marTop w:val="0"/>
      <w:marBottom w:val="0"/>
      <w:divBdr>
        <w:top w:val="none" w:sz="0" w:space="0" w:color="auto"/>
        <w:left w:val="none" w:sz="0" w:space="0" w:color="auto"/>
        <w:bottom w:val="none" w:sz="0" w:space="0" w:color="auto"/>
        <w:right w:val="none" w:sz="0" w:space="0" w:color="auto"/>
      </w:divBdr>
    </w:div>
    <w:div w:id="1591157945">
      <w:bodyDiv w:val="1"/>
      <w:marLeft w:val="0"/>
      <w:marRight w:val="0"/>
      <w:marTop w:val="0"/>
      <w:marBottom w:val="0"/>
      <w:divBdr>
        <w:top w:val="none" w:sz="0" w:space="0" w:color="auto"/>
        <w:left w:val="none" w:sz="0" w:space="0" w:color="auto"/>
        <w:bottom w:val="none" w:sz="0" w:space="0" w:color="auto"/>
        <w:right w:val="none" w:sz="0" w:space="0" w:color="auto"/>
      </w:divBdr>
    </w:div>
    <w:div w:id="204336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mailto:anthony.mcelwee2@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559D6-CA25-4BF9-A057-68E3419A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8758</Words>
  <Characters>49921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anthonyjames mcelwee</cp:lastModifiedBy>
  <cp:revision>1569</cp:revision>
  <cp:lastPrinted>2023-08-20T12:48:00Z</cp:lastPrinted>
  <dcterms:created xsi:type="dcterms:W3CDTF">2013-10-01T06:08:00Z</dcterms:created>
  <dcterms:modified xsi:type="dcterms:W3CDTF">2023-08-20T18:06:00Z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id="zvhVw6za"/&gt;&lt;style id="http://www.zotero.org/styles/ieee" locale="en-GB" hasBibliography="1" bibliographyStyleHasBeenSet="1"/&gt;&lt;prefs&gt;&lt;pref name="fieldType" value="Field"/&gt;&lt;/prefs&gt;&lt;/data&gt;</vt:lpwstr>
  </property>
</Properties>
</file>