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May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t xml:space="preserve">As reflected in the literature review, there is almost no diversity in the deployment strategies for deep learning in this problem domain. The process of emulation is the baseline approach to harnessing deep learning </w:t>
      </w:r>
      <w:r>
        <w:rPr>
          <w:lang w:val="en-GB"/>
        </w:rPr>
        <w:lastRenderedPageBreak/>
        <w:t>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7"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lastRenderedPageBreak/>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lastRenderedPageBreak/>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Krylov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0"/>
        <w:gridCol w:w="5272"/>
      </w:tblGrid>
      <w:tr>
        <w:trPr>
          <w:jc w:val="center"/>
        </w:trPr>
        <w:tc>
          <w:tcPr>
            <w:tcW w:w="5341" w:type="dxa"/>
          </w:tcPr>
          <w:p>
            <w:pPr>
              <w:keepNext/>
            </w:pPr>
            <w: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23.9pt" o:ole="">
                  <v:imagedata r:id="rId10" o:title=""/>
                </v:shape>
                <o:OLEObject Type="Embed" ProgID="PBrush" ShapeID="_x0000_i1025" DrawAspect="Content" ObjectID="_1754088871" r:id="rId11"/>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object w:dxaOrig="7644" w:dyaOrig="6852">
                <v:shape id="_x0000_i1026" type="#_x0000_t75" style="width:251.65pt;height:225pt" o:ole="">
                  <v:imagedata r:id="rId12" o:title=""/>
                </v:shape>
                <o:OLEObject Type="Embed" ProgID="PBrush" ShapeID="_x0000_i1026" DrawAspect="Content" ObjectID="_1754088872" r:id="rId13"/>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rPr>
          <w:lang w:val="en-GB"/>
        </w:rPr>
      </w:pPr>
      <w:r>
        <w:rPr>
          <w:lang w:val="en-GB"/>
        </w:rPr>
        <w:br w:type="page"/>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5"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tab/>
        <w:t>Date:2023/05/</w:t>
      </w:r>
    </w:p>
    <w:p>
      <w:pPr>
        <w:pStyle w:val="BodyText2"/>
      </w:pPr>
      <w:r>
        <w:t xml:space="preserve">Print name of Project Supervisor: </w:t>
      </w:r>
      <w:r>
        <w:rPr>
          <w:b/>
          <w:bCs/>
        </w:rPr>
        <w:t>DR CONOR BRENNAN</w:t>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8284</Words>
  <Characters>47220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275</cp:revision>
  <cp:lastPrinted>2023-05-15T18:54:00Z</cp:lastPrinted>
  <dcterms:created xsi:type="dcterms:W3CDTF">2023-05-04T09:22:00Z</dcterms:created>
  <dcterms:modified xsi:type="dcterms:W3CDTF">2023-08-21T01:08:00Z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