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B: 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pStyle w:val="Heading1"/>
      </w:pPr>
      <w:r>
        <w:lastRenderedPageBreak/>
        <w:t>Updates since original plan (May until August 2023)</w:t>
      </w:r>
    </w:p>
    <w:p>
      <w:r>
        <w:t xml:space="preserve">The original plan below has not been changed in order to save the reader the effort of reviewing all contents twice. Instead the student lists the main deviations from the original submitted plan. </w:t>
      </w:r>
    </w:p>
    <w:p>
      <w:pPr>
        <w:pStyle w:val="ListParagraph"/>
        <w:numPr>
          <w:ilvl w:val="0"/>
          <w:numId w:val="5"/>
        </w:numPr>
      </w:pPr>
      <w:r>
        <w:t>The original plan promoted the idea that graphs could be used to illustrate the improvement that Prescient2DL would provide to SolverEMF2. The results of the experimentation mean that any such graphs would be identical for all of the hypothesis tests regarding solution convergence and solution conveyance. While the initial solution conveyance was statistically significant for both models, it was not impactful for the assistance of the Iterative Krylov Solver. There may be an illustrative graph present in the final IEEE paper, space permitting, but all information can be presented to the reader in table form.</w:t>
      </w:r>
    </w:p>
    <w:p>
      <w:pPr>
        <w:pStyle w:val="ListParagraph"/>
        <w:numPr>
          <w:ilvl w:val="0"/>
          <w:numId w:val="5"/>
        </w:numPr>
      </w:pPr>
      <w:r>
        <w:t>Due to time issues, the student has not been able to investigate the secondary research question surrounding more sophisticated deep learning implementations in order to solve the electromagnetic scattering problem. All of the energy was focused on generating a validated data generator and trying to lower the initial error of SolverEMF2 to make substantive impact on the required solution time. As a result this remains an open problem for future research.</w:t>
      </w:r>
    </w:p>
    <w:p>
      <w:pPr>
        <w:pStyle w:val="ListParagraph"/>
        <w:numPr>
          <w:ilvl w:val="0"/>
          <w:numId w:val="5"/>
        </w:numPr>
      </w:pPr>
      <w:r>
        <w:t>In “Project Scope”, the student sought to equate t</w:t>
      </w:r>
      <w:r>
        <w:rPr>
          <w:lang w:val="en-GB"/>
        </w:rPr>
        <w:t xml:space="preserve">he electromagnetic formulation of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not equivalent problems. However,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is equivalent under certain conditions to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and it can be shown that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is a reduced form of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While these are all closely related formulations, great difficulty arose when trying to reconcile code and parameters. The student decided to drive the project with equation (3.87)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to ensure that the underlying problem was physically sound and that an opportunity arose for combining field predictions in the vector case in more advanced model development. Unfortunately time meant that this opportunity was not grasped before the submission deadline.</w:t>
      </w:r>
    </w:p>
    <w:p>
      <w:pPr>
        <w:pStyle w:val="ListParagraph"/>
        <w:numPr>
          <w:ilvl w:val="0"/>
          <w:numId w:val="5"/>
        </w:numPr>
      </w:pPr>
      <w:r>
        <w:rPr>
          <w:lang w:val="en-GB"/>
        </w:rPr>
        <w:t>Although the student was granted access to the DCU GPU rig, the student did not avail of the hardware as the personal laptop was sufficient to generate samples and train the models. In future work, with higher-permittivity contrasts, this opportunity would have to have been utilised. To keep experimental conditions uniform across the three experiments, the student found it easier to use their own local laptop.</w:t>
      </w:r>
    </w:p>
    <w:p>
      <w:pPr>
        <w:pStyle w:val="ListParagraph"/>
        <w:numPr>
          <w:ilvl w:val="0"/>
          <w:numId w:val="5"/>
        </w:numPr>
      </w:pPr>
      <w:r>
        <w:rPr>
          <w:lang w:val="en-GB"/>
        </w:rPr>
        <w:t>The student decided against using data augmentation in the context of the physical nature of the problem and concerns about contaminating test/validation sets with symmetrical samples.</w:t>
      </w:r>
    </w:p>
    <w:p>
      <w:pPr>
        <w:pStyle w:val="ListParagraph"/>
        <w:numPr>
          <w:ilvl w:val="0"/>
          <w:numId w:val="5"/>
        </w:numPr>
      </w:pPr>
      <w:r>
        <w:t>In the original plan, the student outlined advanced architectures that could be investigated under the Secondary Research Questions header. These were not investigated due to time limitations but the student would like to highlight that this eventuality was included at the time of the original submission.</w:t>
      </w:r>
    </w:p>
    <w:p>
      <w:pPr>
        <w:pStyle w:val="ListParagraph"/>
        <w:numPr>
          <w:ilvl w:val="0"/>
          <w:numId w:val="5"/>
        </w:numPr>
      </w:pPr>
      <w:r>
        <w:t>The “Success Criteria” section listed 7 key points at the time of the original submission. All points on the list were either fully completed, negating the experimental findings that Prescient2DL does not accelerate the SolverEMF2 workflow, except for the final point regarding the drafting and submission of a paper covering the findings of the project on ArXiv. The time limitations, and multiple setbacks faced during the development process, has resulted in the student not writing a paper for submission. The student managed to complete tests on all of the Primary Research questions in a limited form as only one architecture was developed.</w:t>
      </w:r>
    </w:p>
    <w:p>
      <w:pPr>
        <w:pStyle w:val="ListParagraph"/>
        <w:numPr>
          <w:ilvl w:val="0"/>
          <w:numId w:val="5"/>
        </w:numPr>
      </w:pPr>
      <w:r>
        <w:t>Finally, the project timeline that was outlined by the student underestimated the amount of time available in August that could be taken due to work commitments but underestimated the time it would take to generate useable data in the training of the deep learning model. A result of this imbalance is that the deep learning experimentation was limited to a single model architecture and the write-up of the portfolio was condensed into three days. The student realised that the training data was unstuitable to use in experiments on Thursday 17</w:t>
      </w:r>
      <w:r>
        <w:rPr>
          <w:vertAlign w:val="superscript"/>
        </w:rPr>
        <w:t>th</w:t>
      </w:r>
      <w:r>
        <w:t xml:space="preserve"> August and hence all results and documentation had to be finalised very close to the submission time. Upon reflection, the student finds that the main aspects of the original project plan were achieved but regrets not getting to experiment with the Secondary Research Questions due to time limitations.</w:t>
      </w:r>
      <w:r>
        <w:br w:type="page"/>
      </w: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lastRenderedPageBreak/>
        <w:t>As reflected in the literature review, there is almost no diversity in the deployment strategies for deep learning in this problem domain. The process of emulation is the baseline approach to harnessing deep learning 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9"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lastRenderedPageBreak/>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lastRenderedPageBreak/>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lastRenderedPageBreak/>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5254"/>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223.8pt;mso-width-percent:0;mso-height-percent:0;mso-width-percent:0;mso-height-percent:0" o:ole="">
                  <v:imagedata r:id="rId12" o:title=""/>
                </v:shape>
                <o:OLEObject Type="Embed" ProgID="PBrush" ShapeID="_x0000_i1025" DrawAspect="Content" ObjectID="_1753973533" r:id="rId13"/>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4pt;height:225pt;mso-width-percent:0;mso-height-percent:0;mso-width-percent:0;mso-height-percent:0" o:ole="">
                  <v:imagedata r:id="rId14" o:title=""/>
                </v:shape>
                <o:OLEObject Type="Embed" ProgID="PBrush" ShapeID="_x0000_i1026" DrawAspect="Content" ObjectID="_1753973534" r:id="rId15"/>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lastRenderedPageBreak/>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7"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footerReference w:type="default" r:id="rId20"/>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B-</w:t>
    </w:r>
    <w:sdt>
      <w:sdtPr>
        <w:id w:val="1472608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921"/>
    <w:multiLevelType w:val="hybridMultilevel"/>
    <w:tmpl w:val="5D0E5058"/>
    <w:lvl w:ilvl="0" w:tplc="158615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hiuhans111/fdtd-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11172</Words>
  <Characters>63685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290</cp:revision>
  <cp:lastPrinted>2023-05-15T18:54:00Z</cp:lastPrinted>
  <dcterms:created xsi:type="dcterms:W3CDTF">2023-05-04T09:22:00Z</dcterms:created>
  <dcterms:modified xsi:type="dcterms:W3CDTF">2023-08-19T17:06:00Z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