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C: 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462226"/>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462226"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_Toc143462226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462227" w:history="1">
            <w:r>
              <w:rPr>
                <w:rStyle w:val="Hyperlink"/>
                <w:noProof/>
                <w:lang w:val="en-GB"/>
              </w:rPr>
              <w:t>Log Entry 00: 2022/11/28</w:t>
            </w:r>
            <w:r>
              <w:rPr>
                <w:noProof/>
                <w:webHidden/>
              </w:rPr>
              <w:tab/>
            </w:r>
            <w:r>
              <w:rPr>
                <w:noProof/>
                <w:webHidden/>
              </w:rPr>
              <w:fldChar w:fldCharType="begin"/>
            </w:r>
            <w:r>
              <w:rPr>
                <w:noProof/>
                <w:webHidden/>
              </w:rPr>
              <w:instrText xml:space="preserve"> PAGEREF _Toc143462227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462228" w:history="1">
            <w:r>
              <w:rPr>
                <w:rStyle w:val="Hyperlink"/>
                <w:noProof/>
                <w:lang w:val="en-GB"/>
              </w:rPr>
              <w:t>Log Entry 01: 2022/12/31</w:t>
            </w:r>
            <w:r>
              <w:rPr>
                <w:noProof/>
                <w:webHidden/>
              </w:rPr>
              <w:tab/>
            </w:r>
            <w:r>
              <w:rPr>
                <w:noProof/>
                <w:webHidden/>
              </w:rPr>
              <w:fldChar w:fldCharType="begin"/>
            </w:r>
            <w:r>
              <w:rPr>
                <w:noProof/>
                <w:webHidden/>
              </w:rPr>
              <w:instrText xml:space="preserve"> PAGEREF _Toc143462228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462229" w:history="1">
            <w:r>
              <w:rPr>
                <w:rStyle w:val="Hyperlink"/>
                <w:noProof/>
                <w:lang w:val="en-GB"/>
              </w:rPr>
              <w:t>Log Entry 02: 2023/01/11</w:t>
            </w:r>
            <w:r>
              <w:rPr>
                <w:noProof/>
                <w:webHidden/>
              </w:rPr>
              <w:tab/>
            </w:r>
            <w:r>
              <w:rPr>
                <w:noProof/>
                <w:webHidden/>
              </w:rPr>
              <w:fldChar w:fldCharType="begin"/>
            </w:r>
            <w:r>
              <w:rPr>
                <w:noProof/>
                <w:webHidden/>
              </w:rPr>
              <w:instrText xml:space="preserve"> PAGEREF _Toc143462229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462230" w:history="1">
            <w:r>
              <w:rPr>
                <w:rStyle w:val="Hyperlink"/>
                <w:noProof/>
                <w:lang w:val="en-GB"/>
              </w:rPr>
              <w:t>Log Entry 03: 2023/05/16</w:t>
            </w:r>
            <w:r>
              <w:rPr>
                <w:noProof/>
                <w:webHidden/>
              </w:rPr>
              <w:tab/>
            </w:r>
            <w:r>
              <w:rPr>
                <w:noProof/>
                <w:webHidden/>
              </w:rPr>
              <w:fldChar w:fldCharType="begin"/>
            </w:r>
            <w:r>
              <w:rPr>
                <w:noProof/>
                <w:webHidden/>
              </w:rPr>
              <w:instrText xml:space="preserve"> PAGEREF _Toc143462230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462231" w:history="1">
            <w:r>
              <w:rPr>
                <w:rStyle w:val="Hyperlink"/>
                <w:noProof/>
                <w:lang w:val="en-GB"/>
              </w:rPr>
              <w:t>Log Entry 04: 2023/05/17</w:t>
            </w:r>
            <w:r>
              <w:rPr>
                <w:noProof/>
                <w:webHidden/>
              </w:rPr>
              <w:tab/>
            </w:r>
            <w:r>
              <w:rPr>
                <w:noProof/>
                <w:webHidden/>
              </w:rPr>
              <w:fldChar w:fldCharType="begin"/>
            </w:r>
            <w:r>
              <w:rPr>
                <w:noProof/>
                <w:webHidden/>
              </w:rPr>
              <w:instrText xml:space="preserve"> PAGEREF _Toc143462231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462232" w:history="1">
            <w:r>
              <w:rPr>
                <w:rStyle w:val="Hyperlink"/>
                <w:noProof/>
                <w:lang w:val="en-GB"/>
              </w:rPr>
              <w:t>Log Entry 05: 2023/06/06</w:t>
            </w:r>
            <w:r>
              <w:rPr>
                <w:noProof/>
                <w:webHidden/>
              </w:rPr>
              <w:tab/>
            </w:r>
            <w:r>
              <w:rPr>
                <w:noProof/>
                <w:webHidden/>
              </w:rPr>
              <w:fldChar w:fldCharType="begin"/>
            </w:r>
            <w:r>
              <w:rPr>
                <w:noProof/>
                <w:webHidden/>
              </w:rPr>
              <w:instrText xml:space="preserve"> PAGEREF _Toc143462232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462233" w:history="1">
            <w:r>
              <w:rPr>
                <w:rStyle w:val="Hyperlink"/>
                <w:noProof/>
                <w:lang w:val="en-GB"/>
              </w:rPr>
              <w:t>Log Entry 06: 2023/07/13</w:t>
            </w:r>
            <w:r>
              <w:rPr>
                <w:noProof/>
                <w:webHidden/>
              </w:rPr>
              <w:tab/>
            </w:r>
            <w:r>
              <w:rPr>
                <w:noProof/>
                <w:webHidden/>
              </w:rPr>
              <w:fldChar w:fldCharType="begin"/>
            </w:r>
            <w:r>
              <w:rPr>
                <w:noProof/>
                <w:webHidden/>
              </w:rPr>
              <w:instrText xml:space="preserve"> PAGEREF _Toc143462233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462234" w:history="1">
            <w:r>
              <w:rPr>
                <w:rStyle w:val="Hyperlink"/>
                <w:noProof/>
                <w:lang w:val="en-GB"/>
              </w:rPr>
              <w:t>Log Entry 07: 2023/07/15</w:t>
            </w:r>
            <w:r>
              <w:rPr>
                <w:noProof/>
                <w:webHidden/>
              </w:rPr>
              <w:tab/>
            </w:r>
            <w:r>
              <w:rPr>
                <w:noProof/>
                <w:webHidden/>
              </w:rPr>
              <w:fldChar w:fldCharType="begin"/>
            </w:r>
            <w:r>
              <w:rPr>
                <w:noProof/>
                <w:webHidden/>
              </w:rPr>
              <w:instrText xml:space="preserve"> PAGEREF _Toc143462234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462235" w:history="1">
            <w:r>
              <w:rPr>
                <w:rStyle w:val="Hyperlink"/>
                <w:noProof/>
                <w:lang w:val="en-GB"/>
              </w:rPr>
              <w:t>Log Entry 08: 2023/07/28</w:t>
            </w:r>
            <w:r>
              <w:rPr>
                <w:noProof/>
                <w:webHidden/>
              </w:rPr>
              <w:tab/>
            </w:r>
            <w:r>
              <w:rPr>
                <w:noProof/>
                <w:webHidden/>
              </w:rPr>
              <w:fldChar w:fldCharType="begin"/>
            </w:r>
            <w:r>
              <w:rPr>
                <w:noProof/>
                <w:webHidden/>
              </w:rPr>
              <w:instrText xml:space="preserve"> PAGEREF _Toc143462235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462236" w:history="1">
            <w:r>
              <w:rPr>
                <w:rStyle w:val="Hyperlink"/>
                <w:noProof/>
                <w:lang w:val="en-GB"/>
              </w:rPr>
              <w:t>Log Entry 09: 2023/08/05</w:t>
            </w:r>
            <w:r>
              <w:rPr>
                <w:noProof/>
                <w:webHidden/>
              </w:rPr>
              <w:tab/>
            </w:r>
            <w:r>
              <w:rPr>
                <w:noProof/>
                <w:webHidden/>
              </w:rPr>
              <w:fldChar w:fldCharType="begin"/>
            </w:r>
            <w:r>
              <w:rPr>
                <w:noProof/>
                <w:webHidden/>
              </w:rPr>
              <w:instrText xml:space="preserve"> PAGEREF _Toc143462236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462237" w:history="1">
            <w:r>
              <w:rPr>
                <w:rStyle w:val="Hyperlink"/>
                <w:noProof/>
                <w:lang w:val="en-GB"/>
              </w:rPr>
              <w:t>Final Information as per guidelines</w:t>
            </w:r>
            <w:r>
              <w:rPr>
                <w:noProof/>
                <w:webHidden/>
              </w:rPr>
              <w:tab/>
            </w:r>
            <w:r>
              <w:rPr>
                <w:noProof/>
                <w:webHidden/>
              </w:rPr>
              <w:fldChar w:fldCharType="begin"/>
            </w:r>
            <w:r>
              <w:rPr>
                <w:noProof/>
                <w:webHidden/>
              </w:rPr>
              <w:instrText xml:space="preserve"> PAGEREF _Toc143462237 \h </w:instrText>
            </w:r>
            <w:r>
              <w:rPr>
                <w:noProof/>
                <w:webHidden/>
              </w:rPr>
            </w:r>
            <w:r>
              <w:rPr>
                <w:noProof/>
                <w:webHidden/>
              </w:rPr>
              <w:fldChar w:fldCharType="separate"/>
            </w:r>
            <w:r>
              <w:rPr>
                <w:noProof/>
                <w:webHidden/>
              </w:rPr>
              <w:t>14</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462227"/>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462228"/>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462229"/>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462230"/>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lastRenderedPageBreak/>
        <w:br w:type="page"/>
      </w:r>
    </w:p>
    <w:p>
      <w:pPr>
        <w:pStyle w:val="Heading1"/>
        <w:rPr>
          <w:lang w:val="en-GB"/>
        </w:rPr>
      </w:pPr>
      <w:bookmarkStart w:id="7" w:name="_Toc143462231"/>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462232"/>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462233"/>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462234"/>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462235"/>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TM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462236"/>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462237"/>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zero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minimialise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 xml:space="preserve">In hindsight, reviewing literature constantly actually was a hinderance in terms of achieving results and experimentation.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w:t>
      </w:r>
      <w:r>
        <w:lastRenderedPageBreak/>
        <w:t>have avoided spending so much time looking at PINNs now that I appreciate the intended function of the Unet in these problems.</w:t>
      </w:r>
    </w:p>
    <w:p>
      <w:pPr>
        <w:pStyle w:val="Heading2"/>
        <w:rPr>
          <w:lang w:val="en-GB"/>
        </w:rPr>
      </w:pPr>
      <w:r>
        <w:rPr>
          <w:lang w:val="en-GB"/>
        </w:rPr>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footerReference w:type="default" r:id="rId9"/>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C-</w:t>
    </w:r>
    <w:sdt>
      <w:sdtPr>
        <w:id w:val="-2388697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12156</Words>
  <Characters>69291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371</cp:revision>
  <cp:lastPrinted>2023-05-15T18:54:00Z</cp:lastPrinted>
  <dcterms:created xsi:type="dcterms:W3CDTF">2023-05-04T09:22:00Z</dcterms:created>
  <dcterms:modified xsi:type="dcterms:W3CDTF">2023-08-20T21:17:00Z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