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367106" w:history="1">
            <w:r>
              <w:rPr>
                <w:rStyle w:val="Hyperlink"/>
                <w:noProof/>
                <w:lang w:val="en-GB"/>
              </w:rPr>
              <w:t>Introduction</w:t>
            </w:r>
            <w:r>
              <w:rPr>
                <w:noProof/>
                <w:webHidden/>
              </w:rPr>
              <w:tab/>
            </w:r>
            <w:r>
              <w:rPr>
                <w:noProof/>
                <w:webHidden/>
              </w:rPr>
              <w:fldChar w:fldCharType="begin"/>
            </w:r>
            <w:r>
              <w:rPr>
                <w:noProof/>
                <w:webHidden/>
              </w:rPr>
              <w:instrText xml:space="preserve"> PAGEREF _Toc143367106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7" w:history="1">
            <w:r>
              <w:rPr>
                <w:rStyle w:val="Hyperlink"/>
                <w:noProof/>
                <w:lang w:val="en-GB"/>
              </w:rPr>
              <w:t>Description of Training Dataset</w:t>
            </w:r>
            <w:r>
              <w:rPr>
                <w:noProof/>
                <w:webHidden/>
              </w:rPr>
              <w:tab/>
            </w:r>
            <w:r>
              <w:rPr>
                <w:noProof/>
                <w:webHidden/>
              </w:rPr>
              <w:fldChar w:fldCharType="begin"/>
            </w:r>
            <w:r>
              <w:rPr>
                <w:noProof/>
                <w:webHidden/>
              </w:rPr>
              <w:instrText xml:space="preserve"> PAGEREF _Toc143367107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8"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_Toc143367108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9"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_Toc143367109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10"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_Toc143367110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1"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_Toc143367111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2"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_Toc143367112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67113"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_Toc143367113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4"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_Toc143367114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5"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_Toc143367115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367116"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_Toc143367116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367117"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_Toc143367117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367118"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_Toc143367118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19" w:history="1">
            <w:r>
              <w:rPr>
                <w:rStyle w:val="Hyperlink"/>
                <w:noProof/>
                <w:lang w:val="en-GB"/>
              </w:rPr>
              <w:t>DS1 Results &amp; Analysis</w:t>
            </w:r>
            <w:r>
              <w:rPr>
                <w:noProof/>
                <w:webHidden/>
              </w:rPr>
              <w:tab/>
            </w:r>
            <w:r>
              <w:rPr>
                <w:noProof/>
                <w:webHidden/>
              </w:rPr>
              <w:fldChar w:fldCharType="begin"/>
            </w:r>
            <w:r>
              <w:rPr>
                <w:noProof/>
                <w:webHidden/>
              </w:rPr>
              <w:instrText xml:space="preserve"> PAGEREF _Toc143367119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20" w:history="1">
            <w:r>
              <w:rPr>
                <w:rStyle w:val="Hyperlink"/>
                <w:noProof/>
                <w:lang w:val="en-GB"/>
              </w:rPr>
              <w:t>DS2 Results &amp; Analysis</w:t>
            </w:r>
            <w:r>
              <w:rPr>
                <w:noProof/>
                <w:webHidden/>
              </w:rPr>
              <w:tab/>
            </w:r>
            <w:r>
              <w:rPr>
                <w:noProof/>
                <w:webHidden/>
              </w:rPr>
              <w:fldChar w:fldCharType="begin"/>
            </w:r>
            <w:r>
              <w:rPr>
                <w:noProof/>
                <w:webHidden/>
              </w:rPr>
              <w:instrText xml:space="preserve"> PAGEREF _Toc143367120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10456"/>
            </w:tabs>
            <w:rPr>
              <w:noProof/>
            </w:rPr>
          </w:pPr>
          <w:hyperlink w:anchor="_Toc143367121" w:history="1">
            <w:r>
              <w:rPr>
                <w:rStyle w:val="Hyperlink"/>
                <w:noProof/>
                <w:lang w:val="en-GB"/>
              </w:rPr>
              <w:t>DS3 Results &amp; Analysis</w:t>
            </w:r>
            <w:r>
              <w:rPr>
                <w:noProof/>
                <w:webHidden/>
              </w:rPr>
              <w:tab/>
            </w:r>
            <w:r>
              <w:rPr>
                <w:noProof/>
                <w:webHidden/>
              </w:rPr>
              <w:fldChar w:fldCharType="begin"/>
            </w:r>
            <w:r>
              <w:rPr>
                <w:noProof/>
                <w:webHidden/>
              </w:rPr>
              <w:instrText xml:space="preserve"> PAGEREF _Toc143367121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10456"/>
            </w:tabs>
            <w:rPr>
              <w:noProof/>
            </w:rPr>
          </w:pPr>
          <w:hyperlink w:anchor="_Toc143367122" w:history="1">
            <w:r>
              <w:rPr>
                <w:rStyle w:val="Hyperlink"/>
                <w:noProof/>
              </w:rPr>
              <w:t>Impact Demands</w:t>
            </w:r>
            <w:r>
              <w:rPr>
                <w:noProof/>
                <w:webHidden/>
              </w:rPr>
              <w:tab/>
            </w:r>
            <w:r>
              <w:rPr>
                <w:noProof/>
                <w:webHidden/>
              </w:rPr>
              <w:fldChar w:fldCharType="begin"/>
            </w:r>
            <w:r>
              <w:rPr>
                <w:noProof/>
                <w:webHidden/>
              </w:rPr>
              <w:instrText xml:space="preserve"> PAGEREF _Toc143367122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10456"/>
            </w:tabs>
            <w:rPr>
              <w:noProof/>
            </w:rPr>
          </w:pPr>
          <w:hyperlink w:anchor="_Toc143367123" w:history="1">
            <w:r>
              <w:rPr>
                <w:rStyle w:val="Hyperlink"/>
                <w:noProof/>
              </w:rPr>
              <w:t>Conclusions</w:t>
            </w:r>
            <w:r>
              <w:rPr>
                <w:noProof/>
                <w:webHidden/>
              </w:rPr>
              <w:tab/>
            </w:r>
            <w:r>
              <w:rPr>
                <w:noProof/>
                <w:webHidden/>
              </w:rPr>
              <w:fldChar w:fldCharType="begin"/>
            </w:r>
            <w:r>
              <w:rPr>
                <w:noProof/>
                <w:webHidden/>
              </w:rPr>
              <w:instrText xml:space="preserve"> PAGEREF _Toc143367123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10456"/>
            </w:tabs>
            <w:rPr>
              <w:noProof/>
            </w:rPr>
          </w:pPr>
          <w:hyperlink w:anchor="_Toc143367124" w:history="1">
            <w:r>
              <w:rPr>
                <w:rStyle w:val="Hyperlink"/>
                <w:noProof/>
                <w:lang w:val="en-GB"/>
              </w:rPr>
              <w:t>Bibliography</w:t>
            </w:r>
            <w:r>
              <w:rPr>
                <w:noProof/>
                <w:webHidden/>
              </w:rPr>
              <w:tab/>
            </w:r>
            <w:r>
              <w:rPr>
                <w:noProof/>
                <w:webHidden/>
              </w:rPr>
              <w:fldChar w:fldCharType="begin"/>
            </w:r>
            <w:r>
              <w:rPr>
                <w:noProof/>
                <w:webHidden/>
              </w:rPr>
              <w:instrText xml:space="preserve"> PAGEREF _Toc143367124 \h </w:instrText>
            </w:r>
            <w:r>
              <w:rPr>
                <w:noProof/>
                <w:webHidden/>
              </w:rPr>
            </w:r>
            <w:r>
              <w:rPr>
                <w:noProof/>
                <w:webHidden/>
              </w:rPr>
              <w:fldChar w:fldCharType="separate"/>
            </w:r>
            <w:r>
              <w:rPr>
                <w:noProof/>
                <w:webHidden/>
              </w:rPr>
              <w:t>16</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367106"/>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also resides within the JASP files. </w:t>
      </w:r>
    </w:p>
    <w:p>
      <w:pPr>
        <w:pStyle w:val="Heading1"/>
        <w:rPr>
          <w:lang w:val="en-GB"/>
        </w:rPr>
      </w:pPr>
      <w:bookmarkStart w:id="1" w:name="_Toc143367107"/>
      <w:r>
        <w:rPr>
          <w:lang w:val="en-GB"/>
        </w:rPr>
        <w:t>Description of Training Dataset</w:t>
      </w:r>
      <w:bookmarkEnd w:id="1"/>
    </w:p>
    <w:p>
      <w:pPr>
        <w:rPr>
          <w:lang w:val="en-GB"/>
        </w:rPr>
      </w:pPr>
      <w:r>
        <w:rPr>
          <w:lang w:val="en-GB"/>
        </w:rPr>
        <w:t>The generation of seeded samples was conducted in batches of one thousand samples per folder due to the input configuration used in Python causing memory exhaustion. Five thousand samples were generated. 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scenario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367108"/>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transform from the sample data to correct tensor format. The screen command line printout of the final two training data batches is available on GitHub for reference. </w:t>
      </w:r>
    </w:p>
    <w:p>
      <w:pPr>
        <w:pStyle w:val="Heading1"/>
        <w:rPr>
          <w:lang w:val="en-GB"/>
        </w:rPr>
      </w:pPr>
      <w:bookmarkStart w:id="3" w:name="_Toc143367109"/>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619500" cy="25519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266" cy="2568022"/>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lastRenderedPageBreak/>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367110"/>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validation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p>
    <w:p>
      <w:pPr>
        <w:pStyle w:val="Heading1"/>
        <w:rPr>
          <w:lang w:val="en-GB"/>
        </w:rPr>
      </w:pPr>
      <w:bookmarkStart w:id="5" w:name="_Toc143367111"/>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lastRenderedPageBreak/>
              <w:drawing>
                <wp:inline distT="0" distB="0" distL="0" distR="0">
                  <wp:extent cx="4472354" cy="3064184"/>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000" cy="3065997"/>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367112"/>
      <w:r>
        <w:rPr>
          <w:lang w:val="en-GB"/>
        </w:rPr>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367113"/>
      <w:r>
        <w:rPr>
          <w:lang w:val="en-GB"/>
        </w:rPr>
        <w:lastRenderedPageBreak/>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890179" cy="2749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847" cy="277638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367114"/>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validation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p>
    <w:p>
      <w:pPr>
        <w:pStyle w:val="Heading1"/>
        <w:rPr>
          <w:lang w:val="en-GB"/>
        </w:rPr>
      </w:pPr>
      <w:bookmarkStart w:id="9" w:name="_Toc143367115"/>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354285" cy="2984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437" cy="298734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441664" cy="3037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732" cy="304399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pStyle w:val="Heading1"/>
        <w:rPr>
          <w:lang w:val="en-GB"/>
        </w:rPr>
      </w:pPr>
      <w:bookmarkStart w:id="10" w:name="_Toc143367116"/>
      <w:r>
        <w:rPr>
          <w:lang w:val="en-GB"/>
        </w:rPr>
        <w:lastRenderedPageBreak/>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estimate to be (128^2 * 1600) which gives 26 million possibilities. Five-thousand geometric samples is roughly 0.02%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generalisability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Von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w:t>
      </w:r>
      <w:r>
        <w:rPr>
          <w:lang w:val="en-GB"/>
        </w:rPr>
        <w:lastRenderedPageBreak/>
        <w:t xml:space="preserve">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367117"/>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pStyle w:val="Heading1"/>
        <w:rPr>
          <w:lang w:val="en-GB"/>
        </w:rPr>
      </w:pPr>
      <w:bookmarkStart w:id="12" w:name="_Toc143367118"/>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research hypothesis were tested. The Primary Research question was orientated around using Prescient2DL to improve the Krylov Iterative solver at the heart of SolverEMF2. DS1, DS2 and DS3 testing datasets had 100 samples each which gives enough degrees of freedom to ensure a large enough sample size to compare the original solution information to the information gathered during the model assisted solution. Please review the Project Plan Proposal for the details of the three hypothesis: "Primary Research Test 01 – Initial Solution Conveyance t-Test"; "Primary Research Test 02 –Solution Convergence t-Test"; "Primary Research Test 03 – Solution Conveyance t-Test".</w:t>
      </w:r>
    </w:p>
    <w:p>
      <w:pPr>
        <w:pStyle w:val="Heading2"/>
        <w:rPr>
          <w:lang w:val="en-GB"/>
        </w:rPr>
      </w:pPr>
      <w:bookmarkStart w:id="13" w:name="_Toc143367119"/>
      <w:r>
        <w:rPr>
          <w:lang w:val="en-GB"/>
        </w:rPr>
        <w:t>DS1 Results &amp; Analysis</w:t>
      </w:r>
      <w:bookmarkEnd w:id="13"/>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bl>
    <w:p>
      <w:r>
        <w:t>In the results for DS1, all p-values were deemed statistically significant. However, looking beyond the t-test results and comparing the mean differences for the Duration and Iteration Count variables, the impact the model has on Solution Convergence and Solution Conveyance is inconsequential to the solution progress of the Krylov Iterative Solver. On average, the same number of iterations are required to meet the error criterion of the solver. This is reflected in the Raincloud plots for the Duration and Iteration count variables.</w:t>
      </w:r>
    </w:p>
    <w:tbl>
      <w:tblPr>
        <w:tblStyle w:val="TableGrid"/>
        <w:tblW w:w="0" w:type="auto"/>
        <w:jc w:val="center"/>
        <w:tblLook w:val="04A0" w:firstRow="1" w:lastRow="0" w:firstColumn="1" w:lastColumn="0" w:noHBand="0" w:noVBand="1"/>
      </w:tblPr>
      <w:tblGrid>
        <w:gridCol w:w="10332"/>
      </w:tblGrid>
      <w:tr>
        <w:trPr>
          <w:trHeight w:val="3516"/>
          <w:jc w:val="center"/>
        </w:trPr>
        <w:tc>
          <w:tcPr>
            <w:tcW w:w="10221" w:type="dxa"/>
          </w:tcPr>
          <w:p>
            <w:pPr>
              <w:keepNext/>
              <w:jc w:val="center"/>
            </w:pPr>
            <w:r>
              <w:rPr>
                <w:noProof/>
              </w:rPr>
              <w:drawing>
                <wp:inline distT="0" distB="0" distL="0" distR="0">
                  <wp:extent cx="6424246" cy="2119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7114" cy="2143563"/>
                          </a:xfrm>
                          <a:prstGeom prst="rect">
                            <a:avLst/>
                          </a:prstGeom>
                        </pic:spPr>
                      </pic:pic>
                    </a:graphicData>
                  </a:graphic>
                </wp:inline>
              </w:drawing>
            </w:r>
          </w:p>
          <w:p>
            <w:pPr>
              <w:pStyle w:val="Caption"/>
              <w:jc w:val="center"/>
            </w:pPr>
            <w:r>
              <w:t xml:space="preserve">Figure </w:t>
            </w:r>
            <w:fldSimple w:instr=" SEQ Figure \* ARABIC ">
              <w:r>
                <w:rPr>
                  <w:noProof/>
                </w:rPr>
                <w:t>13</w:t>
              </w:r>
            </w:fldSimple>
            <w:r>
              <w:t>. Raincloud</w:t>
            </w:r>
            <w:r>
              <w:rPr>
                <w:noProof/>
              </w:rPr>
              <w:t xml:space="preserve"> plots illustrating the similiarity between the original and model-assisted samples. Although statistically different, the lowering of the variables by the model is immaterial to the solver.</w:t>
            </w:r>
          </w:p>
        </w:tc>
      </w:tr>
    </w:tbl>
    <w:p/>
    <w:tbl>
      <w:tblPr>
        <w:tblStyle w:val="TableGrid"/>
        <w:tblW w:w="10652" w:type="dxa"/>
        <w:tblLook w:val="04A0" w:firstRow="1" w:lastRow="0" w:firstColumn="1" w:lastColumn="0" w:noHBand="0" w:noVBand="1"/>
      </w:tblPr>
      <w:tblGrid>
        <w:gridCol w:w="5930"/>
        <w:gridCol w:w="4722"/>
      </w:tblGrid>
      <w:tr>
        <w:trPr>
          <w:trHeight w:val="4033"/>
        </w:trPr>
        <w:tc>
          <w:tcPr>
            <w:tcW w:w="5930" w:type="dxa"/>
          </w:tcPr>
          <w:p>
            <w:pPr>
              <w:keepNext/>
              <w:jc w:val="center"/>
            </w:pPr>
            <w:r>
              <w:rPr>
                <w:noProof/>
                <w:lang w:val="en-GB"/>
              </w:rPr>
              <w:lastRenderedPageBreak/>
              <w:drawing>
                <wp:inline distT="0" distB="0" distL="0" distR="0">
                  <wp:extent cx="3171092" cy="2140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199" cy="2147477"/>
                          </a:xfrm>
                          <a:prstGeom prst="rect">
                            <a:avLst/>
                          </a:prstGeom>
                        </pic:spPr>
                      </pic:pic>
                    </a:graphicData>
                  </a:graphic>
                </wp:inline>
              </w:drawing>
            </w:r>
          </w:p>
          <w:p>
            <w:pPr>
              <w:pStyle w:val="Caption"/>
              <w:jc w:val="center"/>
              <w:rPr>
                <w:lang w:val="en-GB"/>
              </w:rPr>
            </w:pPr>
            <w:r>
              <w:t xml:space="preserve">Figure </w:t>
            </w:r>
            <w:fldSimple w:instr=" SEQ Figure \* ARABIC ">
              <w:r>
                <w:rPr>
                  <w:noProof/>
                </w:rPr>
                <w:t>14</w:t>
              </w:r>
            </w:fldSimple>
            <w:r>
              <w:t>. Raincloud plot</w:t>
            </w:r>
            <w:r>
              <w:rPr>
                <w:noProof/>
              </w:rPr>
              <w:t xml:space="preserve"> of initial error comparison. While the initial error in the model-assisted approach is lower and more consistant then the naive approach, it is not low enough to impact SolverEMF2.</w:t>
            </w:r>
          </w:p>
        </w:tc>
        <w:tc>
          <w:tcPr>
            <w:tcW w:w="4722" w:type="dxa"/>
          </w:tcPr>
          <w:p>
            <w:r>
              <w:t>The Initial Solution Conveyance based on a comparison of the means of the Error Initial variable is statistically significant with a seemingly impressive mean difference of 0.0038. This is roughly 18% of the original initial error in the naïve approach. As demonstrated, this is enough to give a close visual similarity that would be useful in the early stages of a design methodology where error criteria are low. Although the statistical test rejects the null, indicating a clear performance difference exists between the two approaches, the student  concludes that the impact of Prescient2DL is immaterial to achieving the error criterion set out at the initialization stage of the solver.</w:t>
            </w:r>
          </w:p>
        </w:tc>
      </w:tr>
    </w:tbl>
    <w:p>
      <w:pPr>
        <w:rPr>
          <w:lang w:val="en-GB"/>
        </w:rPr>
      </w:pPr>
    </w:p>
    <w:p>
      <w:pPr>
        <w:pStyle w:val="Heading2"/>
        <w:rPr>
          <w:lang w:val="en-GB"/>
        </w:rPr>
      </w:pPr>
      <w:bookmarkStart w:id="14" w:name="_Toc143367120"/>
      <w:r>
        <w:rPr>
          <w:lang w:val="en-GB"/>
        </w:rPr>
        <w:t>DS2 Results &amp; Analysis</w:t>
      </w:r>
      <w:bookmarkEnd w:id="14"/>
    </w:p>
    <w:p>
      <w:r>
        <w:t>The aim of the DS2 dataset was to establish how Prescient2DL would handle geometric configurations beyond those it was exposed to in the training stage of development. By setting the smaller scatterer to the same zero contrast value as the background embedding, a deformation or hole was created in the main scatterer geometry.</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bl>
    <w:p>
      <w:r>
        <w:t>Again, all p-values indicate a rejection of the null hypothesis. Prescient2Dl is able to operate with this mild generalization. All three metrics have reported a decrease in the mean difference between naïve and model-informed runs, however, the decrease for the Error Initial metric is mild with a score of roughly 27% compared to the initial error offered by the original, naïve approach.</w:t>
      </w:r>
    </w:p>
    <w:p>
      <w:pPr>
        <w:pStyle w:val="Heading2"/>
        <w:rPr>
          <w:lang w:val="en-GB"/>
        </w:rPr>
      </w:pPr>
      <w:bookmarkStart w:id="15" w:name="_Toc143367121"/>
      <w:r>
        <w:rPr>
          <w:lang w:val="en-GB"/>
        </w:rPr>
        <w:t>DS3 Results &amp; Analysis</w:t>
      </w:r>
      <w:bookmarkEnd w:id="15"/>
    </w:p>
    <w:p>
      <w:r>
        <w:t>The aim of the DS3 was to push Prescient2DL into predicting scenarios where the contrast values populating the scene were significantly different to those it was exposed to during training. In this case, both the small and larger scatterers took the same higher contrast value.</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b w:val="0"/>
          <w:bCs w:val="0"/>
          <w:color w:val="auto"/>
          <w:sz w:val="22"/>
          <w:szCs w:val="22"/>
        </w:rPr>
      </w:pPr>
    </w:p>
    <w:p>
      <w:r>
        <w:t xml:space="preserve">The Duration metric indicates that the model actually has a detrimental impact on SolverEMF2. The evidence supplied to the t-test results in an inability to reject the null hypothesis for Iteration Count. As already commented in DS1 and DS2, neither of these mean differences are material to the Krylov solver in the grand scheme of the workflow. The success measured by the Error Initial variable has also deteriorated but still reports roughly 66% of </w:t>
      </w:r>
      <w:r>
        <w:lastRenderedPageBreak/>
        <w:t>the original, naïve approach. Even though Prescient2DL was not exposed to single scatterer geometries with such a high population of higher contrast values, it was still able to lower the initial error. A sample prediction outcome is presented in the figure below. The titles indicate the figure content. It is evident that the visual resemblence between the predicted fields and the actual fields has broken down, even if the residual error remains lower than that of a naïve guess.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pPr>
            <w:r>
              <w:rPr>
                <w:noProof/>
              </w:rPr>
              <w:drawing>
                <wp:inline distT="0" distB="0" distL="0" distR="0">
                  <wp:extent cx="6622876" cy="388709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6875" cy="3907047"/>
                          </a:xfrm>
                          <a:prstGeom prst="rect">
                            <a:avLst/>
                          </a:prstGeom>
                          <a:noFill/>
                          <a:ln>
                            <a:noFill/>
                          </a:ln>
                        </pic:spPr>
                      </pic:pic>
                    </a:graphicData>
                  </a:graphic>
                </wp:inline>
              </w:drawing>
            </w:r>
          </w:p>
          <w:p>
            <w:pPr>
              <w:pStyle w:val="Caption"/>
              <w:jc w:val="center"/>
            </w:pPr>
            <w:r>
              <w:t xml:space="preserve">Figure </w:t>
            </w:r>
            <w:fldSimple w:instr=" SEQ Figure \* ARABIC ">
              <w:r>
                <w:rPr>
                  <w:noProof/>
                </w:rPr>
                <w:t>15</w:t>
              </w:r>
            </w:fldSimple>
            <w:r>
              <w:t>. Comparison between the actual scattered field on the left and the predicted field on the right for E1.</w:t>
            </w:r>
          </w:p>
        </w:tc>
      </w:tr>
    </w:tbl>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rPr>
              <w:drawing>
                <wp:inline distT="0" distB="0" distL="0" distR="0">
                  <wp:extent cx="6128657" cy="3597026"/>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8608" cy="3602867"/>
                          </a:xfrm>
                          <a:prstGeom prst="rect">
                            <a:avLst/>
                          </a:prstGeom>
                          <a:noFill/>
                          <a:ln>
                            <a:noFill/>
                          </a:ln>
                        </pic:spPr>
                      </pic:pic>
                    </a:graphicData>
                  </a:graphic>
                </wp:inline>
              </w:drawing>
            </w:r>
          </w:p>
          <w:p>
            <w:pPr>
              <w:pStyle w:val="Caption"/>
              <w:jc w:val="center"/>
            </w:pPr>
            <w:r>
              <w:t xml:space="preserve">Figure </w:t>
            </w:r>
            <w:fldSimple w:instr=" SEQ Figure \* ARABIC ">
              <w:r>
                <w:rPr>
                  <w:noProof/>
                </w:rPr>
                <w:t>16</w:t>
              </w:r>
            </w:fldSimple>
            <w:r>
              <w:t>. Comparison between the actual scattered field on the left and the predicted field on the right for E2.</w:t>
            </w:r>
          </w:p>
        </w:tc>
      </w:tr>
    </w:tbl>
    <w:p/>
    <w:p>
      <w:pPr>
        <w:pStyle w:val="Heading1"/>
      </w:pPr>
      <w:bookmarkStart w:id="16" w:name="_Toc143367122"/>
      <w:r>
        <w:lastRenderedPageBreak/>
        <w:t>Impact Demands</w:t>
      </w:r>
      <w:bookmarkEnd w:id="16"/>
    </w:p>
    <w:p>
      <w:r>
        <w:t>If the current tests and results show low means squared error but immaterial impact upon SolverEMF2, how would results that actually achieve Method of Moments solution acceleration manifest in this scenario? Using a DS1 sample case, the student prints out the first seven entries from the information gathered during a naïve and model-assisted run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tc>
          <w:tcPr>
            <w:tcW w:w="10682" w:type="dxa"/>
          </w:tcPr>
          <w:tbl>
            <w:tblPr>
              <w:tblW w:w="7366" w:type="dxa"/>
              <w:jc w:val="center"/>
              <w:tblLook w:val="04A0" w:firstRow="1" w:lastRow="0" w:firstColumn="1" w:lastColumn="0" w:noHBand="0" w:noVBand="1"/>
            </w:tblPr>
            <w:tblGrid>
              <w:gridCol w:w="1370"/>
              <w:gridCol w:w="1499"/>
              <w:gridCol w:w="1499"/>
              <w:gridCol w:w="1499"/>
              <w:gridCol w:w="1499"/>
            </w:tblGrid>
            <w:tr>
              <w:trPr>
                <w:trHeight w:val="288"/>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Sample 5101</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 Original Run</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Prescient2DL Assisted Run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0.0020748100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0.0102043000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0.0005120250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0.0085418200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0.0002348990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0.0905674000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0.0000702384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0.0611167000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0.0000368364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0.1306520000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0.0000158675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0.0931430000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0.0000102315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0.1706970000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0.0000042492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0.1249560000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0.0000010167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0.2137400000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0.0000005663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0.1580040000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0.0000002997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0.2488170000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0.0000000635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0.1890330000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0.0000000401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0.2823450000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0.0000000171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0.2185600000</w:t>
                  </w:r>
                </w:p>
              </w:tc>
            </w:tr>
          </w:tbl>
          <w:p>
            <w:pPr>
              <w:pStyle w:val="Caption"/>
              <w:keepNext/>
              <w:jc w:val="center"/>
            </w:pPr>
            <w:r>
              <w:t xml:space="preserve">Table </w:t>
            </w:r>
            <w:fldSimple w:instr=" SEQ Table \* ARABIC ">
              <w:r>
                <w:rPr>
                  <w:noProof/>
                </w:rPr>
                <w:t>1</w:t>
              </w:r>
            </w:fldSimple>
            <w:r>
              <w:t>. Iterative solver information for sample 5101 using DS1 scene parameters. Only first 7 entries are displayed.</w:t>
            </w:r>
          </w:p>
        </w:tc>
      </w:tr>
    </w:tbl>
    <w:p>
      <w:r>
        <w:t>In order for Prescient2DL to impact the Method of Moments solver by accelerating the solution process, the initial residual error would need to be lowered below at least the first two error levels reported in the residual error column for the Naïve Original Run. Due to dependance of convergence rates for Krylov solvers on the conditioning of the matrices and the eigenvalue properties of the matrices, deep learning models would need to be achieving initial residual errors of 10</w:t>
      </w:r>
      <w:r>
        <w:rPr>
          <w:vertAlign w:val="superscript"/>
        </w:rPr>
        <w:t>-8</w:t>
      </w:r>
      <w:r>
        <w:t xml:space="preserve"> or lower in this toy scenario to lower the final iteration count by even 25% of the naïve solution iteration count. </w:t>
      </w:r>
    </w:p>
    <w:p>
      <w:pPr>
        <w:pStyle w:val="Heading1"/>
      </w:pPr>
      <w:bookmarkStart w:id="17" w:name="_Toc143367123"/>
      <w:r>
        <w:t>Conclusions</w:t>
      </w:r>
      <w:bookmarkEnd w:id="17"/>
    </w:p>
    <w:p>
      <w:r>
        <w:t>Although Prescient2DL is statistically achieving differences in metric performance compared to naïve approaches to the initial guess in SolverEMF2, there appears to be nothing gained from using the model at all with regard to accelerating the Method of Moments solver. Plots of convergence and conveyance, as postulated in the Project Plan Proposal, would all be identical between original and model-assisted runs. Before further experimentation with generalizability and extrapolation is to be carried out, it would be the student’s opinion that lowering the initial error so that Prescient2DL impacts the SoverEMF2 in terms of convergence would be made the priority. This project has presented evidence and test results that show research in this area remains at the model development stage. 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Heading1"/>
        <w:rPr>
          <w:lang w:val="en-GB"/>
        </w:rPr>
      </w:pPr>
      <w:bookmarkStart w:id="18" w:name="_Toc143367124"/>
      <w:r>
        <w:rPr>
          <w:lang w:val="en-GB"/>
        </w:rPr>
        <w:t>Bibliography</w:t>
      </w:r>
      <w:bookmarkEnd w:id="1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sectPr>
      <w:footerReference w:type="default" r:id="rId25"/>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E-</w:t>
    </w:r>
    <w:sdt>
      <w:sdtPr>
        <w:id w:val="-1348558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194">
      <w:bodyDiv w:val="1"/>
      <w:marLeft w:val="0"/>
      <w:marRight w:val="0"/>
      <w:marTop w:val="0"/>
      <w:marBottom w:val="0"/>
      <w:divBdr>
        <w:top w:val="none" w:sz="0" w:space="0" w:color="auto"/>
        <w:left w:val="none" w:sz="0" w:space="0" w:color="auto"/>
        <w:bottom w:val="none" w:sz="0" w:space="0" w:color="auto"/>
        <w:right w:val="none" w:sz="0" w:space="0" w:color="auto"/>
      </w:divBdr>
    </w:div>
    <w:div w:id="844906399">
      <w:bodyDiv w:val="1"/>
      <w:marLeft w:val="0"/>
      <w:marRight w:val="0"/>
      <w:marTop w:val="0"/>
      <w:marBottom w:val="0"/>
      <w:divBdr>
        <w:top w:val="none" w:sz="0" w:space="0" w:color="auto"/>
        <w:left w:val="none" w:sz="0" w:space="0" w:color="auto"/>
        <w:bottom w:val="none" w:sz="0" w:space="0" w:color="auto"/>
        <w:right w:val="none" w:sz="0" w:space="0" w:color="auto"/>
      </w:divBdr>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5225</Words>
  <Characters>29787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468</cp:revision>
  <cp:lastPrinted>2023-08-19T18:54:00Z</cp:lastPrinted>
  <dcterms:created xsi:type="dcterms:W3CDTF">2023-05-04T09:22:00Z</dcterms:created>
  <dcterms:modified xsi:type="dcterms:W3CDTF">2023-08-20T09:33:00Z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id="gHWwVNM3"/&gt;&lt;style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