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8272A7" w:rsidRDefault="00AD4AFD" w14:paraId="5A65F9C4" w14:textId="77777777">
      <w:r>
        <w:t>Kym Derriman (Partner Ethan Howell)</w:t>
      </w:r>
    </w:p>
    <w:p w:rsidR="008272A7" w:rsidRDefault="00AD4AFD" w14:paraId="7A4354EC" w14:textId="77777777">
      <w:r>
        <w:t>Lab 5: Least Square Fitting</w:t>
      </w:r>
    </w:p>
    <w:p w:rsidR="008272A7" w:rsidRDefault="00AD4AFD" w14:paraId="60B3DEA2" w14:textId="77777777">
      <w:r>
        <w:t>10/10/2024</w:t>
      </w:r>
    </w:p>
    <w:p w:rsidR="008272A7" w:rsidRDefault="008272A7" w14:paraId="672A6659" w14:textId="77777777"/>
    <w:p w:rsidR="008272A7" w:rsidRDefault="00AD4AFD" w14:paraId="78D0DADD" w14:textId="77777777">
      <w:pPr>
        <w:jc w:val="center"/>
      </w:pPr>
      <w:r>
        <w:rPr>
          <w:b/>
        </w:rPr>
        <w:t>LEAST SQUARE FITTING</w:t>
      </w:r>
    </w:p>
    <w:p w:rsidR="008272A7" w:rsidRDefault="008272A7" w14:paraId="0A37501D" w14:textId="77777777"/>
    <w:p w:rsidR="008272A7" w:rsidRDefault="00AD4AFD" w14:paraId="2C8B4F07" w14:textId="77777777">
      <w:pPr>
        <w:rPr>
          <w:b/>
        </w:rPr>
      </w:pPr>
      <w:r>
        <w:rPr>
          <w:b/>
        </w:rPr>
        <w:t>INTRODUCTION</w:t>
      </w:r>
    </w:p>
    <w:p w:rsidR="008272A7" w:rsidRDefault="008272A7" w14:paraId="5DAB6C7B" w14:textId="77777777"/>
    <w:p w:rsidR="008272A7" w:rsidP="5F8845F1" w:rsidRDefault="00AD4AFD" w14:paraId="6D862C32" w14:textId="51B76ACB">
      <w:pPr>
        <w:rPr>
          <w:lang w:val="en-US"/>
        </w:rPr>
      </w:pPr>
      <w:r w:rsidRPr="5F8845F1">
        <w:rPr>
          <w:lang w:val="en-US"/>
        </w:rPr>
        <w:t xml:space="preserve">In this experiment we explored the technique of least square fitting via an experiment to determine the lifetime of the metastable excited state of </w:t>
      </w:r>
      <m:oMath>
        <m:sSubSup>
          <m:sSubSupPr>
            <m:ctrlPr>
              <w:rPr>
                <w:rFonts w:ascii="Cambria Math" w:hAnsi="Cambria Math"/>
              </w:rPr>
            </m:ctrlPr>
          </m:sSubSupPr>
          <m:e/>
          <m:sub/>
          <m:sup>
            <m:r>
              <w:rPr>
                <w:rFonts w:ascii="Cambria Math" w:hAnsi="Cambria Math"/>
              </w:rPr>
              <m:t>137</m:t>
            </m:r>
          </m:sup>
        </m:sSubSup>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m:t>
            </m:r>
          </m:sup>
        </m:sSup>
      </m:oMath>
      <w:r w:rsidRPr="5F8845F1" w:rsidR="5D1AD14A">
        <w:rPr>
          <w:lang w:val="en-US"/>
        </w:rPr>
        <w:t xml:space="preserve"> before </w:t>
      </w:r>
      <w:proofErr w:type="gramStart"/>
      <w:r w:rsidRPr="5F8845F1" w:rsidR="5D1AD14A">
        <w:rPr>
          <w:lang w:val="en-US"/>
        </w:rPr>
        <w:t>it</w:t>
      </w:r>
      <w:proofErr w:type="gramEnd"/>
      <w:r w:rsidRPr="5F8845F1" w:rsidR="5D1AD14A">
        <w:rPr>
          <w:lang w:val="en-US"/>
        </w:rPr>
        <w:t xml:space="preserve"> gamma-</w:t>
      </w:r>
      <w:r w:rsidRPr="5F8845F1">
        <w:rPr>
          <w:lang w:val="en-US"/>
        </w:rPr>
        <w:t xml:space="preserve">decays into the stable </w:t>
      </w:r>
      <m:oMath>
        <m:sSubSup>
          <m:sSubSupPr>
            <m:ctrlPr>
              <w:rPr>
                <w:rFonts w:ascii="Cambria Math" w:hAnsi="Cambria Math"/>
              </w:rPr>
            </m:ctrlPr>
          </m:sSubSupPr>
          <m:e/>
          <m:sub/>
          <m:sup>
            <m:r>
              <w:rPr>
                <w:rFonts w:ascii="Cambria Math" w:hAnsi="Cambria Math"/>
              </w:rPr>
              <m:t>137</m:t>
            </m:r>
          </m:sup>
        </m:sSubSup>
        <m:r>
          <w:rPr>
            <w:rFonts w:ascii="Cambria Math" w:hAnsi="Cambria Math"/>
          </w:rPr>
          <m:t>Ba</m:t>
        </m:r>
      </m:oMath>
      <w:r w:rsidRPr="5F8845F1">
        <w:rPr>
          <w:lang w:val="en-US"/>
        </w:rPr>
        <w:t xml:space="preserve">. We find the best line </w:t>
      </w:r>
      <w:bookmarkStart w:name="_Int_zXzkWAIu" w:id="0"/>
      <w:r w:rsidRPr="5F8845F1">
        <w:rPr>
          <w:lang w:val="en-US"/>
        </w:rPr>
        <w:t>fit that</w:t>
      </w:r>
      <w:bookmarkEnd w:id="0"/>
      <w:r w:rsidRPr="5F8845F1">
        <w:rPr>
          <w:lang w:val="en-US"/>
        </w:rPr>
        <w:t xml:space="preserve"> minimizes the difference between the observed data points and the </w:t>
      </w:r>
      <w:r w:rsidRPr="5F8845F1" w:rsidR="7EB3572D">
        <w:rPr>
          <w:lang w:val="en-US"/>
        </w:rPr>
        <w:t xml:space="preserve">true value </w:t>
      </w:r>
      <w:r w:rsidRPr="5F8845F1" w:rsidR="560D37AF">
        <w:rPr>
          <w:lang w:val="en-US"/>
        </w:rPr>
        <w:t xml:space="preserve">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5F8845F1" w:rsidR="0A6A2ED6">
        <w:rPr>
          <w:lang w:val="en-US"/>
        </w:rPr>
        <w:t xml:space="preserve"> method </w:t>
      </w:r>
      <w:r w:rsidRPr="5F8845F1">
        <w:rPr>
          <w:lang w:val="en-US"/>
        </w:rPr>
        <w:t xml:space="preserve">and apply our knowledge of the radioactive decay process to determine the </w:t>
      </w:r>
      <w:r w:rsidRPr="5F8845F1" w:rsidR="76FD6B47">
        <w:rPr>
          <w:lang w:val="en-US"/>
        </w:rPr>
        <w:t xml:space="preserve">half-life and initial decay rate </w:t>
      </w:r>
      <w:r w:rsidRPr="5F8845F1">
        <w:rPr>
          <w:lang w:val="en-US"/>
        </w:rPr>
        <w:t xml:space="preserve">of </w:t>
      </w:r>
      <m:oMath>
        <m:sSubSup>
          <m:sSubSupPr>
            <m:ctrlPr>
              <w:rPr>
                <w:rFonts w:ascii="Cambria Math" w:hAnsi="Cambria Math"/>
              </w:rPr>
            </m:ctrlPr>
          </m:sSubSupPr>
          <m:e/>
          <m:sub/>
          <m:sup>
            <m:r>
              <w:rPr>
                <w:rFonts w:ascii="Cambria Math" w:hAnsi="Cambria Math"/>
              </w:rPr>
              <m:t>137</m:t>
            </m:r>
          </m:sup>
        </m:sSubSup>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m:t>
            </m:r>
          </m:sup>
        </m:sSup>
      </m:oMath>
      <w:r w:rsidRPr="5F8845F1">
        <w:rPr>
          <w:lang w:val="en-US"/>
        </w:rPr>
        <w:t>.</w:t>
      </w:r>
    </w:p>
    <w:p w:rsidR="008272A7" w:rsidRDefault="008272A7" w14:paraId="02EB378F" w14:textId="77777777"/>
    <w:p w:rsidR="008272A7" w:rsidRDefault="00AD4AFD" w14:paraId="38A9835A" w14:textId="77777777">
      <w:pPr>
        <w:rPr>
          <w:b/>
        </w:rPr>
      </w:pPr>
      <w:r>
        <w:rPr>
          <w:b/>
        </w:rPr>
        <w:t>BACKGROUND</w:t>
      </w:r>
    </w:p>
    <w:p w:rsidR="008272A7" w:rsidRDefault="008272A7" w14:paraId="6A05A809" w14:textId="77777777"/>
    <w:p w:rsidR="008272A7" w:rsidP="5F8845F1" w:rsidRDefault="00AD4AFD" w14:paraId="68908C79" w14:textId="2A587B24">
      <w:pPr>
        <w:rPr>
          <w:lang w:val="en-US"/>
        </w:rPr>
      </w:pPr>
      <w:r w:rsidRPr="5F8845F1" w:rsidR="00AD4AFD">
        <w:rPr>
          <w:lang w:val="en-US"/>
        </w:rPr>
        <w:t xml:space="preserve">The decay pathway of </w:t>
      </w:r>
      <m:oMath>
        <m:sSubSup>
          <m:sSubSupPr>
            <m:ctrlPr>
              <w:rPr>
                <w:rFonts w:ascii="Cambria Math" w:hAnsi="Cambria Math"/>
              </w:rPr>
            </m:ctrlPr>
          </m:sSubSupPr>
          <m:e/>
          <m:sub/>
          <m:sup>
            <m:r>
              <w:rPr>
                <w:rFonts w:ascii="Cambria Math" w:hAnsi="Cambria Math"/>
              </w:rPr>
              <m:t>137</m:t>
            </m:r>
          </m:sup>
        </m:sSubSup>
        <m:r>
          <w:rPr>
            <w:rFonts w:ascii="Cambria Math" w:hAnsi="Cambria Math"/>
          </w:rPr>
          <m:t>Cs</m:t>
        </m:r>
      </m:oMath>
      <w:r w:rsidRPr="5F8845F1" w:rsidR="6FB9AA5A">
        <w:rPr>
          <w:lang w:val="en-US"/>
        </w:rPr>
        <w:t xml:space="preserve"> </w:t>
      </w:r>
      <w:r w:rsidRPr="5F8845F1" w:rsidR="00AD4AFD">
        <w:rPr>
          <w:lang w:val="en-US"/>
        </w:rPr>
        <w:t xml:space="preserve">is described by (1). The cesium </w:t>
      </w:r>
      <w:r w:rsidRPr="5F8845F1" w:rsidR="23B814D2">
        <w:rPr>
          <w:lang w:val="en-US"/>
        </w:rPr>
        <w:t xml:space="preserve">regularly </w:t>
      </w:r>
      <w:r w:rsidRPr="5F8845F1" w:rsidR="00AD4AFD">
        <w:rPr>
          <w:lang w:val="en-US"/>
        </w:rPr>
        <w:t>decays to metastable barium with the emission of a beta-minus particle (</w:t>
      </w:r>
      <m:oMath>
        <m:sSup>
          <m:sSupPr>
            <m:ctrlPr>
              <w:rPr>
                <w:rFonts w:ascii="Cambria Math" w:hAnsi="Cambria Math"/>
              </w:rPr>
            </m:ctrlPr>
          </m:sSupPr>
          <m:e>
            <m:r>
              <w:rPr>
                <w:rFonts w:ascii="Cambria Math" w:hAnsi="Cambria Math"/>
              </w:rPr>
              <m:t>β</m:t>
            </m:r>
          </m:e>
          <m:sup>
            <m:r>
              <w:rPr>
                <w:rFonts w:ascii="Cambria Math" w:hAnsi="Cambria Math"/>
              </w:rPr>
              <m:t>-</m:t>
            </m:r>
          </m:sup>
        </m:sSup>
      </m:oMath>
      <w:r w:rsidRPr="5F8845F1" w:rsidR="00AD4AFD">
        <w:rPr>
          <w:lang w:val="en-US"/>
        </w:rPr>
        <w:t xml:space="preserve">, an electron). The </w:t>
      </w:r>
      <w:r w:rsidRPr="5F8845F1" w:rsidR="44253927">
        <w:rPr>
          <w:lang w:val="en-US"/>
        </w:rPr>
        <w:t>half-life</w:t>
      </w:r>
      <w:r w:rsidRPr="5F8845F1" w:rsidR="00AD4AFD">
        <w:rPr>
          <w:lang w:val="en-US"/>
        </w:rPr>
        <w:t xml:space="preserve"> for that reaction is about 30 years. The metastable barium has a short half-life; it loses excess energy as low energy gamma radiation </w:t>
      </w:r>
      <w:r w:rsidRPr="5F8845F1" w:rsidR="7945B049">
        <w:rPr>
          <w:lang w:val="en-US"/>
        </w:rPr>
        <w:t>(</w:t>
      </w:r>
      <m:oMath>
        <m:r>
          <w:rPr>
            <w:rFonts w:ascii="Cambria Math" w:hAnsi="Cambria Math"/>
          </w:rPr>
          <m:t>γ</m:t>
        </m:r>
      </m:oMath>
      <w:r w:rsidRPr="5F8845F1" w:rsidR="7BDAA65B">
        <w:rPr>
          <w:lang w:val="en-US"/>
        </w:rPr>
        <w:t>)</w:t>
      </w:r>
      <w:r w:rsidRPr="5F8845F1" w:rsidR="00AD4AFD">
        <w:rPr>
          <w:lang w:val="en-US"/>
        </w:rPr>
        <w:t xml:space="preserve"> to form stabl</w:t>
      </w:r>
      <w:r w:rsidRPr="5F8845F1" w:rsidR="0D7E571C">
        <w:rPr>
          <w:lang w:val="en-US"/>
        </w:rPr>
        <w:t xml:space="preserve">e </w:t>
      </w:r>
      <m:oMath>
        <m:sSubSup>
          <m:sSubSupPr>
            <m:ctrlPr>
              <w:rPr>
                <w:rFonts w:ascii="Cambria Math" w:hAnsi="Cambria Math"/>
              </w:rPr>
            </m:ctrlPr>
          </m:sSubSupPr>
          <m:e/>
          <m:sub/>
          <m:sup>
            <m:r>
              <w:rPr>
                <w:rFonts w:ascii="Cambria Math" w:hAnsi="Cambria Math"/>
              </w:rPr>
              <m:t>137</m:t>
            </m:r>
          </m:sup>
        </m:sSubSup>
        <m:r>
          <w:rPr>
            <w:rFonts w:ascii="Cambria Math" w:hAnsi="Cambria Math"/>
          </w:rPr>
          <m:t>Ba</m:t>
        </m:r>
      </m:oMath>
      <w:r w:rsidRPr="5F8845F1" w:rsidR="00AD4AFD">
        <w:rPr>
          <w:lang w:val="en-US"/>
        </w:rPr>
        <w:t xml:space="preserve"> . </w:t>
      </w:r>
      <w:r w:rsidRPr="5F8845F1" w:rsidR="13715D74">
        <w:rPr>
          <w:lang w:val="en-US"/>
        </w:rPr>
        <w:t xml:space="preserve">The metastable barium can be </w:t>
      </w:r>
      <w:r w:rsidRPr="5F8845F1" w:rsidR="00C029EE">
        <w:rPr>
          <w:lang w:val="en-US"/>
        </w:rPr>
        <w:t>isolated,</w:t>
      </w:r>
      <w:r w:rsidRPr="5F8845F1" w:rsidR="13715D74">
        <w:rPr>
          <w:lang w:val="en-US"/>
        </w:rPr>
        <w:t xml:space="preserve"> and the gamma-decay measured </w:t>
      </w:r>
      <w:r w:rsidRPr="5F8845F1" w:rsidR="00AD4AFD">
        <w:rPr>
          <w:lang w:val="en-US"/>
        </w:rPr>
        <w:t>by eluting the cesium with an isotope generator [1].</w:t>
      </w:r>
    </w:p>
    <w:p w:rsidR="552647CF" w:rsidP="552647CF" w:rsidRDefault="552647CF" w14:paraId="67A13AF0" w14:textId="6CCA95CC">
      <w:pPr>
        <w:rPr>
          <w:lang w:val="en-US"/>
        </w:rPr>
      </w:pPr>
    </w:p>
    <w:tbl>
      <w:tblPr>
        <w:tblStyle w:val="TableGrid"/>
        <w:tblW w:w="0" w:type="auto"/>
        <w:tblLayout w:type="fixed"/>
        <w:tblLook w:val="06A0" w:firstRow="1" w:lastRow="0" w:firstColumn="1" w:lastColumn="0" w:noHBand="1" w:noVBand="1"/>
      </w:tblPr>
      <w:tblGrid>
        <w:gridCol w:w="645"/>
        <w:gridCol w:w="7950"/>
        <w:gridCol w:w="765"/>
      </w:tblGrid>
      <w:tr w:rsidR="552647CF" w:rsidTr="552647CF" w14:paraId="48877D8E">
        <w:trPr>
          <w:trHeight w:val="300"/>
        </w:trPr>
        <w:tc>
          <w:tcPr>
            <w:tcW w:w="645" w:type="dxa"/>
            <w:tcBorders>
              <w:top w:val="none" w:color="000000" w:themeColor="text1" w:sz="4"/>
              <w:left w:val="none" w:color="000000" w:themeColor="text1" w:sz="4"/>
              <w:bottom w:val="none" w:color="000000" w:themeColor="text1" w:sz="4"/>
              <w:right w:val="none" w:color="000000" w:themeColor="text1" w:sz="4"/>
            </w:tcBorders>
            <w:tcMar/>
          </w:tcPr>
          <w:p w:rsidR="552647CF" w:rsidP="552647CF" w:rsidRDefault="552647CF" w14:paraId="540C7AB3" w14:textId="197AAB0C">
            <w:pPr>
              <w:pStyle w:val="Normal"/>
              <w:rPr>
                <w:lang w:val="en-US"/>
              </w:rPr>
            </w:pPr>
          </w:p>
        </w:tc>
        <w:tc>
          <w:tcPr>
            <w:tcW w:w="7950" w:type="dxa"/>
            <w:tcBorders>
              <w:top w:val="none" w:color="000000" w:themeColor="text1" w:sz="4"/>
              <w:left w:val="none" w:color="000000" w:themeColor="text1" w:sz="4"/>
              <w:bottom w:val="none" w:color="000000" w:themeColor="text1" w:sz="4"/>
              <w:right w:val="none" w:color="000000" w:themeColor="text1" w:sz="4"/>
            </w:tcBorders>
            <w:tcMar/>
          </w:tcPr>
          <w:p w:rsidR="552647CF" w:rsidP="552647CF" w:rsidRDefault="552647CF" w14:paraId="48E1E532" w14:textId="73F0E577">
            <w:pPr>
              <w:pStyle w:val="Normal"/>
              <w:jc w:val="center"/>
              <w:rPr>
                <w:lang w:val="en-US"/>
              </w:rPr>
            </w:pPr>
            <m:oMathPara xmlns:m="http://schemas.openxmlformats.org/officeDocument/2006/math">
              <m:oMath xmlns:m="http://schemas.openxmlformats.org/officeDocument/2006/math">
                <m:sSubSup xmlns:m="http://schemas.openxmlformats.org/officeDocument/2006/math">
                  <m:sSubSupPr>
                    <m:ctrlPr/>
                  </m:sSubSupPr>
                  <m:e/>
                  <m:sub/>
                  <m:sup>
                    <m:r>
                      <m:t>137</m:t>
                    </m:r>
                  </m:sup>
                </m:sSubSup>
                <m:r xmlns:m="http://schemas.openxmlformats.org/officeDocument/2006/math">
                  <m:t xmlns:m="http://schemas.openxmlformats.org/officeDocument/2006/math">𝐶𝑠</m:t>
                </m:r>
                <m:r xmlns:m="http://schemas.openxmlformats.org/officeDocument/2006/math">
                  <m:t xmlns:m="http://schemas.openxmlformats.org/officeDocument/2006/math"> </m:t>
                </m:r>
                <m:r xmlns:m="http://schemas.openxmlformats.org/officeDocument/2006/math">
                  <m:t xmlns:m="http://schemas.openxmlformats.org/officeDocument/2006/math">⟹</m:t>
                </m:r>
                <m:sSubSup xmlns:m="http://schemas.openxmlformats.org/officeDocument/2006/math">
                  <m:sSubSupPr>
                    <m:ctrlPr/>
                  </m:sSubSupPr>
                  <m:e>
                    <m:r>
                      <m:t> </m:t>
                    </m:r>
                  </m:e>
                  <m:sub/>
                  <m:sup>
                    <m:r>
                      <m:t>137</m:t>
                    </m:r>
                  </m:sup>
                </m:sSubSup>
                <m:r xmlns:m="http://schemas.openxmlformats.org/officeDocument/2006/math">
                  <m:t xmlns:m="http://schemas.openxmlformats.org/officeDocument/2006/math">𝐵</m:t>
                </m:r>
                <m:sSup xmlns:m="http://schemas.openxmlformats.org/officeDocument/2006/math">
                  <m:sSupPr>
                    <m:ctrlPr/>
                  </m:sSupPr>
                  <m:e>
                    <m:r>
                      <m:t>𝑎</m:t>
                    </m:r>
                  </m:e>
                  <m:sup>
                    <m:r>
                      <m:t>∗</m:t>
                    </m:r>
                  </m:sup>
                </m:sSup>
                <m:r xmlns:m="http://schemas.openxmlformats.org/officeDocument/2006/math">
                  <m:t xmlns:m="http://schemas.openxmlformats.org/officeDocument/2006/math"> + </m:t>
                </m:r>
                <m:sSup xmlns:m="http://schemas.openxmlformats.org/officeDocument/2006/math">
                  <m:sSupPr>
                    <m:ctrlPr/>
                  </m:sSupPr>
                  <m:e>
                    <m:r>
                      <m:t>𝛽</m:t>
                    </m:r>
                  </m:e>
                  <m:sup>
                    <m:r>
                      <m:t>−</m:t>
                    </m:r>
                  </m:sup>
                </m:sSup>
                <m:r xmlns:m="http://schemas.openxmlformats.org/officeDocument/2006/math">
                  <m:t xmlns:m="http://schemas.openxmlformats.org/officeDocument/2006/math"> ,</m:t>
                </m:r>
                <m:sSubSup xmlns:m="http://schemas.openxmlformats.org/officeDocument/2006/math">
                  <m:sSubSupPr>
                    <m:ctrlPr/>
                  </m:sSubSupPr>
                  <m:e>
                    <m:r>
                      <m:t> </m:t>
                    </m:r>
                  </m:e>
                  <m:sub/>
                  <m:sup>
                    <m:r>
                      <m:t>137</m:t>
                    </m:r>
                  </m:sup>
                </m:sSubSup>
                <m:r xmlns:m="http://schemas.openxmlformats.org/officeDocument/2006/math">
                  <m:t xmlns:m="http://schemas.openxmlformats.org/officeDocument/2006/math">𝐵</m:t>
                </m:r>
                <m:sSup xmlns:m="http://schemas.openxmlformats.org/officeDocument/2006/math">
                  <m:sSupPr>
                    <m:ctrlPr/>
                  </m:sSupPr>
                  <m:e>
                    <m:r>
                      <m:t>𝑎</m:t>
                    </m:r>
                  </m:e>
                  <m:sup>
                    <m:r>
                      <m:t>∗</m:t>
                    </m:r>
                  </m:sup>
                </m:sSup>
                <m:r xmlns:m="http://schemas.openxmlformats.org/officeDocument/2006/math">
                  <m:t xmlns:m="http://schemas.openxmlformats.org/officeDocument/2006/math"> </m:t>
                </m:r>
                <m:r xmlns:m="http://schemas.openxmlformats.org/officeDocument/2006/math">
                  <m:t xmlns:m="http://schemas.openxmlformats.org/officeDocument/2006/math">⟹</m:t>
                </m:r>
                <m:sSubSup xmlns:m="http://schemas.openxmlformats.org/officeDocument/2006/math">
                  <m:sSubSupPr>
                    <m:ctrlPr/>
                  </m:sSubSupPr>
                  <m:e>
                    <m:r>
                      <m:t> </m:t>
                    </m:r>
                  </m:e>
                  <m:sub/>
                  <m:sup>
                    <m:r>
                      <m:t>137</m:t>
                    </m:r>
                  </m:sup>
                </m:sSubSup>
                <m:r xmlns:m="http://schemas.openxmlformats.org/officeDocument/2006/math">
                  <m:t xmlns:m="http://schemas.openxmlformats.org/officeDocument/2006/math">𝐵𝑎</m:t>
                </m:r>
                <m:r xmlns:m="http://schemas.openxmlformats.org/officeDocument/2006/math">
                  <m:t xmlns:m="http://schemas.openxmlformats.org/officeDocument/2006/math"> + </m:t>
                </m:r>
                <m:r xmlns:m="http://schemas.openxmlformats.org/officeDocument/2006/math">
                  <m:t xmlns:m="http://schemas.openxmlformats.org/officeDocument/2006/math">𝛾</m:t>
                </m:r>
              </m:oMath>
            </m:oMathPara>
          </w:p>
        </w:tc>
        <w:tc>
          <w:tcPr>
            <w:tcW w:w="765" w:type="dxa"/>
            <w:tcBorders>
              <w:top w:val="none" w:color="000000" w:themeColor="text1" w:sz="4"/>
              <w:left w:val="none" w:color="000000" w:themeColor="text1" w:sz="4"/>
              <w:bottom w:val="none" w:color="000000" w:themeColor="text1" w:sz="4"/>
              <w:right w:val="none" w:color="000000" w:themeColor="text1" w:sz="4"/>
            </w:tcBorders>
            <w:tcMar/>
          </w:tcPr>
          <w:p w:rsidR="5F0D35DF" w:rsidP="552647CF" w:rsidRDefault="5F0D35DF" w14:paraId="5CF58E92" w14:textId="54C6ED97">
            <w:pPr>
              <w:pStyle w:val="Normal"/>
              <w:jc w:val="right"/>
              <w:rPr>
                <w:lang w:val="en-US"/>
              </w:rPr>
            </w:pPr>
            <w:r w:rsidRPr="552647CF" w:rsidR="5F0D35DF">
              <w:rPr>
                <w:lang w:val="en-US"/>
              </w:rPr>
              <w:t>(1)</w:t>
            </w:r>
          </w:p>
        </w:tc>
      </w:tr>
    </w:tbl>
    <w:p w:rsidR="008272A7" w:rsidP="552647CF" w:rsidRDefault="008272A7" w14:paraId="0E27B00A" w14:noSpellErr="1" w14:textId="7C5FD093">
      <w:pPr>
        <w:pStyle w:val="Normal"/>
        <w:jc w:val="center"/>
        <w:rPr>
          <w:rFonts w:ascii="Arial Unicode MS" w:hAnsi="Arial Unicode MS" w:eastAsia="Arial Unicode MS" w:cs="Arial Unicode MS"/>
          <w:lang w:val="en-US"/>
        </w:rPr>
      </w:pPr>
    </w:p>
    <w:p w:rsidR="008272A7" w:rsidRDefault="00AD4AFD" w14:paraId="4B9E66FD" w14:textId="0DE485F1">
      <w:r w:rsidR="00AD4AFD">
        <w:rPr/>
        <w:t>The general form of the exponential decay function is described in</w:t>
      </w:r>
      <w:r w:rsidRPr="552647CF" w:rsidR="00AD4AFD">
        <w:rPr>
          <w:b w:val="1"/>
          <w:bCs w:val="1"/>
        </w:rPr>
        <w:t xml:space="preserve"> </w:t>
      </w:r>
      <w:r w:rsidR="00AD4AFD">
        <w:rPr/>
        <w:t>(2).</w:t>
      </w:r>
    </w:p>
    <w:p w:rsidR="552647CF" w:rsidRDefault="552647CF" w14:paraId="08CB712B" w14:textId="592F2D56"/>
    <w:tbl>
      <w:tblPr>
        <w:tblStyle w:val="TableGrid"/>
        <w:tblW w:w="0" w:type="auto"/>
        <w:tblLayout w:type="fixed"/>
        <w:tblLook w:val="06A0" w:firstRow="1" w:lastRow="0" w:firstColumn="1" w:lastColumn="0" w:noHBand="1" w:noVBand="1"/>
      </w:tblPr>
      <w:tblGrid>
        <w:gridCol w:w="1050"/>
        <w:gridCol w:w="7260"/>
        <w:gridCol w:w="1050"/>
      </w:tblGrid>
      <w:tr w:rsidR="552647CF" w:rsidTr="552647CF" w14:paraId="24DC4387">
        <w:trPr>
          <w:trHeight w:val="300"/>
        </w:trPr>
        <w:tc>
          <w:tcPr>
            <w:tcW w:w="1050" w:type="dxa"/>
            <w:tcBorders>
              <w:top w:val="none" w:color="000000" w:themeColor="text1" w:sz="4"/>
              <w:left w:val="none" w:color="000000" w:themeColor="text1" w:sz="4"/>
              <w:bottom w:val="none" w:color="000000" w:themeColor="text1" w:sz="4"/>
              <w:right w:val="none" w:color="000000" w:themeColor="text1" w:sz="4"/>
            </w:tcBorders>
            <w:tcMar/>
          </w:tcPr>
          <w:p w:rsidR="552647CF" w:rsidP="552647CF" w:rsidRDefault="552647CF" w14:paraId="6101E7E2" w14:textId="137736AE">
            <w:pPr>
              <w:pStyle w:val="Normal"/>
            </w:pPr>
          </w:p>
        </w:tc>
        <w:tc>
          <w:tcPr>
            <w:tcW w:w="7260" w:type="dxa"/>
            <w:tcBorders>
              <w:top w:val="none" w:color="000000" w:themeColor="text1" w:sz="4"/>
              <w:left w:val="none" w:color="000000" w:themeColor="text1" w:sz="4"/>
              <w:bottom w:val="none" w:color="000000" w:themeColor="text1" w:sz="4"/>
              <w:right w:val="none" w:color="000000" w:themeColor="text1" w:sz="4"/>
            </w:tcBorders>
            <w:tcMar/>
          </w:tcPr>
          <w:p w:rsidR="552647CF" w:rsidP="552647CF" w:rsidRDefault="552647CF" w14:paraId="283E61E1" w14:textId="2AEBF70B">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𝐷</m:t>
                </m:r>
                <m:d xmlns:m="http://schemas.openxmlformats.org/officeDocument/2006/math">
                  <m:dPr>
                    <m:ctrlPr/>
                  </m:dPr>
                  <m:e>
                    <m:r>
                      <m:t>𝑡</m:t>
                    </m:r>
                  </m:e>
                </m:d>
                <m:r xmlns:m="http://schemas.openxmlformats.org/officeDocument/2006/math">
                  <m:t xmlns:m="http://schemas.openxmlformats.org/officeDocument/2006/math"> = </m:t>
                </m:r>
                <m:sSub xmlns:m="http://schemas.openxmlformats.org/officeDocument/2006/math">
                  <m:sSubPr>
                    <m:ctrlPr/>
                  </m:sSubPr>
                  <m:e>
                    <m:r>
                      <m:t>𝐷</m:t>
                    </m:r>
                  </m:e>
                  <m:sub>
                    <m:r>
                      <m:t>0</m:t>
                    </m:r>
                  </m:sub>
                </m:sSub>
                <m:r xmlns:m="http://schemas.openxmlformats.org/officeDocument/2006/math">
                  <m:t xmlns:m="http://schemas.openxmlformats.org/officeDocument/2006/math"> </m:t>
                </m:r>
                <m:sSup xmlns:m="http://schemas.openxmlformats.org/officeDocument/2006/math">
                  <m:sSupPr>
                    <m:ctrlPr/>
                  </m:sSupPr>
                  <m:e>
                    <m:r>
                      <m:t>𝑒</m:t>
                    </m:r>
                  </m:e>
                  <m:sup>
                    <m:r>
                      <m:t>−</m:t>
                    </m:r>
                    <m:r>
                      <m:t>𝑡</m:t>
                    </m:r>
                    <m:r>
                      <m:t> </m:t>
                    </m:r>
                    <m:r>
                      <m:rPr>
                        <m:lit/>
                      </m:rPr>
                      <m:t>/</m:t>
                    </m:r>
                    <m:r>
                      <m:t> </m:t>
                    </m:r>
                    <m:r>
                      <m:t>𝜏</m:t>
                    </m:r>
                  </m:sup>
                </m:sSup>
              </m:oMath>
            </m:oMathPara>
          </w:p>
        </w:tc>
        <w:tc>
          <w:tcPr>
            <w:tcW w:w="1050" w:type="dxa"/>
            <w:tcBorders>
              <w:top w:val="none" w:color="000000" w:themeColor="text1" w:sz="4"/>
              <w:left w:val="none" w:color="000000" w:themeColor="text1" w:sz="4"/>
              <w:bottom w:val="none" w:color="000000" w:themeColor="text1" w:sz="4"/>
              <w:right w:val="none" w:color="000000" w:themeColor="text1" w:sz="4"/>
            </w:tcBorders>
            <w:tcMar/>
          </w:tcPr>
          <w:p w:rsidR="4551C58A" w:rsidP="552647CF" w:rsidRDefault="4551C58A" w14:paraId="3F04BA9D" w14:textId="6CC2EA80">
            <w:pPr>
              <w:pStyle w:val="Normal"/>
              <w:jc w:val="right"/>
            </w:pPr>
            <w:r w:rsidR="4551C58A">
              <w:rPr/>
              <w:t>(2)</w:t>
            </w:r>
          </w:p>
        </w:tc>
      </w:tr>
    </w:tbl>
    <w:p w:rsidR="008272A7" w:rsidP="552647CF" w:rsidRDefault="008272A7" w14:paraId="4B94D5A5" w14:noSpellErr="1" w14:textId="78B90471">
      <w:pPr>
        <w:pStyle w:val="Normal"/>
      </w:pPr>
    </w:p>
    <w:p w:rsidR="008272A7" w:rsidP="5F8845F1" w:rsidRDefault="00AD4AFD" w14:paraId="0716CBB2" w14:textId="29A2F8C2">
      <w:pPr>
        <w:rPr>
          <w:lang w:val="en-US"/>
        </w:rPr>
      </w:pPr>
      <w:r w:rsidRPr="5F8845F1">
        <w:rPr>
          <w:lang w:val="en-US"/>
        </w:rPr>
        <w:t>Here,</w:t>
      </w:r>
      <w:r w:rsidRPr="5F8845F1" w:rsidR="208E2AB9">
        <w:rPr>
          <w:lang w:val="en-US"/>
        </w:rPr>
        <w:t xml:space="preserve"> </w:t>
      </w:r>
      <m:oMath>
        <m:r>
          <w:rPr>
            <w:rFonts w:ascii="Cambria Math" w:hAnsi="Cambria Math"/>
          </w:rPr>
          <m:t>D</m:t>
        </m:r>
        <m:d>
          <m:dPr>
            <m:ctrlPr>
              <w:rPr>
                <w:rFonts w:ascii="Cambria Math" w:hAnsi="Cambria Math"/>
              </w:rPr>
            </m:ctrlPr>
          </m:dPr>
          <m:e>
            <m:r>
              <w:rPr>
                <w:rFonts w:ascii="Cambria Math" w:hAnsi="Cambria Math"/>
              </w:rPr>
              <m:t>t</m:t>
            </m:r>
          </m:e>
        </m:d>
      </m:oMath>
      <w:r w:rsidRPr="5F8845F1" w:rsidR="106FF464">
        <w:rPr>
          <w:lang w:val="en-US"/>
        </w:rPr>
        <w:t xml:space="preserve"> </w:t>
      </w:r>
      <w:r w:rsidRPr="5F8845F1">
        <w:rPr>
          <w:lang w:val="en-US"/>
        </w:rPr>
        <w:t xml:space="preserve">is a function that finds the decay rate at a given time, </w:t>
      </w:r>
      <m:oMath>
        <m:sSub>
          <m:sSubPr>
            <m:ctrlPr>
              <w:rPr>
                <w:rFonts w:ascii="Cambria Math" w:hAnsi="Cambria Math"/>
              </w:rPr>
            </m:ctrlPr>
          </m:sSubPr>
          <m:e>
            <m:r>
              <w:rPr>
                <w:rFonts w:ascii="Cambria Math" w:hAnsi="Cambria Math"/>
              </w:rPr>
              <m:t>D</m:t>
            </m:r>
          </m:e>
          <m:sub>
            <m:r>
              <w:rPr>
                <w:rFonts w:ascii="Cambria Math" w:hAnsi="Cambria Math"/>
              </w:rPr>
              <m:t>0</m:t>
            </m:r>
          </m:sub>
        </m:sSub>
      </m:oMath>
      <w:r w:rsidRPr="5F8845F1" w:rsidR="49FF71C3">
        <w:rPr>
          <w:lang w:val="en-US"/>
        </w:rPr>
        <w:t xml:space="preserve"> </w:t>
      </w:r>
      <w:r w:rsidRPr="5F8845F1">
        <w:rPr>
          <w:lang w:val="en-US"/>
        </w:rPr>
        <w:t>is the initial decay rate, and</w:t>
      </w:r>
      <w:r w:rsidRPr="5F8845F1" w:rsidR="2F146E1B">
        <w:rPr>
          <w:lang w:val="en-US"/>
        </w:rPr>
        <w:t xml:space="preserve"> </w:t>
      </w:r>
      <m:oMath>
        <m:r>
          <w:rPr>
            <w:rFonts w:ascii="Cambria Math" w:hAnsi="Cambria Math"/>
          </w:rPr>
          <m:t>τ</m:t>
        </m:r>
      </m:oMath>
      <w:r w:rsidRPr="5F8845F1" w:rsidR="2F146E1B">
        <w:rPr>
          <w:lang w:val="en-US"/>
        </w:rPr>
        <w:t xml:space="preserve"> </w:t>
      </w:r>
      <w:r w:rsidRPr="5F8845F1">
        <w:rPr>
          <w:lang w:val="en-US"/>
        </w:rPr>
        <w:t>is the mean lifetime of</w:t>
      </w:r>
      <w:r w:rsidRPr="5F8845F1" w:rsidR="17138BC6">
        <w:rPr>
          <w:lang w:val="en-US"/>
        </w:rPr>
        <w:t xml:space="preserve"> </w:t>
      </w:r>
      <m:oMath>
        <m:sSubSup>
          <m:sSubSupPr>
            <m:ctrlPr>
              <w:rPr>
                <w:rFonts w:ascii="Cambria Math" w:hAnsi="Cambria Math"/>
              </w:rPr>
            </m:ctrlPr>
          </m:sSubSupPr>
          <m:e/>
          <m:sub/>
          <m:sup>
            <m:r>
              <w:rPr>
                <w:rFonts w:ascii="Cambria Math" w:hAnsi="Cambria Math"/>
              </w:rPr>
              <m:t>137</m:t>
            </m:r>
          </m:sup>
        </m:sSubSup>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m:t>
            </m:r>
          </m:sup>
        </m:sSup>
      </m:oMath>
      <w:r w:rsidRPr="5F8845F1" w:rsidR="3AB674A5">
        <w:rPr>
          <w:lang w:val="en-US"/>
        </w:rPr>
        <w:t>.</w:t>
      </w:r>
    </w:p>
    <w:p w:rsidR="008272A7" w:rsidRDefault="008272A7" w14:paraId="3DEEC669" w14:textId="77777777"/>
    <w:p w:rsidR="008272A7" w:rsidRDefault="00AD4AFD" w14:paraId="47BE7B02" w14:textId="6780FF12">
      <w:r w:rsidRPr="5F8845F1">
        <w:rPr>
          <w:lang w:val="en-US"/>
        </w:rPr>
        <w:t>To find the half-life, we first set (2) with the initial conditions where</w:t>
      </w:r>
      <w:r w:rsidRPr="5F8845F1" w:rsidR="6E2D84B1">
        <w:rPr>
          <w:lang w:val="en-US"/>
        </w:rPr>
        <w:t xml:space="preserve"> </w:t>
      </w:r>
      <m:oMath>
        <m:r>
          <w:rPr>
            <w:rFonts w:ascii="Cambria Math" w:hAnsi="Cambria Math"/>
          </w:rPr>
          <m:t>D</m:t>
        </m:r>
        <m:d>
          <m:dPr>
            <m:ctrlPr>
              <w:rPr>
                <w:rFonts w:ascii="Cambria Math" w:hAnsi="Cambria Math"/>
              </w:rPr>
            </m:ctrlPr>
          </m:dPr>
          <m:e>
            <m:r>
              <w:rPr>
                <w:rFonts w:ascii="Cambria Math" w:hAnsi="Cambria Math"/>
              </w:rPr>
              <m:t>t</m:t>
            </m:r>
          </m:e>
        </m:d>
        <m:r>
          <w:rPr>
            <w:rFonts w:ascii="Cambria Math" w:hAnsi="Cambria Math"/>
          </w:rPr>
          <m:t> = </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0</m:t>
                </m:r>
              </m:sub>
            </m:sSub>
          </m:num>
          <m:den>
            <m:r>
              <w:rPr>
                <w:rFonts w:ascii="Cambria Math" w:hAnsi="Cambria Math"/>
              </w:rPr>
              <m:t>2</m:t>
            </m:r>
          </m:den>
        </m:f>
      </m:oMath>
      <w:r w:rsidRPr="5F8845F1">
        <w:rPr>
          <w:lang w:val="en-US"/>
        </w:rPr>
        <w:t xml:space="preserve"> and</w:t>
      </w:r>
      <w:r w:rsidRPr="5F8845F1" w:rsidR="3C3064FB">
        <w:rPr>
          <w:lang w:val="en-US"/>
        </w:rPr>
        <w:t xml:space="preserve"> </w:t>
      </w:r>
      <m:oMath>
        <m:r>
          <w:rPr>
            <w:rFonts w:ascii="Cambria Math" w:hAnsi="Cambria Math"/>
          </w:rPr>
          <m:t>t = </m:t>
        </m:r>
        <m:sSub>
          <m:sSubPr>
            <m:ctrlPr>
              <w:rPr>
                <w:rFonts w:ascii="Cambria Math" w:hAnsi="Cambria Math"/>
              </w:rPr>
            </m:ctrlPr>
          </m:sSubPr>
          <m:e>
            <m:r>
              <w:rPr>
                <w:rFonts w:ascii="Cambria Math" w:hAnsi="Cambria Math"/>
              </w:rPr>
              <m:t>τ</m:t>
            </m:r>
          </m:e>
          <m:sub>
            <m:r>
              <w:rPr>
                <w:rFonts w:ascii="Cambria Math" w:hAnsi="Cambria Math"/>
              </w:rPr>
              <m:t>1</m:t>
            </m:r>
            <m:r>
              <m:rPr>
                <m:lit/>
              </m:rPr>
              <w:rPr>
                <w:rFonts w:ascii="Cambria Math" w:hAnsi="Cambria Math"/>
              </w:rPr>
              <m:t>/</m:t>
            </m:r>
            <m:r>
              <w:rPr>
                <w:rFonts w:ascii="Cambria Math" w:hAnsi="Cambria Math"/>
              </w:rPr>
              <m:t>2</m:t>
            </m:r>
          </m:sub>
        </m:sSub>
      </m:oMath>
      <w:r w:rsidRPr="5F8845F1">
        <w:rPr>
          <w:lang w:val="en-US"/>
        </w:rPr>
        <w:t xml:space="preserve">, then divide through by </w:t>
      </w:r>
      <m:oMath>
        <m:sSub>
          <m:sSubPr>
            <m:ctrlPr>
              <w:rPr>
                <w:rFonts w:ascii="Cambria Math" w:hAnsi="Cambria Math"/>
              </w:rPr>
            </m:ctrlPr>
          </m:sSubPr>
          <m:e>
            <m:r>
              <w:rPr>
                <w:rFonts w:ascii="Cambria Math" w:hAnsi="Cambria Math"/>
              </w:rPr>
              <m:t>D</m:t>
            </m:r>
          </m:e>
          <m:sub>
            <m:r>
              <w:rPr>
                <w:rFonts w:ascii="Cambria Math" w:hAnsi="Cambria Math"/>
              </w:rPr>
              <m:t>0</m:t>
            </m:r>
          </m:sub>
        </m:sSub>
      </m:oMath>
      <w:r w:rsidRPr="5F8845F1">
        <w:rPr>
          <w:lang w:val="en-US"/>
        </w:rPr>
        <w:t>, take the natural log of both sides and solve for</w:t>
      </w:r>
      <w:r w:rsidRPr="5F8845F1" w:rsidR="3BF215BC">
        <w:rPr>
          <w:lang w:val="en-US"/>
        </w:rPr>
        <w:t xml:space="preserve"> </w:t>
      </w:r>
      <m:oMath>
        <m:sSub>
          <m:sSubPr>
            <m:ctrlPr>
              <w:rPr>
                <w:rFonts w:ascii="Cambria Math" w:hAnsi="Cambria Math"/>
              </w:rPr>
            </m:ctrlPr>
          </m:sSubPr>
          <m:e>
            <m:r>
              <w:rPr>
                <w:rFonts w:ascii="Cambria Math" w:hAnsi="Cambria Math"/>
              </w:rPr>
              <m:t>τ</m:t>
            </m:r>
          </m:e>
          <m:sub>
            <m:r>
              <w:rPr>
                <w:rFonts w:ascii="Cambria Math" w:hAnsi="Cambria Math"/>
              </w:rPr>
              <m:t>1</m:t>
            </m:r>
            <m:r>
              <m:rPr>
                <m:lit/>
              </m:rPr>
              <w:rPr>
                <w:rFonts w:ascii="Cambria Math" w:hAnsi="Cambria Math"/>
              </w:rPr>
              <m:t>/</m:t>
            </m:r>
            <m:r>
              <w:rPr>
                <w:rFonts w:ascii="Cambria Math" w:hAnsi="Cambria Math"/>
              </w:rPr>
              <m:t>2</m:t>
            </m:r>
          </m:sub>
        </m:sSub>
      </m:oMath>
      <w:r w:rsidRPr="5F8845F1">
        <w:rPr>
          <w:lang w:val="en-US"/>
        </w:rPr>
        <w:t xml:space="preserve">, giving (3). </w:t>
      </w:r>
    </w:p>
    <w:p w:rsidR="5F8845F1" w:rsidP="5F8845F1" w:rsidRDefault="5F8845F1" w14:paraId="7DA58DF2" w14:textId="159CE24D" w14:noSpellErr="1">
      <w:pPr>
        <w:rPr>
          <w:lang w:val="en-US"/>
        </w:rPr>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3120"/>
        <w:gridCol w:w="3120"/>
        <w:gridCol w:w="3120"/>
      </w:tblGrid>
      <w:tr w:rsidR="552647CF" w:rsidTr="552647CF" w14:paraId="3F9639BF">
        <w:trPr>
          <w:trHeight w:val="300"/>
        </w:trPr>
        <w:tc>
          <w:tcPr>
            <w:tcW w:w="3120" w:type="dxa"/>
            <w:tcMar/>
          </w:tcPr>
          <w:p w:rsidR="552647CF" w:rsidP="552647CF" w:rsidRDefault="552647CF" w14:paraId="4AB7ADA5" w14:textId="0561EEE1">
            <w:pPr>
              <w:pStyle w:val="Normal"/>
              <w:rPr>
                <w:lang w:val="en-US"/>
              </w:rPr>
            </w:pPr>
          </w:p>
        </w:tc>
        <w:tc>
          <w:tcPr>
            <w:tcW w:w="3120" w:type="dxa"/>
            <w:tcMar/>
          </w:tcPr>
          <w:p w:rsidR="552647CF" w:rsidP="552647CF" w:rsidRDefault="552647CF" w14:paraId="1EB15004" w14:textId="643FE3C1">
            <w:pPr>
              <w:pStyle w:val="Normal"/>
              <w:jc w:val="center"/>
              <w:rPr>
                <w:lang w:val="en-US"/>
              </w:rPr>
            </w:pPr>
            <m:oMathPara xmlns:m="http://schemas.openxmlformats.org/officeDocument/2006/math">
              <m:oMath xmlns:m="http://schemas.openxmlformats.org/officeDocument/2006/math">
                <m:sSub xmlns:m="http://schemas.openxmlformats.org/officeDocument/2006/math">
                  <m:sSubPr>
                    <m:ctrlPr/>
                  </m:sSubPr>
                  <m:e>
                    <m:r>
                      <m:t>𝜏</m:t>
                    </m:r>
                  </m:e>
                  <m:sub>
                    <m:r>
                      <m:t>1</m:t>
                    </m:r>
                    <m:r>
                      <m:rPr>
                        <m:lit/>
                      </m:rPr>
                      <m:t>/</m:t>
                    </m:r>
                    <m:r>
                      <m:t>2</m:t>
                    </m:r>
                  </m:sub>
                </m:sSub>
                <m:r xmlns:m="http://schemas.openxmlformats.org/officeDocument/2006/math">
                  <m:t xmlns:m="http://schemas.openxmlformats.org/officeDocument/2006/math"> = </m:t>
                </m:r>
                <m:r xmlns:m="http://schemas.openxmlformats.org/officeDocument/2006/math">
                  <m:t xmlns:m="http://schemas.openxmlformats.org/officeDocument/2006/math">𝜏</m:t>
                </m:r>
                <m:r xmlns:m="http://schemas.openxmlformats.org/officeDocument/2006/math">
                  <m:t xmlns:m="http://schemas.openxmlformats.org/officeDocument/2006/math"> </m:t>
                </m:r>
                <m:func xmlns:m="http://schemas.openxmlformats.org/officeDocument/2006/math">
                  <m:funcPr>
                    <m:ctrlPr/>
                  </m:funcPr>
                  <m:fName>
                    <m:r>
                      <m:rPr>
                        <m:sty m:val="p"/>
                      </m:rPr>
                      <m:t>ln</m:t>
                    </m:r>
                  </m:fName>
                  <m:e>
                    <m:d>
                      <m:dPr>
                        <m:ctrlPr/>
                      </m:dPr>
                      <m:e>
                        <m:r>
                          <m:t>2</m:t>
                        </m:r>
                      </m:e>
                    </m:d>
                  </m:e>
                </m:func>
              </m:oMath>
            </m:oMathPara>
          </w:p>
        </w:tc>
        <w:tc>
          <w:tcPr>
            <w:tcW w:w="3120" w:type="dxa"/>
            <w:tcMar/>
          </w:tcPr>
          <w:p w:rsidR="30DB5B6D" w:rsidP="552647CF" w:rsidRDefault="30DB5B6D" w14:paraId="5D70EDB4" w14:textId="2324A8D4">
            <w:pPr>
              <w:pStyle w:val="Normal"/>
              <w:jc w:val="right"/>
              <w:rPr>
                <w:lang w:val="en-US"/>
              </w:rPr>
            </w:pPr>
            <w:r w:rsidRPr="552647CF" w:rsidR="30DB5B6D">
              <w:rPr>
                <w:lang w:val="en-US"/>
              </w:rPr>
              <w:t>(3)</w:t>
            </w:r>
          </w:p>
        </w:tc>
      </w:tr>
    </w:tbl>
    <w:p w:rsidR="008272A7" w:rsidP="552647CF" w:rsidRDefault="008272A7" w14:paraId="049F31CB" w14:noSpellErr="1" w14:textId="2CEDBE89">
      <w:pPr>
        <w:jc w:val="center"/>
      </w:pPr>
    </w:p>
    <w:p w:rsidR="008272A7" w:rsidP="5F8845F1" w:rsidRDefault="00AD4AFD" w14:paraId="3180BD7E" w14:textId="34394547">
      <w:pPr>
        <w:rPr>
          <w:lang w:val="en-US"/>
        </w:rPr>
      </w:pPr>
      <w:r w:rsidRPr="5F8845F1" w:rsidR="00AD4AFD">
        <w:rPr>
          <w:lang w:val="en-US"/>
        </w:rPr>
        <w:t>To perform the method of least squares or least</w:t>
      </w:r>
      <w:r w:rsidRPr="5F8845F1" w:rsidR="66BBE0A4">
        <w:rPr>
          <w:lang w:val="en-US"/>
        </w:rP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5F8845F1" w:rsidR="00AD4AFD">
        <w:rPr>
          <w:lang w:val="en-US"/>
        </w:rPr>
        <w:t xml:space="preserve"> , we plot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func>
      </m:oMath>
      <w:r w:rsidRPr="5F8845F1" w:rsidR="00AD4AFD">
        <w:rPr>
          <w:lang w:val="en-US"/>
        </w:rPr>
        <w:t>. We will obtain a straight line where the coefficients A and B are described by (4)</w:t>
      </w:r>
      <w:r w:rsidRPr="5F8845F1" w:rsidR="2835587F">
        <w:rPr>
          <w:lang w:val="en-US"/>
        </w:rPr>
        <w:t>.</w:t>
      </w:r>
    </w:p>
    <w:p w:rsidR="552647CF" w:rsidP="552647CF" w:rsidRDefault="552647CF" w14:paraId="2FBD2827" w14:textId="414F58CE">
      <w:pPr>
        <w:rPr>
          <w:lang w:val="en-US"/>
        </w:rPr>
      </w:pP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2115"/>
        <w:gridCol w:w="5040"/>
        <w:gridCol w:w="2205"/>
      </w:tblGrid>
      <w:tr w:rsidR="552647CF" w:rsidTr="552647CF" w14:paraId="3C713EE6">
        <w:trPr>
          <w:trHeight w:val="300"/>
        </w:trPr>
        <w:tc>
          <w:tcPr>
            <w:tcW w:w="2115" w:type="dxa"/>
            <w:tcMar/>
          </w:tcPr>
          <w:p w:rsidR="552647CF" w:rsidP="552647CF" w:rsidRDefault="552647CF" w14:paraId="7529BD02" w14:textId="3B50ECE4">
            <w:pPr>
              <w:pStyle w:val="Normal"/>
            </w:pPr>
          </w:p>
        </w:tc>
        <w:tc>
          <w:tcPr>
            <w:tcW w:w="5040" w:type="dxa"/>
            <w:tcMar/>
          </w:tcPr>
          <w:p w:rsidR="552647CF" w:rsidP="552647CF" w:rsidRDefault="552647CF" w14:paraId="7623EDC2" w14:textId="40D28524">
            <w:pPr>
              <w:pStyle w:val="Normal"/>
              <w:jc w:val="center"/>
            </w:pPr>
            <m:oMathPara xmlns:m="http://schemas.openxmlformats.org/officeDocument/2006/math">
              <m:oMath xmlns:m="http://schemas.openxmlformats.org/officeDocument/2006/math">
                <m:func xmlns:m="http://schemas.openxmlformats.org/officeDocument/2006/math">
                  <m:funcPr>
                    <m:ctrlPr/>
                  </m:funcPr>
                  <m:fName>
                    <m:r>
                      <m:rPr>
                        <m:sty m:val="p"/>
                      </m:rPr>
                      <m:t>ln</m:t>
                    </m:r>
                  </m:fName>
                  <m:e>
                    <m:d>
                      <m:dPr>
                        <m:ctrlPr/>
                      </m:dPr>
                      <m:e>
                        <m:r>
                          <m:t>𝐷</m:t>
                        </m:r>
                      </m:e>
                    </m:d>
                  </m:e>
                </m:func>
                <m:r xmlns:m="http://schemas.openxmlformats.org/officeDocument/2006/math">
                  <m:t xmlns:m="http://schemas.openxmlformats.org/officeDocument/2006/math"> = </m:t>
                </m:r>
                <m:func xmlns:m="http://schemas.openxmlformats.org/officeDocument/2006/math">
                  <m:funcPr>
                    <m:ctrlPr/>
                  </m:funcPr>
                  <m:fName>
                    <m:r>
                      <m:rPr>
                        <m:sty m:val="p"/>
                      </m:rPr>
                      <m:t>ln</m:t>
                    </m:r>
                  </m:fName>
                  <m:e>
                    <m:d>
                      <m:dPr>
                        <m:ctrlPr/>
                      </m:dPr>
                      <m:e>
                        <m:sSub>
                          <m:sSubPr>
                            <m:ctrlPr/>
                          </m:sSubPr>
                          <m:e>
                            <m:r>
                              <m:t>𝐷</m:t>
                            </m:r>
                          </m:e>
                          <m:sub>
                            <m:r>
                              <m:t>0</m:t>
                            </m:r>
                          </m:sub>
                        </m:sSub>
                      </m:e>
                    </m:d>
                  </m:e>
                </m:func>
                <m:r xmlns:m="http://schemas.openxmlformats.org/officeDocument/2006/math">
                  <m:t xmlns:m="http://schemas.openxmlformats.org/officeDocument/2006/math"> − </m:t>
                </m:r>
                <m:r xmlns:m="http://schemas.openxmlformats.org/officeDocument/2006/math">
                  <m:t xmlns:m="http://schemas.openxmlformats.org/officeDocument/2006/math">𝑡</m:t>
                </m:r>
                <m:r xmlns:m="http://schemas.openxmlformats.org/officeDocument/2006/math">
                  <m:t xmlns:m="http://schemas.openxmlformats.org/officeDocument/2006/math"> </m:t>
                </m:r>
                <m:r xmlns:m="http://schemas.openxmlformats.org/officeDocument/2006/math">
                  <m:rPr xmlns:m="http://schemas.openxmlformats.org/officeDocument/2006/math">
                    <m:lit/>
                  </m:rPr>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𝜏</m:t>
                </m:r>
                <m:r xmlns:m="http://schemas.openxmlformats.org/officeDocument/2006/math">
                  <m:t xmlns:m="http://schemas.openxmlformats.org/officeDocument/2006/math"> = </m:t>
                </m:r>
                <m:r xmlns:m="http://schemas.openxmlformats.org/officeDocument/2006/math">
                  <m:t xmlns:m="http://schemas.openxmlformats.org/officeDocument/2006/math">𝐴</m:t>
                </m:r>
                <m:r xmlns:m="http://schemas.openxmlformats.org/officeDocument/2006/math">
                  <m:t xmlns:m="http://schemas.openxmlformats.org/officeDocument/2006/math"> + </m:t>
                </m:r>
                <m:r xmlns:m="http://schemas.openxmlformats.org/officeDocument/2006/math">
                  <m:t xmlns:m="http://schemas.openxmlformats.org/officeDocument/2006/math">𝐵𝑡</m:t>
                </m:r>
              </m:oMath>
            </m:oMathPara>
          </w:p>
        </w:tc>
        <w:tc>
          <w:tcPr>
            <w:tcW w:w="2205" w:type="dxa"/>
            <w:tcMar/>
          </w:tcPr>
          <w:p w:rsidR="78679B6A" w:rsidP="552647CF" w:rsidRDefault="78679B6A" w14:paraId="39973E3D" w14:textId="63F5A153">
            <w:pPr>
              <w:pStyle w:val="Normal"/>
              <w:jc w:val="right"/>
            </w:pPr>
            <w:r w:rsidR="78679B6A">
              <w:rPr/>
              <w:t>(4)</w:t>
            </w:r>
          </w:p>
        </w:tc>
      </w:tr>
    </w:tbl>
    <w:p w:rsidR="5F8845F1" w:rsidP="5F8845F1" w:rsidRDefault="00176C57" w14:paraId="75F344FC" w14:noSpellErr="1" w14:textId="60FF9432">
      <w:pPr>
        <w:jc w:val="center"/>
      </w:pPr>
    </w:p>
    <w:p w:rsidR="008272A7" w:rsidP="5F8845F1" w:rsidRDefault="00AD4AFD" w14:paraId="7B3044EC" w14:textId="09E427CA">
      <w:pPr>
        <w:rPr>
          <w:lang w:val="en-US"/>
        </w:rPr>
      </w:pPr>
      <w:r w:rsidRPr="5F8845F1">
        <w:rPr>
          <w:lang w:val="en-US"/>
        </w:rPr>
        <w:t>Choosing the “best,” line, we assume that each time increment</w:t>
      </w:r>
      <w:r w:rsidRPr="5F8845F1" w:rsidR="2CC536B2">
        <w:rPr>
          <w:lang w:val="en-US"/>
        </w:rPr>
        <w:t xml:space="preserve"> is assumed to have no error,</w:t>
      </w:r>
      <w:r w:rsidRPr="5F8845F1">
        <w:rPr>
          <w:lang w:val="en-US"/>
        </w:rPr>
        <w:t xml:space="preserve"> </w:t>
      </w:r>
      <m:oMath>
        <m:d>
          <m:dPr>
            <m:ctrlPr>
              <w:rPr>
                <w:rFonts w:ascii="Cambria Math" w:hAnsi="Cambria Math"/>
              </w:rPr>
            </m:ctrlPr>
          </m:dPr>
          <m:e>
            <m:r>
              <w:rPr>
                <w:rFonts w:ascii="Cambria Math" w:hAnsi="Cambria Math"/>
              </w:rPr>
              <m:t>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  , … , </m:t>
            </m:r>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 = 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 , … , </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 </m:t>
        </m:r>
      </m:oMath>
      <w:r w:rsidRPr="5F8845F1" w:rsidR="7D6C6487">
        <w:rPr>
          <w:lang w:val="en-US"/>
        </w:rPr>
        <w:t>,</w:t>
      </w:r>
      <w:r w:rsidRPr="5F8845F1">
        <w:rPr>
          <w:lang w:val="en-US"/>
        </w:rPr>
        <w:t xml:space="preserve"> and each decay count is represented as </w:t>
      </w:r>
      <m:oMath>
        <m:func>
          <m:funcPr>
            <m:ctrlPr>
              <w:rPr>
                <w:rFonts w:ascii="Cambria Math" w:hAnsi="Cambria Math"/>
              </w:rPr>
            </m:ctrlPr>
          </m:funcPr>
          <m:fName>
            <m:r>
              <m:rPr>
                <m:sty m:val="p"/>
              </m:rPr>
              <w:rPr>
                <w:rFonts w:ascii="Cambria Math" w:hAnsi="Cambria Math"/>
              </w:rPr>
              <m:t>ln</m:t>
            </m:r>
          </m:fName>
          <m:e/>
        </m:func>
        <m:r>
          <w:rPr>
            <w:rFonts w:ascii="Cambria Math" w:hAnsi="Cambria Math"/>
          </w:rPr>
          <m:t> </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 = </m:t>
        </m:r>
        <m:sSub>
          <m:sSubPr>
            <m:ctrlPr>
              <w:rPr>
                <w:rFonts w:ascii="Cambria Math" w:hAnsi="Cambria Math"/>
              </w:rPr>
            </m:ctrlPr>
          </m:sSubPr>
          <m:e>
            <m:r>
              <w:rPr>
                <w:rFonts w:ascii="Cambria Math" w:hAnsi="Cambria Math"/>
              </w:rPr>
              <m:t>y</m:t>
            </m:r>
          </m:e>
          <m:sub>
            <m:r>
              <w:rPr>
                <w:rFonts w:ascii="Cambria Math" w:hAnsi="Cambria Math"/>
              </w:rPr>
              <m:t>n</m:t>
            </m:r>
          </m:sub>
        </m:sSub>
      </m:oMath>
      <w:r w:rsidRPr="5F8845F1">
        <w:rPr>
          <w:lang w:val="en-US"/>
        </w:rPr>
        <w:t xml:space="preserve"> </w:t>
      </w:r>
      <w:bookmarkStart w:name="_Int_ZiqcJA3l" w:id="1"/>
      <w:r w:rsidRPr="5F8845F1">
        <w:rPr>
          <w:lang w:val="en-US"/>
        </w:rPr>
        <w:t>and</w:t>
      </w:r>
      <w:bookmarkEnd w:id="1"/>
      <w:r w:rsidRPr="5F8845F1">
        <w:rPr>
          <w:lang w:val="en-US"/>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5F8845F1">
        <w:rPr>
          <w:lang w:val="en-US"/>
        </w:rPr>
        <w:t xml:space="preserve"> , which is any measurement </w:t>
      </w:r>
      <m:oMath>
        <m:func>
          <m:funcPr>
            <m:ctrlPr>
              <w:rPr>
                <w:rFonts w:ascii="Cambria Math" w:hAnsi="Cambria Math"/>
              </w:rPr>
            </m:ctrlPr>
          </m:funcPr>
          <m:fName>
            <m:r>
              <m:rPr>
                <m:sty m:val="p"/>
              </m:rPr>
              <w:rPr>
                <w:rFonts w:ascii="Cambria Math" w:hAnsi="Cambria Math"/>
              </w:rPr>
              <m:t>ln</m:t>
            </m:r>
          </m:fName>
          <m:e/>
        </m:func>
        <m:r>
          <w:rPr>
            <w:rFonts w:ascii="Cambria Math" w:hAnsi="Cambria Math"/>
          </w:rPr>
          <m:t> </m:t>
        </m:r>
        <m:sSub>
          <m:sSubPr>
            <m:ctrlPr>
              <w:rPr>
                <w:rFonts w:ascii="Cambria Math" w:hAnsi="Cambria Math"/>
              </w:rPr>
            </m:ctrlPr>
          </m:sSubPr>
          <m:e>
            <m:r>
              <w:rPr>
                <w:rFonts w:ascii="Cambria Math" w:hAnsi="Cambria Math"/>
              </w:rPr>
              <m:t>D</m:t>
            </m:r>
          </m:e>
          <m:sub>
            <m:r>
              <w:rPr>
                <w:rFonts w:ascii="Cambria Math" w:hAnsi="Cambria Math"/>
              </w:rPr>
              <m:t>i</m:t>
            </m:r>
          </m:sub>
        </m:sSub>
      </m:oMath>
      <w:r w:rsidRPr="5F8845F1">
        <w:rPr>
          <w:lang w:val="en-US"/>
        </w:rPr>
        <w:t xml:space="preserve"> , is assumed to have uncertainty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Pr="5F8845F1">
        <w:rPr>
          <w:lang w:val="en-US"/>
        </w:rPr>
        <w:t xml:space="preserve"> . We then “fit,” the straight line so that the overall discrepancy between the “true,” value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5F8845F1">
        <w:rPr>
          <w:lang w:val="en-US"/>
        </w:rPr>
        <w:t xml:space="preserve"> for each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5F8845F1" w:rsidR="6EF17767">
        <w:rPr>
          <w:lang w:val="en-US"/>
        </w:rPr>
        <w:t xml:space="preserve"> </w:t>
      </w:r>
      <w:r w:rsidRPr="5F8845F1">
        <w:rPr>
          <w:lang w:val="en-US"/>
        </w:rPr>
        <w:t xml:space="preserve">is minimized for the line </w:t>
      </w:r>
      <m:oMath>
        <m:sSub>
          <m:sSubPr>
            <m:ctrlPr>
              <w:rPr>
                <w:rFonts w:ascii="Cambria Math" w:hAnsi="Cambria Math"/>
              </w:rPr>
            </m:ctrlPr>
          </m:sSubPr>
          <m:e>
            <m:r>
              <w:rPr>
                <w:rFonts w:ascii="Cambria Math" w:hAnsi="Cambria Math"/>
              </w:rPr>
              <m:t>Y</m:t>
            </m:r>
          </m:e>
          <m:sub>
            <m:r>
              <w:rPr>
                <w:rFonts w:ascii="Cambria Math" w:hAnsi="Cambria Math"/>
              </w:rPr>
              <m:t>i </m:t>
            </m:r>
          </m:sub>
        </m:sSub>
        <m:r>
          <w:rPr>
            <w:rFonts w:ascii="Cambria Math" w:hAnsi="Cambria Math"/>
          </w:rPr>
          <m:t> = A + B</m:t>
        </m:r>
        <m:sSub>
          <m:sSubPr>
            <m:ctrlPr>
              <w:rPr>
                <w:rFonts w:ascii="Cambria Math" w:hAnsi="Cambria Math"/>
              </w:rPr>
            </m:ctrlPr>
          </m:sSubPr>
          <m:e>
            <m:r>
              <w:rPr>
                <w:rFonts w:ascii="Cambria Math" w:hAnsi="Cambria Math"/>
              </w:rPr>
              <m:t>x</m:t>
            </m:r>
          </m:e>
          <m:sub>
            <m:r>
              <w:rPr>
                <w:rFonts w:ascii="Cambria Math" w:hAnsi="Cambria Math"/>
              </w:rPr>
              <m:t>i</m:t>
            </m:r>
          </m:sub>
        </m:sSub>
      </m:oMath>
      <w:r w:rsidRPr="5F8845F1" w:rsidR="0B259953">
        <w:rPr>
          <w:lang w:val="en-US"/>
        </w:rPr>
        <w:t>.</w:t>
      </w:r>
    </w:p>
    <w:p w:rsidR="008272A7" w:rsidRDefault="008272A7" w14:paraId="4B99056E" w14:textId="77777777"/>
    <w:p w:rsidR="008272A7" w:rsidRDefault="00AD4AFD" w14:paraId="1BEEE689" w14:textId="5E0F4150">
      <w:r>
        <w:t xml:space="preserve">We define the quantity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as the sum of the squared differences between the observed values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and the predicted values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divided by the square of the uncertainty for each data point, given by Eq. (5). We then differentiate Eq. (5) with respect to A and B to minimize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 setting the results equal to zero and solving for A and B as shown in Equations (6, 7, 8), where</w:t>
      </w:r>
    </w:p>
    <w:p w:rsidR="008272A7" w:rsidRDefault="00AD4AFD" w14:paraId="2246A1AD" w14:textId="6CB38EDB">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 = 1 </m:t>
        </m:r>
        <m:r>
          <m:rPr>
            <m:lit/>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p>
    <w:p w:rsidR="008272A7" w:rsidRDefault="008272A7" w14:paraId="1299C43A" w14:textId="77777777"/>
    <w:tbl>
      <w:tblPr>
        <w:tblW w:w="936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Look w:val="0600" w:firstRow="0" w:lastRow="0" w:firstColumn="0" w:lastColumn="0" w:noHBand="1" w:noVBand="1"/>
      </w:tblPr>
      <w:tblGrid>
        <w:gridCol w:w="810"/>
        <w:gridCol w:w="7740"/>
        <w:gridCol w:w="810"/>
      </w:tblGrid>
      <w:tr w:rsidR="008272A7" w:rsidTr="5F8845F1" w14:paraId="48A3CE56" w14:textId="77777777">
        <w:tc>
          <w:tcPr>
            <w:tcW w:w="810" w:type="dxa"/>
            <w:shd w:val="clear" w:color="auto" w:fill="auto"/>
            <w:tcMar>
              <w:top w:w="100" w:type="dxa"/>
              <w:left w:w="100" w:type="dxa"/>
              <w:bottom w:w="100" w:type="dxa"/>
              <w:right w:w="100" w:type="dxa"/>
            </w:tcMar>
          </w:tcPr>
          <w:p w:rsidR="008272A7" w:rsidRDefault="008272A7" w14:paraId="4DDBEF00" w14:textId="77777777">
            <w:pPr>
              <w:widowControl w:val="0"/>
              <w:spacing w:line="240" w:lineRule="auto"/>
            </w:pPr>
          </w:p>
        </w:tc>
        <w:tc>
          <w:tcPr>
            <w:tcW w:w="7740" w:type="dxa"/>
            <w:shd w:val="clear" w:color="auto" w:fill="auto"/>
            <w:tcMar>
              <w:top w:w="100" w:type="dxa"/>
              <w:left w:w="100" w:type="dxa"/>
              <w:bottom w:w="100" w:type="dxa"/>
              <w:right w:w="100" w:type="dxa"/>
            </w:tcMar>
          </w:tcPr>
          <w:p w:rsidR="008272A7" w:rsidRDefault="00176C57" w14:paraId="64E04811" w14:textId="0AB26C68">
            <w:pPr>
              <w:widowControl w:val="0"/>
              <w:spacing w:line="240" w:lineRule="auto"/>
              <w:jc w:val="center"/>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 = </m:t>
                </m:r>
                <m:nary>
                  <m:naryPr>
                    <m:chr m:val="∑"/>
                    <m:ctrlPr>
                      <w:rPr>
                        <w:rFonts w:ascii="Cambria Math" w:hAnsi="Cambria Math"/>
                      </w:rPr>
                    </m:ctrlPr>
                  </m:naryPr>
                  <m:sub>
                    <m:r>
                      <w:rPr>
                        <w:rFonts w:ascii="Cambria Math" w:hAnsi="Cambria Math"/>
                      </w:rPr>
                      <m:t> </m:t>
                    </m:r>
                  </m:sub>
                  <m:sup>
                    <m:r>
                      <w:rPr>
                        <w:rFonts w:ascii="Cambria Math" w:hAnsi="Cambria Math"/>
                      </w:rPr>
                      <m:t> </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tc>
        <w:tc>
          <w:tcPr>
            <w:tcW w:w="810" w:type="dxa"/>
            <w:shd w:val="clear" w:color="auto" w:fill="auto"/>
            <w:tcMar>
              <w:top w:w="100" w:type="dxa"/>
              <w:left w:w="100" w:type="dxa"/>
              <w:bottom w:w="100" w:type="dxa"/>
              <w:right w:w="100" w:type="dxa"/>
            </w:tcMar>
          </w:tcPr>
          <w:p w:rsidR="008272A7" w:rsidRDefault="00AD4AFD" w14:paraId="40D71ED4" w14:textId="77777777">
            <w:pPr>
              <w:widowControl w:val="0"/>
              <w:spacing w:line="240" w:lineRule="auto"/>
              <w:jc w:val="right"/>
              <w:rPr>
                <w:i/>
              </w:rPr>
            </w:pPr>
            <w:r>
              <w:rPr>
                <w:i/>
              </w:rPr>
              <w:t>(5)</w:t>
            </w:r>
          </w:p>
        </w:tc>
      </w:tr>
      <w:tr w:rsidR="5F8845F1" w:rsidTr="5F8845F1" w14:paraId="0BFAE133" w14:textId="77777777">
        <w:trPr>
          <w:trHeight w:val="300"/>
        </w:trPr>
        <w:tc>
          <w:tcPr>
            <w:tcW w:w="810" w:type="dxa"/>
            <w:shd w:val="clear" w:color="auto" w:fill="auto"/>
            <w:tcMar>
              <w:top w:w="100" w:type="dxa"/>
              <w:left w:w="100" w:type="dxa"/>
              <w:bottom w:w="100" w:type="dxa"/>
              <w:right w:w="100" w:type="dxa"/>
            </w:tcMar>
          </w:tcPr>
          <w:p w:rsidR="5F8845F1" w:rsidP="5F8845F1" w:rsidRDefault="5F8845F1" w14:paraId="65180F91" w14:textId="6D894B06">
            <w:pPr>
              <w:spacing w:line="240" w:lineRule="auto"/>
            </w:pPr>
          </w:p>
        </w:tc>
        <w:tc>
          <w:tcPr>
            <w:tcW w:w="7740" w:type="dxa"/>
            <w:shd w:val="clear" w:color="auto" w:fill="auto"/>
            <w:tcMar>
              <w:top w:w="100" w:type="dxa"/>
              <w:left w:w="100" w:type="dxa"/>
              <w:bottom w:w="100" w:type="dxa"/>
              <w:right w:w="100" w:type="dxa"/>
            </w:tcMar>
          </w:tcPr>
          <w:p w:rsidR="5F8845F1" w:rsidP="5F8845F1" w:rsidRDefault="5F8845F1" w14:paraId="6C9808E9" w14:textId="1D24B509">
            <w:pPr>
              <w:spacing w:line="240" w:lineRule="auto"/>
              <w:jc w:val="center"/>
            </w:pPr>
          </w:p>
        </w:tc>
        <w:tc>
          <w:tcPr>
            <w:tcW w:w="810" w:type="dxa"/>
            <w:shd w:val="clear" w:color="auto" w:fill="auto"/>
            <w:tcMar>
              <w:top w:w="100" w:type="dxa"/>
              <w:left w:w="100" w:type="dxa"/>
              <w:bottom w:w="100" w:type="dxa"/>
              <w:right w:w="100" w:type="dxa"/>
            </w:tcMar>
          </w:tcPr>
          <w:p w:rsidR="5F8845F1" w:rsidP="5F8845F1" w:rsidRDefault="5F8845F1" w14:paraId="6125CF16" w14:textId="7122B9CE">
            <w:pPr>
              <w:spacing w:line="240" w:lineRule="auto"/>
              <w:jc w:val="right"/>
              <w:rPr>
                <w:i/>
                <w:iCs/>
              </w:rPr>
            </w:pPr>
          </w:p>
        </w:tc>
      </w:tr>
      <w:tr w:rsidR="008272A7" w:rsidTr="5F8845F1" w14:paraId="4F4CFBAB" w14:textId="77777777">
        <w:tc>
          <w:tcPr>
            <w:tcW w:w="810" w:type="dxa"/>
            <w:shd w:val="clear" w:color="auto" w:fill="auto"/>
            <w:tcMar>
              <w:top w:w="100" w:type="dxa"/>
              <w:left w:w="100" w:type="dxa"/>
              <w:bottom w:w="100" w:type="dxa"/>
              <w:right w:w="100" w:type="dxa"/>
            </w:tcMar>
          </w:tcPr>
          <w:p w:rsidR="008272A7" w:rsidRDefault="008272A7" w14:paraId="3461D779" w14:textId="77777777">
            <w:pPr>
              <w:widowControl w:val="0"/>
              <w:spacing w:line="240" w:lineRule="auto"/>
            </w:pPr>
          </w:p>
        </w:tc>
        <w:tc>
          <w:tcPr>
            <w:tcW w:w="7740" w:type="dxa"/>
            <w:shd w:val="clear" w:color="auto" w:fill="auto"/>
            <w:tcMar>
              <w:top w:w="100" w:type="dxa"/>
              <w:left w:w="100" w:type="dxa"/>
              <w:bottom w:w="100" w:type="dxa"/>
              <w:right w:w="100" w:type="dxa"/>
            </w:tcMar>
          </w:tcPr>
          <w:p w:rsidR="008272A7" w:rsidRDefault="00AD4AFD" w14:paraId="37279673" w14:textId="1CFF7BA6">
            <w:pPr>
              <w:widowControl w:val="0"/>
              <w:spacing w:line="240" w:lineRule="auto"/>
              <w:jc w:val="center"/>
            </w:pPr>
            <m:oMathPara>
              <m:oMath>
                <m:r>
                  <w:rPr>
                    <w:rFonts w:ascii="Cambria Math" w:hAnsi="Cambria Math"/>
                  </w:rPr>
                  <m:t>A = </m:t>
                </m:r>
                <m:f>
                  <m:fPr>
                    <m:ctrlPr>
                      <w:rPr>
                        <w:rFonts w:ascii="Cambria Math" w:hAnsi="Cambria Math"/>
                      </w:rPr>
                    </m:ctrlPr>
                  </m:fPr>
                  <m:num>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d>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 - </m:t>
                    </m:r>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d>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d>
                  </m:num>
                  <m:den>
                    <m:r>
                      <m:rPr>
                        <m:sty m:val="p"/>
                      </m:rPr>
                      <w:rPr>
                        <w:rFonts w:ascii="Cambria Math" w:hAnsi="Cambria Math"/>
                      </w:rPr>
                      <m:t>Δ</m:t>
                    </m:r>
                  </m:den>
                </m:f>
              </m:oMath>
            </m:oMathPara>
          </w:p>
        </w:tc>
        <w:tc>
          <w:tcPr>
            <w:tcW w:w="810" w:type="dxa"/>
            <w:shd w:val="clear" w:color="auto" w:fill="auto"/>
            <w:tcMar>
              <w:top w:w="100" w:type="dxa"/>
              <w:left w:w="100" w:type="dxa"/>
              <w:bottom w:w="100" w:type="dxa"/>
              <w:right w:w="100" w:type="dxa"/>
            </w:tcMar>
          </w:tcPr>
          <w:p w:rsidR="008272A7" w:rsidRDefault="00AD4AFD" w14:paraId="449C1992" w14:textId="77777777">
            <w:pPr>
              <w:widowControl w:val="0"/>
              <w:spacing w:line="240" w:lineRule="auto"/>
              <w:jc w:val="right"/>
              <w:rPr>
                <w:i/>
              </w:rPr>
            </w:pPr>
            <w:r>
              <w:rPr>
                <w:i/>
              </w:rPr>
              <w:t>(6)</w:t>
            </w:r>
          </w:p>
        </w:tc>
      </w:tr>
      <w:tr w:rsidR="5F8845F1" w:rsidTr="5F8845F1" w14:paraId="519C07B2" w14:textId="77777777">
        <w:trPr>
          <w:trHeight w:val="300"/>
        </w:trPr>
        <w:tc>
          <w:tcPr>
            <w:tcW w:w="810" w:type="dxa"/>
            <w:shd w:val="clear" w:color="auto" w:fill="auto"/>
            <w:tcMar>
              <w:top w:w="100" w:type="dxa"/>
              <w:left w:w="100" w:type="dxa"/>
              <w:bottom w:w="100" w:type="dxa"/>
              <w:right w:w="100" w:type="dxa"/>
            </w:tcMar>
          </w:tcPr>
          <w:p w:rsidR="5F8845F1" w:rsidP="5F8845F1" w:rsidRDefault="5F8845F1" w14:paraId="0CACE43C" w14:textId="000B97BB">
            <w:pPr>
              <w:spacing w:line="240" w:lineRule="auto"/>
            </w:pPr>
          </w:p>
        </w:tc>
        <w:tc>
          <w:tcPr>
            <w:tcW w:w="7740" w:type="dxa"/>
            <w:shd w:val="clear" w:color="auto" w:fill="auto"/>
            <w:tcMar>
              <w:top w:w="100" w:type="dxa"/>
              <w:left w:w="100" w:type="dxa"/>
              <w:bottom w:w="100" w:type="dxa"/>
              <w:right w:w="100" w:type="dxa"/>
            </w:tcMar>
          </w:tcPr>
          <w:p w:rsidR="5F8845F1" w:rsidP="5F8845F1" w:rsidRDefault="5F8845F1" w14:paraId="7DB06747" w14:textId="2918C716">
            <w:pPr>
              <w:spacing w:line="240" w:lineRule="auto"/>
              <w:jc w:val="center"/>
            </w:pPr>
          </w:p>
        </w:tc>
        <w:tc>
          <w:tcPr>
            <w:tcW w:w="810" w:type="dxa"/>
            <w:shd w:val="clear" w:color="auto" w:fill="auto"/>
            <w:tcMar>
              <w:top w:w="100" w:type="dxa"/>
              <w:left w:w="100" w:type="dxa"/>
              <w:bottom w:w="100" w:type="dxa"/>
              <w:right w:w="100" w:type="dxa"/>
            </w:tcMar>
          </w:tcPr>
          <w:p w:rsidR="5F8845F1" w:rsidP="5F8845F1" w:rsidRDefault="5F8845F1" w14:paraId="5E6560DA" w14:textId="17EF18A8">
            <w:pPr>
              <w:spacing w:line="240" w:lineRule="auto"/>
              <w:jc w:val="right"/>
              <w:rPr>
                <w:i/>
                <w:iCs/>
              </w:rPr>
            </w:pPr>
          </w:p>
        </w:tc>
      </w:tr>
      <w:tr w:rsidR="008272A7" w:rsidTr="5F8845F1" w14:paraId="7D0E8500" w14:textId="77777777">
        <w:tc>
          <w:tcPr>
            <w:tcW w:w="810" w:type="dxa"/>
            <w:shd w:val="clear" w:color="auto" w:fill="auto"/>
            <w:tcMar>
              <w:top w:w="100" w:type="dxa"/>
              <w:left w:w="100" w:type="dxa"/>
              <w:bottom w:w="100" w:type="dxa"/>
              <w:right w:w="100" w:type="dxa"/>
            </w:tcMar>
          </w:tcPr>
          <w:p w:rsidR="008272A7" w:rsidRDefault="008272A7" w14:paraId="3CF2D8B6" w14:textId="77777777">
            <w:pPr>
              <w:widowControl w:val="0"/>
              <w:spacing w:line="240" w:lineRule="auto"/>
            </w:pPr>
          </w:p>
        </w:tc>
        <w:tc>
          <w:tcPr>
            <w:tcW w:w="7740" w:type="dxa"/>
            <w:shd w:val="clear" w:color="auto" w:fill="auto"/>
            <w:tcMar>
              <w:top w:w="100" w:type="dxa"/>
              <w:left w:w="100" w:type="dxa"/>
              <w:bottom w:w="100" w:type="dxa"/>
              <w:right w:w="100" w:type="dxa"/>
            </w:tcMar>
          </w:tcPr>
          <w:p w:rsidR="008272A7" w:rsidRDefault="00AD4AFD" w14:paraId="524ABCAF" w14:textId="28F81ACC">
            <w:pPr>
              <w:widowControl w:val="0"/>
              <w:spacing w:line="240" w:lineRule="auto"/>
              <w:jc w:val="center"/>
            </w:pPr>
            <m:oMathPara>
              <m:oMath>
                <m:r>
                  <w:rPr>
                    <w:rFonts w:ascii="Cambria Math" w:hAnsi="Cambria Math"/>
                  </w:rPr>
                  <m:t>B = </m:t>
                </m:r>
                <m:f>
                  <m:fPr>
                    <m:ctrlPr>
                      <w:rPr>
                        <w:rFonts w:ascii="Cambria Math" w:hAnsi="Cambria Math"/>
                      </w:rPr>
                    </m:ctrlPr>
                  </m:fPr>
                  <m:num>
                    <m:d>
                      <m:dPr>
                        <m:ctrlPr>
                          <w:rPr>
                            <w:rFonts w:ascii="Cambria Math" w:hAnsi="Cambria Math"/>
                          </w:rPr>
                        </m:ctrlPr>
                      </m:dPr>
                      <m:e>
                        <m:nary>
                          <m:naryPr>
                            <m:chr m:val="∑"/>
                            <m:ctrlPr>
                              <w:rPr>
                                <w:rFonts w:ascii="Cambria Math" w:hAnsi="Cambria Math"/>
                              </w:rPr>
                            </m:ctrlPr>
                          </m:naryPr>
                          <m:sub>
                            <m:r>
                              <m:rPr>
                                <m:nor/>
                              </m:rPr>
                              <m:t> </m:t>
                            </m:r>
                          </m:sub>
                          <m:sup>
                            <m:r>
                              <m:rPr>
                                <m:nor/>
                              </m:rPr>
                              <m:t> </m:t>
                            </m:r>
                          </m:sup>
                          <m:e>
                            <m:sSub>
                              <m:sSubPr>
                                <m:ctrlPr>
                                  <w:rPr>
                                    <w:rFonts w:ascii="Cambria Math" w:hAnsi="Cambria Math"/>
                                  </w:rPr>
                                </m:ctrlPr>
                              </m:sSubPr>
                              <m:e>
                                <m:r>
                                  <m:rPr>
                                    <m:nor/>
                                  </m:rPr>
                                  <m:t>w</m:t>
                                </m:r>
                              </m:e>
                              <m:sub>
                                <w:proofErr w:type="spellStart"/>
                                <m:r>
                                  <m:rPr>
                                    <m:nor/>
                                  </m:rPr>
                                  <m:t>i</m:t>
                                </m:r>
                                <w:proofErr w:type="spellEnd"/>
                              </m:sub>
                            </m:sSub>
                          </m:e>
                        </m:nary>
                      </m:e>
                    </m:d>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 - </m:t>
                    </m:r>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d>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num>
                  <m:den>
                    <m:r>
                      <m:rPr>
                        <m:sty m:val="p"/>
                      </m:rPr>
                      <w:rPr>
                        <w:rFonts w:ascii="Cambria Math" w:hAnsi="Cambria Math"/>
                      </w:rPr>
                      <m:t>Δ</m:t>
                    </m:r>
                  </m:den>
                </m:f>
              </m:oMath>
            </m:oMathPara>
          </w:p>
        </w:tc>
        <w:tc>
          <w:tcPr>
            <w:tcW w:w="810" w:type="dxa"/>
            <w:shd w:val="clear" w:color="auto" w:fill="auto"/>
            <w:tcMar>
              <w:top w:w="100" w:type="dxa"/>
              <w:left w:w="100" w:type="dxa"/>
              <w:bottom w:w="100" w:type="dxa"/>
              <w:right w:w="100" w:type="dxa"/>
            </w:tcMar>
          </w:tcPr>
          <w:p w:rsidR="008272A7" w:rsidRDefault="00AD4AFD" w14:paraId="573EE86A" w14:textId="77777777">
            <w:pPr>
              <w:widowControl w:val="0"/>
              <w:spacing w:line="240" w:lineRule="auto"/>
              <w:jc w:val="right"/>
              <w:rPr>
                <w:i/>
              </w:rPr>
            </w:pPr>
            <w:r>
              <w:rPr>
                <w:i/>
              </w:rPr>
              <w:t>(7)</w:t>
            </w:r>
          </w:p>
        </w:tc>
      </w:tr>
      <w:tr w:rsidR="5F8845F1" w:rsidTr="5F8845F1" w14:paraId="743CAEE4" w14:textId="77777777">
        <w:trPr>
          <w:trHeight w:val="300"/>
        </w:trPr>
        <w:tc>
          <w:tcPr>
            <w:tcW w:w="810" w:type="dxa"/>
            <w:shd w:val="clear" w:color="auto" w:fill="auto"/>
            <w:tcMar>
              <w:top w:w="100" w:type="dxa"/>
              <w:left w:w="100" w:type="dxa"/>
              <w:bottom w:w="100" w:type="dxa"/>
              <w:right w:w="100" w:type="dxa"/>
            </w:tcMar>
          </w:tcPr>
          <w:p w:rsidR="5F8845F1" w:rsidP="5F8845F1" w:rsidRDefault="5F8845F1" w14:paraId="2545811D" w14:textId="7E69435E">
            <w:pPr>
              <w:spacing w:line="240" w:lineRule="auto"/>
            </w:pPr>
          </w:p>
        </w:tc>
        <w:tc>
          <w:tcPr>
            <w:tcW w:w="7740" w:type="dxa"/>
            <w:shd w:val="clear" w:color="auto" w:fill="auto"/>
            <w:tcMar>
              <w:top w:w="100" w:type="dxa"/>
              <w:left w:w="100" w:type="dxa"/>
              <w:bottom w:w="100" w:type="dxa"/>
              <w:right w:w="100" w:type="dxa"/>
            </w:tcMar>
          </w:tcPr>
          <w:p w:rsidR="5F8845F1" w:rsidP="5F8845F1" w:rsidRDefault="5F8845F1" w14:paraId="7C267079" w14:textId="4F0C5D1B">
            <w:pPr>
              <w:spacing w:line="240" w:lineRule="auto"/>
              <w:jc w:val="center"/>
            </w:pPr>
          </w:p>
        </w:tc>
        <w:tc>
          <w:tcPr>
            <w:tcW w:w="810" w:type="dxa"/>
            <w:shd w:val="clear" w:color="auto" w:fill="auto"/>
            <w:tcMar>
              <w:top w:w="100" w:type="dxa"/>
              <w:left w:w="100" w:type="dxa"/>
              <w:bottom w:w="100" w:type="dxa"/>
              <w:right w:w="100" w:type="dxa"/>
            </w:tcMar>
          </w:tcPr>
          <w:p w:rsidR="5F8845F1" w:rsidP="5F8845F1" w:rsidRDefault="5F8845F1" w14:paraId="1C8E37F1" w14:textId="7C756396">
            <w:pPr>
              <w:spacing w:line="240" w:lineRule="auto"/>
              <w:jc w:val="right"/>
              <w:rPr>
                <w:i/>
                <w:iCs/>
              </w:rPr>
            </w:pPr>
          </w:p>
        </w:tc>
      </w:tr>
      <w:tr w:rsidR="008272A7" w:rsidTr="5F8845F1" w14:paraId="3CFBE4DC" w14:textId="77777777">
        <w:tc>
          <w:tcPr>
            <w:tcW w:w="810" w:type="dxa"/>
            <w:shd w:val="clear" w:color="auto" w:fill="auto"/>
            <w:tcMar>
              <w:top w:w="100" w:type="dxa"/>
              <w:left w:w="100" w:type="dxa"/>
              <w:bottom w:w="100" w:type="dxa"/>
              <w:right w:w="100" w:type="dxa"/>
            </w:tcMar>
          </w:tcPr>
          <w:p w:rsidR="008272A7" w:rsidRDefault="008272A7" w14:paraId="0FB78278" w14:textId="77777777">
            <w:pPr>
              <w:widowControl w:val="0"/>
              <w:spacing w:line="240" w:lineRule="auto"/>
            </w:pPr>
          </w:p>
        </w:tc>
        <w:tc>
          <w:tcPr>
            <w:tcW w:w="7740" w:type="dxa"/>
            <w:shd w:val="clear" w:color="auto" w:fill="auto"/>
            <w:tcMar>
              <w:top w:w="100" w:type="dxa"/>
              <w:left w:w="100" w:type="dxa"/>
              <w:bottom w:w="100" w:type="dxa"/>
              <w:right w:w="100" w:type="dxa"/>
            </w:tcMar>
          </w:tcPr>
          <w:p w:rsidR="008272A7" w:rsidRDefault="00AD4AFD" w14:paraId="7DD79BBC" w14:textId="656DF313">
            <w:pPr>
              <w:widowControl w:val="0"/>
              <w:spacing w:line="240" w:lineRule="auto"/>
              <w:jc w:val="center"/>
            </w:pPr>
            <m:oMathPara>
              <m:oMath>
                <m:r>
                  <m:rPr>
                    <m:nor/>
                  </m:rPr>
                  <m:t>Δ</m:t>
                </m:r>
                <m:r>
                  <w:rPr>
                    <w:rFonts w:ascii="Cambria Math" w:hAnsi="Cambria Math"/>
                  </w:rPr>
                  <m:t> = </m:t>
                </m:r>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e>
                </m:d>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 - </m:t>
                </m:r>
                <m:sSup>
                  <m:sSupPr>
                    <m:ctrlPr>
                      <w:rPr>
                        <w:rFonts w:ascii="Cambria Math" w:hAnsi="Cambria Math"/>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oMath>
            </m:oMathPara>
          </w:p>
        </w:tc>
        <w:tc>
          <w:tcPr>
            <w:tcW w:w="810" w:type="dxa"/>
            <w:shd w:val="clear" w:color="auto" w:fill="auto"/>
            <w:tcMar>
              <w:top w:w="100" w:type="dxa"/>
              <w:left w:w="100" w:type="dxa"/>
              <w:bottom w:w="100" w:type="dxa"/>
              <w:right w:w="100" w:type="dxa"/>
            </w:tcMar>
          </w:tcPr>
          <w:p w:rsidR="008272A7" w:rsidRDefault="00AD4AFD" w14:paraId="7F11F111" w14:textId="77777777">
            <w:pPr>
              <w:widowControl w:val="0"/>
              <w:spacing w:line="240" w:lineRule="auto"/>
              <w:jc w:val="right"/>
              <w:rPr>
                <w:i/>
              </w:rPr>
            </w:pPr>
            <w:r>
              <w:rPr>
                <w:i/>
              </w:rPr>
              <w:t>(8)</w:t>
            </w:r>
          </w:p>
        </w:tc>
      </w:tr>
    </w:tbl>
    <w:p w:rsidR="008272A7" w:rsidRDefault="008272A7" w14:paraId="1FC39945" w14:textId="77777777"/>
    <w:p w:rsidR="008272A7" w:rsidRDefault="008272A7" w14:paraId="0562CB0E" w14:textId="77777777"/>
    <w:p w:rsidR="008272A7" w:rsidRDefault="00AD4AFD" w14:paraId="499C967F" w14:textId="445B417F">
      <w:r>
        <w:t xml:space="preserve">We used the error propagation formula to derive uncertainties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for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func>
      </m:oMath>
      <w:r>
        <w:t xml:space="preserve">. We obtain uncertainties shown in </w:t>
      </w:r>
      <w:r w:rsidR="4920643C">
        <w:t>(9) and (10)</w:t>
      </w:r>
      <w:r>
        <w:t xml:space="preserve"> in this way.</w:t>
      </w:r>
    </w:p>
    <w:p w:rsidR="008272A7" w:rsidRDefault="008272A7" w14:paraId="34CE0A41" w14:textId="77777777"/>
    <w:tbl>
      <w:tblPr>
        <w:tblW w:w="936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ayout w:type="fixed"/>
        <w:tblLook w:val="0600" w:firstRow="0" w:lastRow="0" w:firstColumn="0" w:lastColumn="0" w:noHBand="1" w:noVBand="1"/>
      </w:tblPr>
      <w:tblGrid>
        <w:gridCol w:w="810"/>
        <w:gridCol w:w="7740"/>
        <w:gridCol w:w="810"/>
      </w:tblGrid>
      <w:tr w:rsidR="008272A7" w:rsidTr="5F8845F1" w14:paraId="76F8DD27" w14:textId="77777777">
        <w:tc>
          <w:tcPr>
            <w:tcW w:w="810" w:type="dxa"/>
            <w:shd w:val="clear" w:color="auto" w:fill="auto"/>
            <w:tcMar>
              <w:top w:w="100" w:type="dxa"/>
              <w:left w:w="100" w:type="dxa"/>
              <w:bottom w:w="100" w:type="dxa"/>
              <w:right w:w="100" w:type="dxa"/>
            </w:tcMar>
          </w:tcPr>
          <w:p w:rsidR="008272A7" w:rsidRDefault="008272A7" w14:paraId="62EBF3C5" w14:textId="77777777">
            <w:pPr>
              <w:widowControl w:val="0"/>
              <w:spacing w:line="240" w:lineRule="auto"/>
            </w:pPr>
          </w:p>
        </w:tc>
        <w:tc>
          <w:tcPr>
            <w:tcW w:w="7740" w:type="dxa"/>
            <w:shd w:val="clear" w:color="auto" w:fill="auto"/>
            <w:tcMar>
              <w:top w:w="100" w:type="dxa"/>
              <w:left w:w="100" w:type="dxa"/>
              <w:bottom w:w="100" w:type="dxa"/>
              <w:right w:w="100" w:type="dxa"/>
            </w:tcMar>
          </w:tcPr>
          <w:p w:rsidR="008272A7" w:rsidRDefault="00176C57" w14:paraId="63423E8F" w14:textId="6D4E494C">
            <w:pPr>
              <w:widowControl w:val="0"/>
              <w:spacing w:line="240" w:lineRule="auto"/>
              <w:jc w:val="center"/>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 = </m:t>
                </m:r>
                <m:rad>
                  <m:radPr>
                    <m:degHide m:val="1"/>
                    <m:ctrlPr>
                      <w:rPr>
                        <w:rFonts w:ascii="Cambria Math" w:hAnsi="Cambria Math"/>
                      </w:rPr>
                    </m:ctrlPr>
                  </m:radPr>
                  <m:deg/>
                  <m:e>
                    <m:f>
                      <m:fPr>
                        <m:ctrlPr>
                          <w:rPr>
                            <w:rFonts w:ascii="Cambria Math" w:hAnsi="Cambria Math"/>
                          </w:rPr>
                        </m:ctrlPr>
                      </m:fPr>
                      <m:num>
                        <m:nary>
                          <m:naryPr>
                            <m:chr m:val="∑"/>
                            <m:ctrlPr>
                              <w:rPr>
                                <w:rFonts w:ascii="Cambria Math" w:hAnsi="Cambria Math"/>
                              </w:rPr>
                            </m:ctrlPr>
                          </m:naryPr>
                          <m:sub>
                            <m:r>
                              <w:rPr>
                                <w:rFonts w:ascii="Cambria Math" w:hAnsi="Cambria Math"/>
                              </w:rPr>
                              <m:t> </m:t>
                            </m:r>
                          </m:sub>
                          <m:sup>
                            <m:r>
                              <w:rPr>
                                <w:rFonts w:ascii="Cambria Math" w:hAnsi="Cambria Math"/>
                              </w:rPr>
                              <m:t> </m:t>
                            </m:r>
                          </m:sup>
                          <m:e>
                            <m:sSub>
                              <m:sSubPr>
                                <m:ctrlPr>
                                  <w:rPr>
                                    <w:rFonts w:ascii="Cambria Math" w:hAnsi="Cambria Math"/>
                                  </w:rPr>
                                </m:ctrlPr>
                              </m:sSubPr>
                              <m:e>
                                <m:r>
                                  <w:rPr>
                                    <w:rFonts w:ascii="Cambria Math" w:hAnsi="Cambria Math"/>
                                  </w:rPr>
                                  <m:t>w</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num>
                      <m:den>
                        <m:r>
                          <m:rPr>
                            <m:sty m:val="p"/>
                          </m:rPr>
                          <w:rPr>
                            <w:rFonts w:ascii="Cambria Math" w:hAnsi="Cambria Math"/>
                          </w:rPr>
                          <m:t>Δ</m:t>
                        </m:r>
                      </m:den>
                    </m:f>
                  </m:e>
                </m:rad>
                <m:r>
                  <w:rPr>
                    <w:rFonts w:ascii="Cambria Math" w:hAnsi="Cambria Math"/>
                  </w:rPr>
                  <m:t> </m:t>
                </m:r>
              </m:oMath>
            </m:oMathPara>
          </w:p>
        </w:tc>
        <w:tc>
          <w:tcPr>
            <w:tcW w:w="810" w:type="dxa"/>
            <w:shd w:val="clear" w:color="auto" w:fill="auto"/>
            <w:tcMar>
              <w:top w:w="100" w:type="dxa"/>
              <w:left w:w="100" w:type="dxa"/>
              <w:bottom w:w="100" w:type="dxa"/>
              <w:right w:w="100" w:type="dxa"/>
            </w:tcMar>
          </w:tcPr>
          <w:p w:rsidR="008272A7" w:rsidRDefault="00AD4AFD" w14:paraId="79A71338" w14:textId="77777777">
            <w:pPr>
              <w:widowControl w:val="0"/>
              <w:spacing w:line="240" w:lineRule="auto"/>
              <w:jc w:val="right"/>
              <w:rPr>
                <w:i/>
              </w:rPr>
            </w:pPr>
            <w:r>
              <w:rPr>
                <w:i/>
              </w:rPr>
              <w:t>(9)</w:t>
            </w:r>
          </w:p>
        </w:tc>
      </w:tr>
      <w:tr w:rsidR="5F8845F1" w:rsidTr="5F8845F1" w14:paraId="7152CD20" w14:textId="77777777">
        <w:trPr>
          <w:trHeight w:val="300"/>
        </w:trPr>
        <w:tc>
          <w:tcPr>
            <w:tcW w:w="810" w:type="dxa"/>
            <w:shd w:val="clear" w:color="auto" w:fill="auto"/>
            <w:tcMar>
              <w:top w:w="100" w:type="dxa"/>
              <w:left w:w="100" w:type="dxa"/>
              <w:bottom w:w="100" w:type="dxa"/>
              <w:right w:w="100" w:type="dxa"/>
            </w:tcMar>
          </w:tcPr>
          <w:p w:rsidR="5F8845F1" w:rsidP="5F8845F1" w:rsidRDefault="5F8845F1" w14:paraId="5789920C" w14:textId="27374A04">
            <w:pPr>
              <w:spacing w:line="240" w:lineRule="auto"/>
            </w:pPr>
          </w:p>
        </w:tc>
        <w:tc>
          <w:tcPr>
            <w:tcW w:w="7740" w:type="dxa"/>
            <w:shd w:val="clear" w:color="auto" w:fill="auto"/>
            <w:tcMar>
              <w:top w:w="100" w:type="dxa"/>
              <w:left w:w="100" w:type="dxa"/>
              <w:bottom w:w="100" w:type="dxa"/>
              <w:right w:w="100" w:type="dxa"/>
            </w:tcMar>
          </w:tcPr>
          <w:p w:rsidR="5F8845F1" w:rsidP="5F8845F1" w:rsidRDefault="5F8845F1" w14:paraId="004EB81F" w14:textId="353FCE3A">
            <w:pPr>
              <w:spacing w:line="240" w:lineRule="auto"/>
              <w:jc w:val="center"/>
            </w:pPr>
          </w:p>
        </w:tc>
        <w:tc>
          <w:tcPr>
            <w:tcW w:w="810" w:type="dxa"/>
            <w:shd w:val="clear" w:color="auto" w:fill="auto"/>
            <w:tcMar>
              <w:top w:w="100" w:type="dxa"/>
              <w:left w:w="100" w:type="dxa"/>
              <w:bottom w:w="100" w:type="dxa"/>
              <w:right w:w="100" w:type="dxa"/>
            </w:tcMar>
          </w:tcPr>
          <w:p w:rsidR="5F8845F1" w:rsidP="5F8845F1" w:rsidRDefault="5F8845F1" w14:paraId="52466F08" w14:textId="1104CE50">
            <w:pPr>
              <w:spacing w:line="240" w:lineRule="auto"/>
              <w:jc w:val="right"/>
              <w:rPr>
                <w:i/>
                <w:iCs/>
              </w:rPr>
            </w:pPr>
          </w:p>
        </w:tc>
      </w:tr>
      <w:tr w:rsidR="008272A7" w:rsidTr="5F8845F1" w14:paraId="7157F6F5" w14:textId="77777777">
        <w:tc>
          <w:tcPr>
            <w:tcW w:w="810" w:type="dxa"/>
            <w:shd w:val="clear" w:color="auto" w:fill="auto"/>
            <w:tcMar>
              <w:top w:w="100" w:type="dxa"/>
              <w:left w:w="100" w:type="dxa"/>
              <w:bottom w:w="100" w:type="dxa"/>
              <w:right w:w="100" w:type="dxa"/>
            </w:tcMar>
          </w:tcPr>
          <w:p w:rsidR="008272A7" w:rsidRDefault="008272A7" w14:paraId="6D98A12B" w14:textId="77777777">
            <w:pPr>
              <w:widowControl w:val="0"/>
              <w:spacing w:line="240" w:lineRule="auto"/>
            </w:pPr>
          </w:p>
        </w:tc>
        <w:tc>
          <w:tcPr>
            <w:tcW w:w="7740" w:type="dxa"/>
            <w:shd w:val="clear" w:color="auto" w:fill="auto"/>
            <w:tcMar>
              <w:top w:w="100" w:type="dxa"/>
              <w:left w:w="100" w:type="dxa"/>
              <w:bottom w:w="100" w:type="dxa"/>
              <w:right w:w="100" w:type="dxa"/>
            </w:tcMar>
          </w:tcPr>
          <w:p w:rsidR="008272A7" w:rsidRDefault="00176C57" w14:paraId="2D6F56A3" w14:textId="3F207137">
            <w:pPr>
              <w:widowControl w:val="0"/>
              <w:spacing w:line="240" w:lineRule="auto"/>
              <w:jc w:val="center"/>
            </w:pPr>
            <m:oMathPara>
              <m:oMath>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 = </m:t>
                </m:r>
                <m:rad>
                  <m:radPr>
                    <m:degHide m:val="1"/>
                    <m:ctrlPr>
                      <w:rPr>
                        <w:rFonts w:ascii="Cambria Math" w:hAnsi="Cambria Math"/>
                      </w:rPr>
                    </m:ctrlPr>
                  </m:radPr>
                  <m:deg/>
                  <m:e>
                    <m:f>
                      <m:fPr>
                        <m:ctrlPr>
                          <w:rPr>
                            <w:rFonts w:ascii="Cambria Math" w:hAnsi="Cambria Math"/>
                          </w:rPr>
                        </m:ctrlPr>
                      </m:fPr>
                      <m:num>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wi</m:t>
                            </m:r>
                          </m:e>
                        </m:nary>
                      </m:num>
                      <m:den>
                        <m:r>
                          <m:rPr>
                            <m:sty m:val="p"/>
                          </m:rPr>
                          <w:rPr>
                            <w:rFonts w:ascii="Cambria Math" w:hAnsi="Cambria Math"/>
                          </w:rPr>
                          <m:t>Δ</m:t>
                        </m:r>
                      </m:den>
                    </m:f>
                  </m:e>
                </m:rad>
                <m:r>
                  <w:rPr>
                    <w:rFonts w:ascii="Cambria Math" w:hAnsi="Cambria Math"/>
                  </w:rPr>
                  <m:t> </m:t>
                </m:r>
              </m:oMath>
            </m:oMathPara>
          </w:p>
        </w:tc>
        <w:tc>
          <w:tcPr>
            <w:tcW w:w="810" w:type="dxa"/>
            <w:shd w:val="clear" w:color="auto" w:fill="auto"/>
            <w:tcMar>
              <w:top w:w="100" w:type="dxa"/>
              <w:left w:w="100" w:type="dxa"/>
              <w:bottom w:w="100" w:type="dxa"/>
              <w:right w:w="100" w:type="dxa"/>
            </w:tcMar>
          </w:tcPr>
          <w:p w:rsidR="008272A7" w:rsidRDefault="00AD4AFD" w14:paraId="4303E64B" w14:textId="77777777">
            <w:pPr>
              <w:widowControl w:val="0"/>
              <w:spacing w:line="240" w:lineRule="auto"/>
              <w:jc w:val="right"/>
              <w:rPr>
                <w:i/>
              </w:rPr>
            </w:pPr>
            <w:r>
              <w:rPr>
                <w:i/>
              </w:rPr>
              <w:t>(10)</w:t>
            </w:r>
          </w:p>
        </w:tc>
      </w:tr>
    </w:tbl>
    <w:p w:rsidR="008272A7" w:rsidRDefault="008272A7" w14:paraId="2946DB82" w14:textId="77777777"/>
    <w:p w:rsidR="008272A7" w:rsidP="5F8845F1" w:rsidRDefault="008272A7" w14:paraId="1F72F646" w14:textId="7EBE7330"/>
    <w:p w:rsidR="008272A7" w:rsidRDefault="008272A7" w14:paraId="08CE6F91" w14:textId="77777777"/>
    <w:p w:rsidR="008272A7" w:rsidRDefault="008272A7" w14:paraId="61CDCEAD" w14:textId="77777777"/>
    <w:p w:rsidR="008272A7" w:rsidRDefault="00AD4AFD" w14:paraId="16BD4EFF" w14:textId="77777777">
      <w:pPr>
        <w:rPr>
          <w:b/>
        </w:rPr>
      </w:pPr>
      <w:r>
        <w:rPr>
          <w:b/>
        </w:rPr>
        <w:t>EXPERIMENTAL METHODS</w:t>
      </w:r>
    </w:p>
    <w:p w:rsidR="008272A7" w:rsidRDefault="008272A7" w14:paraId="6BB9E253" w14:textId="77777777"/>
    <w:p w:rsidR="008272A7" w:rsidP="5F8845F1" w:rsidRDefault="00AD4AFD" w14:paraId="5BC88DB4" w14:textId="73ED7B29">
      <w:pPr>
        <w:numPr>
          <w:ilvl w:val="0"/>
          <w:numId w:val="1"/>
        </w:numPr>
        <w:ind w:left="360" w:firstLine="0"/>
      </w:pPr>
      <w:r w:rsidRPr="5F8845F1">
        <w:rPr>
          <w:lang w:val="en-US"/>
        </w:rPr>
        <w:t xml:space="preserve">A </w:t>
      </w:r>
      <w:r w:rsidRPr="5F8845F1" w:rsidR="369DE26C">
        <w:rPr>
          <w:lang w:val="en-US"/>
        </w:rPr>
        <w:t>Geiger</w:t>
      </w:r>
      <w:r w:rsidRPr="5F8845F1">
        <w:rPr>
          <w:lang w:val="en-US"/>
        </w:rPr>
        <w:t xml:space="preserve"> tube was connected to the BNC connector on the back of the counter</w:t>
      </w:r>
      <w:r w:rsidRPr="5F8845F1" w:rsidR="4E3C7910">
        <w:rPr>
          <w:lang w:val="en-US"/>
        </w:rPr>
        <w:t>, shown in figure 1</w:t>
      </w:r>
      <w:r w:rsidRPr="5F8845F1" w:rsidR="2D422751">
        <w:rPr>
          <w:lang w:val="en-US"/>
        </w:rPr>
        <w:t>b</w:t>
      </w:r>
      <w:r w:rsidRPr="5F8845F1">
        <w:rPr>
          <w:lang w:val="en-US"/>
        </w:rPr>
        <w:t xml:space="preserve">, and the DIG/SONIC1 input of the </w:t>
      </w:r>
      <w:r w:rsidRPr="5F8845F1" w:rsidR="2257AB84">
        <w:rPr>
          <w:lang w:val="en-US"/>
        </w:rPr>
        <w:t>Lab Pro</w:t>
      </w:r>
      <w:r w:rsidRPr="5F8845F1">
        <w:rPr>
          <w:lang w:val="en-US"/>
        </w:rPr>
        <w:t xml:space="preserve"> interface was connected to the serial port of the computer</w:t>
      </w:r>
      <w:r w:rsidRPr="5F8845F1" w:rsidR="3642AACE">
        <w:rPr>
          <w:lang w:val="en-US"/>
        </w:rPr>
        <w:t>, see figure 1a</w:t>
      </w:r>
      <w:r w:rsidRPr="5F8845F1">
        <w:rPr>
          <w:lang w:val="en-US"/>
        </w:rPr>
        <w:t>.</w:t>
      </w:r>
    </w:p>
    <w:p w:rsidR="008272A7" w:rsidRDefault="008272A7" w14:paraId="23DE523C" w14:textId="77777777">
      <w:pPr>
        <w:ind w:left="360"/>
      </w:pPr>
    </w:p>
    <w:p w:rsidR="008272A7" w:rsidRDefault="00AD4AFD" w14:paraId="52E56223" w14:textId="77777777">
      <w:pPr>
        <w:ind w:left="360"/>
        <w:jc w:val="center"/>
      </w:pPr>
      <w:r>
        <w:rPr>
          <w:noProof/>
        </w:rPr>
        <w:drawing>
          <wp:inline distT="114300" distB="114300" distL="114300" distR="114300" wp14:anchorId="75FD3E80" wp14:editId="07777777">
            <wp:extent cx="3487481" cy="2120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87481" cy="2120900"/>
                    </a:xfrm>
                    <a:prstGeom prst="rect">
                      <a:avLst/>
                    </a:prstGeom>
                    <a:ln/>
                  </pic:spPr>
                </pic:pic>
              </a:graphicData>
            </a:graphic>
          </wp:inline>
        </w:drawing>
      </w:r>
    </w:p>
    <w:p w:rsidR="008272A7" w:rsidRDefault="008272A7" w14:paraId="07547A01" w14:textId="77777777">
      <w:pPr>
        <w:ind w:left="360"/>
        <w:jc w:val="center"/>
      </w:pPr>
    </w:p>
    <w:p w:rsidR="008272A7" w:rsidRDefault="00AD4AFD" w14:paraId="150A0120" w14:textId="7F1B9707">
      <w:pPr>
        <w:numPr>
          <w:ilvl w:val="0"/>
          <w:numId w:val="1"/>
        </w:numPr>
        <w:ind w:left="360" w:firstLine="0"/>
      </w:pPr>
      <w:r w:rsidRPr="5F8845F1">
        <w:rPr>
          <w:lang w:val="en-US"/>
        </w:rPr>
        <w:t xml:space="preserve">To measure the background </w:t>
      </w:r>
      <w:r w:rsidRPr="5F8845F1" w:rsidR="74EAC342">
        <w:rPr>
          <w:lang w:val="en-US"/>
        </w:rPr>
        <w:t>radiation,</w:t>
      </w:r>
      <w:r w:rsidRPr="5F8845F1">
        <w:rPr>
          <w:lang w:val="en-US"/>
        </w:rPr>
        <w:t xml:space="preserve"> we configured LoggerPro to run for 10 minutes</w:t>
      </w:r>
    </w:p>
    <w:p w:rsidR="008272A7" w:rsidRDefault="00AD4AFD" w14:paraId="371CFFA1" w14:textId="6E42F906">
      <w:r w:rsidRPr="5F8845F1">
        <w:rPr>
          <w:lang w:val="en-US"/>
        </w:rPr>
        <w:t xml:space="preserve">(600 seconds) at 10 second sample intervals. We placed the empty sample holder in the detector rack close to the </w:t>
      </w:r>
      <w:r w:rsidRPr="5F8845F1" w:rsidR="57547EAC">
        <w:rPr>
          <w:lang w:val="en-US"/>
        </w:rPr>
        <w:t>Geiger</w:t>
      </w:r>
      <w:r w:rsidRPr="5F8845F1">
        <w:rPr>
          <w:lang w:val="en-US"/>
        </w:rPr>
        <w:t xml:space="preserve"> tube and began data collection. The data was exported as a text file for later analysis.</w:t>
      </w:r>
    </w:p>
    <w:p w:rsidR="008272A7" w:rsidRDefault="008272A7" w14:paraId="5043CB0F" w14:textId="77777777">
      <w:pPr>
        <w:ind w:left="360"/>
      </w:pPr>
    </w:p>
    <w:p w:rsidR="008272A7" w:rsidP="5F8845F1" w:rsidRDefault="00AD4AFD" w14:paraId="4705BF9D" w14:textId="1F1B0D91">
      <w:pPr>
        <w:numPr>
          <w:ilvl w:val="0"/>
          <w:numId w:val="1"/>
        </w:numPr>
        <w:ind w:left="360" w:firstLine="0"/>
        <w:rPr>
          <w:lang w:val="en-US"/>
        </w:rPr>
      </w:pPr>
      <w:r w:rsidRPr="5F8845F1">
        <w:rPr>
          <w:lang w:val="en-US"/>
        </w:rPr>
        <w:t xml:space="preserve">The </w:t>
      </w:r>
      <w:r w:rsidRPr="5F8845F1" w:rsidR="5FE8E8F3">
        <w:rPr>
          <w:lang w:val="en-US"/>
        </w:rPr>
        <w:t>barium</w:t>
      </w:r>
      <w:r w:rsidRPr="5F8845F1">
        <w:rPr>
          <w:lang w:val="en-US"/>
        </w:rPr>
        <w:t xml:space="preserve"> nuclei that are created by the radioactive </w:t>
      </w:r>
      <m:oMath>
        <m:sSubSup>
          <m:sSubSupPr>
            <m:ctrlPr>
              <w:rPr>
                <w:rFonts w:ascii="Cambria Math" w:hAnsi="Cambria Math"/>
              </w:rPr>
            </m:ctrlPr>
          </m:sSubSupPr>
          <m:e/>
          <m:sub/>
          <m:sup>
            <m:r>
              <w:rPr>
                <w:rFonts w:ascii="Cambria Math" w:hAnsi="Cambria Math"/>
              </w:rPr>
              <m:t>137</m:t>
            </m:r>
          </m:sup>
        </m:sSubSup>
        <m:r>
          <w:rPr>
            <w:rFonts w:ascii="Cambria Math" w:hAnsi="Cambria Math"/>
          </w:rPr>
          <m:t>Cs</m:t>
        </m:r>
      </m:oMath>
      <w:r w:rsidRPr="5F8845F1">
        <w:rPr>
          <w:lang w:val="en-US"/>
        </w:rPr>
        <w:t xml:space="preserve"> sample needed to be</w:t>
      </w:r>
    </w:p>
    <w:p w:rsidR="008272A7" w:rsidRDefault="00AD4AFD" w14:paraId="7DC635D0" w14:textId="47808942">
      <w:r w:rsidRPr="5F8845F1">
        <w:rPr>
          <w:lang w:val="en-US"/>
        </w:rPr>
        <w:t xml:space="preserve">separated </w:t>
      </w:r>
      <w:r w:rsidRPr="5F8845F1" w:rsidR="6007EF81">
        <w:rPr>
          <w:lang w:val="en-US"/>
        </w:rPr>
        <w:t>and</w:t>
      </w:r>
      <w:r w:rsidRPr="5F8845F1">
        <w:rPr>
          <w:lang w:val="en-US"/>
        </w:rPr>
        <w:t xml:space="preserve"> this was achieved with an isotope generator which elutes the sample with a weak EDTA solution. Immediately after this was done, we began collecting data for 10 minutes (600 seconds) at 10 second intervals. The data was exported as in the previous run.</w:t>
      </w:r>
    </w:p>
    <w:p w:rsidR="008272A7" w:rsidRDefault="008272A7" w14:paraId="07459315" w14:textId="77777777">
      <w:pPr>
        <w:ind w:left="360"/>
      </w:pPr>
    </w:p>
    <w:p w:rsidR="008272A7" w:rsidP="5F8845F1" w:rsidRDefault="00AD4AFD" w14:paraId="0287DBB8" w14:textId="3B67272E">
      <w:pPr>
        <w:numPr>
          <w:ilvl w:val="0"/>
          <w:numId w:val="1"/>
        </w:numPr>
        <w:ind w:left="360" w:firstLine="0"/>
        <w:rPr>
          <w:lang w:val="en-US"/>
        </w:rPr>
      </w:pPr>
      <w:r w:rsidRPr="5F8845F1">
        <w:rPr>
          <w:lang w:val="en-US"/>
        </w:rPr>
        <w:t xml:space="preserve">To ensure that </w:t>
      </w:r>
      <w:r w:rsidRPr="5F8845F1" w:rsidR="60340D51">
        <w:rPr>
          <w:lang w:val="en-US"/>
        </w:rPr>
        <w:t>all</w:t>
      </w:r>
      <w:r w:rsidRPr="5F8845F1">
        <w:rPr>
          <w:lang w:val="en-US"/>
        </w:rPr>
        <w:t xml:space="preserve"> the </w:t>
      </w:r>
      <m:oMath>
        <m:sSubSup>
          <m:sSubSupPr>
            <m:ctrlPr>
              <w:rPr>
                <w:rFonts w:ascii="Cambria Math" w:hAnsi="Cambria Math"/>
              </w:rPr>
            </m:ctrlPr>
          </m:sSubSupPr>
          <m:e/>
          <m:sub/>
          <m:sup>
            <m:r>
              <w:rPr>
                <w:rFonts w:ascii="Cambria Math" w:hAnsi="Cambria Math"/>
              </w:rPr>
              <m:t>137</m:t>
            </m:r>
          </m:sup>
        </m:sSubSup>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m:t>
            </m:r>
          </m:sup>
        </m:sSup>
      </m:oMath>
      <w:r w:rsidRPr="5F8845F1">
        <w:rPr>
          <w:lang w:val="en-US"/>
        </w:rPr>
        <w:t xml:space="preserve"> atoms gamma-decayed into a stable state, we left the</w:t>
      </w:r>
    </w:p>
    <w:p w:rsidR="008272A7" w:rsidRDefault="008272A7" w14:paraId="44E871BC" w14:textId="5D7C336F">
      <w:pPr/>
      <w:r w:rsidRPr="552647CF" w:rsidR="00AD4AFD">
        <w:rPr>
          <w:lang w:val="en-US"/>
        </w:rPr>
        <w:t xml:space="preserve">sample as it was in the </w:t>
      </w:r>
      <w:r w:rsidRPr="552647CF" w:rsidR="00AD4AFD">
        <w:rPr>
          <w:lang w:val="en-US"/>
        </w:rPr>
        <w:t>previous</w:t>
      </w:r>
      <w:r w:rsidRPr="552647CF" w:rsidR="00AD4AFD">
        <w:rPr>
          <w:lang w:val="en-US"/>
        </w:rPr>
        <w:t xml:space="preserve"> step and set a timer for 20 minutes to wait. Once 20 minutes passed, we collected another </w:t>
      </w:r>
      <w:r w:rsidRPr="552647CF" w:rsidR="2BD047A5">
        <w:rPr>
          <w:lang w:val="en-US"/>
        </w:rPr>
        <w:t>10-minute</w:t>
      </w:r>
      <w:r w:rsidRPr="552647CF" w:rsidR="00AD4AFD">
        <w:rPr>
          <w:lang w:val="en-US"/>
        </w:rPr>
        <w:t xml:space="preserve"> (600 second) sample with 10</w:t>
      </w:r>
      <w:r w:rsidRPr="552647CF" w:rsidR="183F1513">
        <w:rPr>
          <w:lang w:val="en-US"/>
        </w:rPr>
        <w:t>-</w:t>
      </w:r>
      <w:r w:rsidRPr="552647CF" w:rsidR="00AD4AFD">
        <w:rPr>
          <w:lang w:val="en-US"/>
        </w:rPr>
        <w:t>second intervals.</w:t>
      </w:r>
    </w:p>
    <w:p w:rsidR="008272A7" w:rsidP="552647CF" w:rsidRDefault="008272A7" w14:paraId="738610EB" w14:noSpellErr="1" w14:textId="27C5C058">
      <w:pPr>
        <w:pStyle w:val="Normal"/>
        <w:rPr>
          <w:b w:val="1"/>
          <w:bCs w:val="1"/>
        </w:rPr>
      </w:pPr>
    </w:p>
    <w:p w:rsidR="008272A7" w:rsidRDefault="00AD4AFD" w14:paraId="35724B83" w14:textId="77777777">
      <w:pPr>
        <w:rPr>
          <w:b/>
        </w:rPr>
      </w:pPr>
      <w:r>
        <w:rPr>
          <w:b/>
        </w:rPr>
        <w:t>RESULTS</w:t>
      </w:r>
    </w:p>
    <w:p w:rsidR="008272A7" w:rsidRDefault="008272A7" w14:paraId="637805D2" w14:textId="77777777"/>
    <w:p w:rsidR="008272A7" w:rsidRDefault="00AD4AFD" w14:paraId="2BDFEAB8" w14:textId="77777777">
      <w:pPr>
        <w:numPr>
          <w:ilvl w:val="0"/>
          <w:numId w:val="1"/>
        </w:numPr>
      </w:pPr>
      <w:r>
        <w:t>We imported the data from steps B, C, and D into MATLAB. We computed the average</w:t>
      </w:r>
    </w:p>
    <w:p w:rsidR="008272A7" w:rsidP="5F8845F1" w:rsidRDefault="00AD4AFD" w14:paraId="0421F9CF" w14:textId="4537D928">
      <w:pPr>
        <w:rPr>
          <w:lang w:val="en-US"/>
        </w:rPr>
      </w:pPr>
      <w:r w:rsidRPr="5F8845F1" w:rsidR="00AD4AFD">
        <w:rPr>
          <w:lang w:val="en-US"/>
        </w:rPr>
        <w:t xml:space="preserve"> number per interval of background radiation, </w:t>
      </w:r>
      <m:oMath>
        <m:sSub>
          <m:sSubPr>
            <m:ctrlPr>
              <w:rPr>
                <w:rFonts w:ascii="Cambria Math" w:hAnsi="Cambria Math"/>
              </w:rPr>
            </m:ctrlPr>
          </m:sSubPr>
          <m:e>
            <m:bar>
              <m:barPr>
                <m:pos m:val="top"/>
                <m:ctrlPr>
                  <w:rPr>
                    <w:rFonts w:ascii="Cambria Math" w:hAnsi="Cambria Math"/>
                  </w:rPr>
                </m:ctrlPr>
              </m:barPr>
              <m:e>
                <m:r>
                  <w:rPr>
                    <w:rFonts w:ascii="Cambria Math" w:hAnsi="Cambria Math"/>
                  </w:rPr>
                  <m:t>D</m:t>
                </m:r>
              </m:e>
            </m:bar>
          </m:e>
          <m:sub>
            <m:r>
              <w:rPr>
                <w:rFonts w:ascii="Cambria Math" w:hAnsi="Cambria Math"/>
              </w:rPr>
              <m:t>b1</m:t>
            </m:r>
          </m:sub>
        </m:sSub>
      </m:oMath>
      <w:r w:rsidRPr="5F8845F1" w:rsidR="1F45CE18">
        <w:rPr>
          <w:lang w:val="en-US"/>
        </w:rPr>
        <w:t xml:space="preserve"> </w:t>
      </w:r>
      <w:r w:rsidRPr="5F8845F1" w:rsidR="00AD4AFD">
        <w:rPr>
          <w:lang w:val="en-US"/>
        </w:rPr>
        <w:t xml:space="preserve">, and calculated the standard deviation, </w:t>
      </w:r>
      <m:oMath>
        <m:sSub>
          <m:sSubPr>
            <m:ctrlPr>
              <w:rPr>
                <w:rFonts w:ascii="Cambria Math" w:hAnsi="Cambria Math"/>
              </w:rPr>
            </m:ctrlPr>
          </m:sSubPr>
          <m:e>
            <m:r>
              <w:rPr>
                <w:rFonts w:ascii="Cambria Math" w:hAnsi="Cambria Math"/>
              </w:rPr>
              <m:t>σ</m:t>
            </m:r>
          </m:e>
          <m:sub>
            <m:r>
              <w:rPr>
                <w:rFonts w:ascii="Cambria Math" w:hAnsi="Cambria Math"/>
              </w:rPr>
              <m:t>b1</m:t>
            </m:r>
          </m:sub>
        </m:sSub>
      </m:oMath>
      <w:r w:rsidRPr="5F8845F1" w:rsidR="00AD4AFD">
        <w:rPr>
          <w:lang w:val="en-US"/>
        </w:rPr>
        <w:t xml:space="preserve"> of the data collected in part B before sample loading</w:t>
      </w:r>
      <w:r w:rsidRPr="5F8845F1" w:rsidR="190628EE">
        <w:rPr>
          <w:lang w:val="en-US"/>
        </w:rPr>
        <w:t>; see table 1</w:t>
      </w:r>
      <w:r w:rsidRPr="5F8845F1" w:rsidR="00AD4AFD">
        <w:rPr>
          <w:lang w:val="en-US"/>
        </w:rPr>
        <w:t>. We repeated these calculations for the data collected after the gamma-decay was depleted in the sample</w:t>
      </w:r>
      <w:r w:rsidRPr="5F8845F1" w:rsidR="4999405D">
        <w:rPr>
          <w:lang w:val="en-US"/>
        </w:rPr>
        <w:t xml:space="preserve">. The </w:t>
      </w:r>
      <w:r w:rsidRPr="5F8845F1" w:rsidR="4999405D">
        <w:rPr>
          <w:lang w:val="en-US"/>
        </w:rPr>
        <w:t xml:space="preserve">mean</w:t>
      </w:r>
      <w:r w:rsidRPr="5F8845F1" w:rsidR="4999405D">
        <w:rPr>
          <w:lang w:val="en-US"/>
        </w:rPr>
        <w:t xml:space="preserve"> of this data being </w:t>
      </w:r>
      <m:oMath>
        <m:sSub>
          <m:sSubPr>
            <m:ctrlPr>
              <w:rPr>
                <w:rFonts w:ascii="Cambria Math" w:hAnsi="Cambria Math"/>
              </w:rPr>
            </m:ctrlPr>
          </m:sSubPr>
          <m:e>
            <m:bar>
              <m:barPr>
                <m:pos m:val="top"/>
                <m:ctrlPr>
                  <w:rPr>
                    <w:rFonts w:ascii="Cambria Math" w:hAnsi="Cambria Math"/>
                  </w:rPr>
                </m:ctrlPr>
              </m:barPr>
              <m:e>
                <m:r>
                  <w:rPr>
                    <w:rFonts w:ascii="Cambria Math" w:hAnsi="Cambria Math"/>
                  </w:rPr>
                  <m:t>D</m:t>
                </m:r>
              </m:e>
            </m:bar>
          </m:e>
          <m:sub>
            <m:r>
              <w:rPr>
                <w:rFonts w:ascii="Cambria Math" w:hAnsi="Cambria Math"/>
              </w:rPr>
              <m:t>b2</m:t>
            </m:r>
          </m:sub>
        </m:sSub>
      </m:oMath>
      <w:r w:rsidRPr="5F8845F1" w:rsidR="00AD4AFD">
        <w:rPr>
          <w:lang w:val="en-US"/>
        </w:rPr>
        <w:t xml:space="preserve"> and </w:t>
      </w:r>
      <w:r w:rsidRPr="5F8845F1" w:rsidR="00A44E9D">
        <w:rPr>
          <w:lang w:val="en-US"/>
        </w:rPr>
        <w:t xml:space="preserve">uncertainty </w:t>
      </w:r>
      <m:oMath>
        <m:sSub>
          <m:sSubPr>
            <m:ctrlPr>
              <w:rPr>
                <w:rFonts w:ascii="Cambria Math" w:hAnsi="Cambria Math"/>
              </w:rPr>
            </m:ctrlPr>
          </m:sSubPr>
          <m:e>
            <m:r>
              <w:rPr>
                <w:rFonts w:ascii="Cambria Math" w:hAnsi="Cambria Math"/>
              </w:rPr>
              <m:t>σ</m:t>
            </m:r>
          </m:e>
          <m:sub>
            <m:r>
              <w:rPr>
                <w:rFonts w:ascii="Cambria Math" w:hAnsi="Cambria Math"/>
              </w:rPr>
              <m:t>b2</m:t>
            </m:r>
          </m:sub>
        </m:sSub>
      </m:oMath>
      <w:r w:rsidRPr="5F8845F1" w:rsidR="00AD4AFD">
        <w:rPr>
          <w:lang w:val="en-US"/>
        </w:rPr>
        <w:t>. These values do not agree. T</w:t>
      </w:r>
      <w:r w:rsidRPr="5F8845F1" w:rsidR="50BD803B">
        <w:rPr>
          <w:lang w:val="en-US"/>
        </w:rPr>
        <w:t xml:space="preserve">he </w:t>
      </w:r>
      <w:r w:rsidRPr="5F8845F1" w:rsidR="00AD4AFD">
        <w:rPr>
          <w:lang w:val="en-US"/>
        </w:rPr>
        <w:t xml:space="preserve">difference in background radiation </w:t>
      </w:r>
      <w:r w:rsidRPr="5F8845F1" w:rsidR="00AD4AFD">
        <w:rPr>
          <w:lang w:val="en-US"/>
        </w:rPr>
        <w:t>indicates</w:t>
      </w:r>
      <w:r w:rsidRPr="5F8845F1" w:rsidR="00AD4AFD">
        <w:rPr>
          <w:lang w:val="en-US"/>
        </w:rPr>
        <w:t xml:space="preserve"> that the depleted sample somehow affects this number</w:t>
      </w:r>
      <w:r w:rsidRPr="5F8845F1" w:rsidR="7DE7531B">
        <w:rPr>
          <w:lang w:val="en-US"/>
        </w:rPr>
        <w:t xml:space="preserve">, </w:t>
      </w:r>
      <w:r w:rsidRPr="5F8845F1" w:rsidR="7DE7531B">
        <w:rPr>
          <w:lang w:val="en-US"/>
        </w:rPr>
        <w:t xml:space="preserve">possibly due</w:t>
      </w:r>
      <w:r w:rsidRPr="5F8845F1" w:rsidR="7DE7531B">
        <w:rPr>
          <w:lang w:val="en-US"/>
        </w:rPr>
        <w:t xml:space="preserve"> to shielding effects or sample absorption, </w:t>
      </w:r>
      <w:r w:rsidRPr="5F8845F1" w:rsidR="00AD4AFD">
        <w:rPr>
          <w:lang w:val="en-US"/>
        </w:rPr>
        <w:t xml:space="preserve">and should be used as the background radiation value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D</m:t>
                </m:r>
              </m:e>
            </m:bar>
          </m:e>
          <m:sub>
            <m:r>
              <w:rPr>
                <w:rFonts w:ascii="Cambria Math" w:hAnsi="Cambria Math"/>
              </w:rPr>
              <m:t>b</m:t>
            </m:r>
          </m:sub>
        </m:sSub>
      </m:oMath>
      <w:r w:rsidRPr="5F8845F1" w:rsidR="535B8A20">
        <w:rPr>
          <w:lang w:val="en-US"/>
        </w:rPr>
        <w:t xml:space="preserve"> </w:t>
      </w:r>
      <w:r w:rsidRPr="5F8845F1" w:rsidR="00AD4AFD">
        <w:rPr>
          <w:lang w:val="en-US"/>
        </w:rPr>
        <w:t>for analysis</w:t>
      </w:r>
      <w:r w:rsidRPr="5F8845F1" w:rsidR="59E34603">
        <w:rPr>
          <w:lang w:val="en-US"/>
        </w:rPr>
        <w:t>.</w:t>
      </w:r>
    </w:p>
    <w:p w:rsidR="5F8845F1" w:rsidP="5F8845F1" w:rsidRDefault="5F8845F1" w14:paraId="17A77E5C" w14:textId="28085D52">
      <w:pPr>
        <w:rPr>
          <w:lang w:val="en-US"/>
        </w:rPr>
      </w:pPr>
    </w:p>
    <w:tbl>
      <w:tblPr>
        <w:tblStyle w:val="a5"/>
        <w:tblW w:w="861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80"/>
        <w:gridCol w:w="2625"/>
        <w:gridCol w:w="2805"/>
      </w:tblGrid>
      <w:tr w:rsidR="008272A7" w14:paraId="4CC72A69" w14:textId="77777777">
        <w:trPr>
          <w:trHeight w:val="330"/>
          <w:jc w:val="center"/>
        </w:trPr>
        <w:tc>
          <w:tcPr>
            <w:tcW w:w="8610" w:type="dxa"/>
            <w:gridSpan w:val="3"/>
            <w:tcBorders>
              <w:top w:val="single" w:color="CCCCCC" w:sz="8" w:space="0"/>
              <w:left w:val="single" w:color="CCCCCC" w:sz="8" w:space="0"/>
              <w:bottom w:val="single" w:color="000000" w:sz="8" w:space="0"/>
              <w:right w:val="single" w:color="CCCCCC" w:sz="8" w:space="0"/>
            </w:tcBorders>
            <w:tcMar>
              <w:top w:w="40" w:type="dxa"/>
              <w:left w:w="40" w:type="dxa"/>
              <w:bottom w:w="40" w:type="dxa"/>
              <w:right w:w="40" w:type="dxa"/>
            </w:tcMar>
            <w:vAlign w:val="bottom"/>
          </w:tcPr>
          <w:p w:rsidR="008272A7" w:rsidRDefault="00AD4AFD" w14:paraId="2201946F" w14:textId="77777777">
            <w:pPr>
              <w:widowControl w:val="0"/>
              <w:jc w:val="center"/>
              <w:rPr>
                <w:sz w:val="20"/>
                <w:szCs w:val="20"/>
              </w:rPr>
            </w:pPr>
            <w:r>
              <w:rPr>
                <w:b/>
                <w:i/>
              </w:rPr>
              <w:t xml:space="preserve">Table 1: </w:t>
            </w:r>
            <w:r>
              <w:rPr>
                <w:i/>
              </w:rPr>
              <w:t>Distribution background radiation (counts/s)</w:t>
            </w:r>
          </w:p>
        </w:tc>
      </w:tr>
      <w:tr w:rsidR="008272A7" w14:paraId="4E069915" w14:textId="77777777">
        <w:trPr>
          <w:trHeight w:val="330"/>
          <w:jc w:val="center"/>
        </w:trPr>
        <w:tc>
          <w:tcPr>
            <w:tcW w:w="3180" w:type="dxa"/>
            <w:tcBorders>
              <w:top w:val="single" w:color="CCCCCC" w:sz="8" w:space="0"/>
              <w:left w:val="single" w:color="CCCCCC" w:sz="8" w:space="0"/>
              <w:bottom w:val="single" w:color="000000" w:sz="8" w:space="0"/>
              <w:right w:val="single" w:color="CCCCCC" w:sz="8" w:space="0"/>
            </w:tcBorders>
            <w:shd w:val="clear" w:color="auto" w:fill="auto"/>
            <w:tcMar>
              <w:top w:w="40" w:type="dxa"/>
              <w:left w:w="40" w:type="dxa"/>
              <w:bottom w:w="40" w:type="dxa"/>
              <w:right w:w="40" w:type="dxa"/>
            </w:tcMar>
            <w:vAlign w:val="bottom"/>
          </w:tcPr>
          <w:p w:rsidR="008272A7" w:rsidRDefault="00AD4AFD" w14:paraId="674C1DC6" w14:textId="77777777">
            <w:pPr>
              <w:widowControl w:val="0"/>
              <w:jc w:val="center"/>
              <w:rPr>
                <w:sz w:val="20"/>
                <w:szCs w:val="20"/>
              </w:rPr>
            </w:pPr>
            <w:r>
              <w:t>Best estimate decay rate</w:t>
            </w:r>
          </w:p>
        </w:tc>
        <w:tc>
          <w:tcPr>
            <w:tcW w:w="2625" w:type="dxa"/>
            <w:tcBorders>
              <w:top w:val="single" w:color="CCCCCC" w:sz="8" w:space="0"/>
              <w:left w:val="single" w:color="CCCCCC" w:sz="8" w:space="0"/>
              <w:bottom w:val="single" w:color="000000" w:sz="8" w:space="0"/>
              <w:right w:val="single" w:color="CCCCCC" w:sz="8" w:space="0"/>
            </w:tcBorders>
            <w:shd w:val="clear" w:color="auto" w:fill="auto"/>
            <w:tcMar>
              <w:top w:w="40" w:type="dxa"/>
              <w:left w:w="40" w:type="dxa"/>
              <w:bottom w:w="40" w:type="dxa"/>
              <w:right w:w="40" w:type="dxa"/>
            </w:tcMar>
            <w:vAlign w:val="bottom"/>
          </w:tcPr>
          <w:p w:rsidR="008272A7" w:rsidRDefault="00AD4AFD" w14:paraId="2BB46FF1" w14:textId="77777777">
            <w:pPr>
              <w:widowControl w:val="0"/>
              <w:jc w:val="center"/>
              <w:rPr>
                <w:sz w:val="20"/>
                <w:szCs w:val="20"/>
              </w:rPr>
            </w:pPr>
            <w:r>
              <w:t>counts/s</w:t>
            </w:r>
          </w:p>
        </w:tc>
        <w:tc>
          <w:tcPr>
            <w:tcW w:w="2805" w:type="dxa"/>
            <w:tcBorders>
              <w:top w:val="single" w:color="CCCCCC" w:sz="8" w:space="0"/>
              <w:left w:val="single" w:color="CCCCCC" w:sz="8" w:space="0"/>
              <w:bottom w:val="single" w:color="000000" w:sz="8" w:space="0"/>
              <w:right w:val="single" w:color="CCCCCC" w:sz="8" w:space="0"/>
            </w:tcBorders>
            <w:shd w:val="clear" w:color="auto" w:fill="auto"/>
            <w:tcMar>
              <w:top w:w="40" w:type="dxa"/>
              <w:left w:w="40" w:type="dxa"/>
              <w:bottom w:w="40" w:type="dxa"/>
              <w:right w:w="40" w:type="dxa"/>
            </w:tcMar>
            <w:vAlign w:val="bottom"/>
          </w:tcPr>
          <w:p w:rsidR="008272A7" w:rsidRDefault="00AD4AFD" w14:paraId="04D24EFD" w14:textId="77777777">
            <w:pPr>
              <w:widowControl w:val="0"/>
              <w:jc w:val="center"/>
              <w:rPr>
                <w:sz w:val="20"/>
                <w:szCs w:val="20"/>
              </w:rPr>
            </w:pPr>
            <w:r>
              <w:t>uncertainty +/- counts/s</w:t>
            </w:r>
          </w:p>
        </w:tc>
      </w:tr>
      <w:tr w:rsidR="008272A7" w14:paraId="37C993E5" w14:textId="77777777">
        <w:trPr>
          <w:trHeight w:val="315"/>
          <w:jc w:val="center"/>
        </w:trPr>
        <w:tc>
          <w:tcPr>
            <w:tcW w:w="3180" w:type="dxa"/>
            <w:tcBorders>
              <w:top w:val="single" w:color="CCCCCC" w:sz="8" w:space="0"/>
              <w:left w:val="single" w:color="CCCCCC" w:sz="8" w:space="0"/>
              <w:bottom w:val="single" w:color="CCCCCC" w:sz="8" w:space="0"/>
              <w:right w:val="single" w:color="CCCCCC" w:sz="8" w:space="0"/>
            </w:tcBorders>
            <w:shd w:val="clear" w:color="auto" w:fill="auto"/>
            <w:tcMar>
              <w:top w:w="40" w:type="dxa"/>
              <w:left w:w="40" w:type="dxa"/>
              <w:bottom w:w="40" w:type="dxa"/>
              <w:right w:w="40" w:type="dxa"/>
            </w:tcMar>
            <w:vAlign w:val="bottom"/>
          </w:tcPr>
          <w:p w:rsidR="008272A7" w:rsidRDefault="00176C57" w14:paraId="74C85CDA" w14:textId="77777777">
            <w:pPr>
              <w:widowControl w:val="0"/>
              <w:jc w:val="center"/>
              <w:rPr>
                <w:sz w:val="20"/>
                <w:szCs w:val="20"/>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b1</m:t>
                    </m:r>
                  </m:sub>
                </m:sSub>
              </m:oMath>
            </m:oMathPara>
          </w:p>
        </w:tc>
        <w:tc>
          <w:tcPr>
            <w:tcW w:w="2625" w:type="dxa"/>
            <w:tcBorders>
              <w:top w:val="single" w:color="CCCCCC" w:sz="8" w:space="0"/>
              <w:left w:val="single" w:color="CCCCCC" w:sz="8" w:space="0"/>
              <w:bottom w:val="single" w:color="CCCCCC" w:sz="8" w:space="0"/>
              <w:right w:val="single" w:color="CCCCCC" w:sz="8" w:space="0"/>
            </w:tcBorders>
            <w:shd w:val="clear" w:color="auto" w:fill="auto"/>
            <w:tcMar>
              <w:top w:w="40" w:type="dxa"/>
              <w:left w:w="40" w:type="dxa"/>
              <w:bottom w:w="40" w:type="dxa"/>
              <w:right w:w="40" w:type="dxa"/>
            </w:tcMar>
            <w:vAlign w:val="bottom"/>
          </w:tcPr>
          <w:p w:rsidR="008272A7" w:rsidRDefault="00AD4AFD" w14:paraId="5CC0C84B" w14:textId="77777777">
            <w:pPr>
              <w:widowControl w:val="0"/>
              <w:jc w:val="center"/>
              <w:rPr>
                <w:sz w:val="20"/>
                <w:szCs w:val="20"/>
              </w:rPr>
            </w:pPr>
            <w:r>
              <w:t>23.0</w:t>
            </w:r>
          </w:p>
        </w:tc>
        <w:tc>
          <w:tcPr>
            <w:tcW w:w="2805" w:type="dxa"/>
            <w:tcBorders>
              <w:top w:val="single" w:color="CCCCCC" w:sz="8" w:space="0"/>
              <w:left w:val="single" w:color="CCCCCC" w:sz="8" w:space="0"/>
              <w:bottom w:val="single" w:color="CCCCCC" w:sz="8" w:space="0"/>
              <w:right w:val="single" w:color="CCCCCC" w:sz="8" w:space="0"/>
            </w:tcBorders>
            <w:shd w:val="clear" w:color="auto" w:fill="auto"/>
            <w:tcMar>
              <w:top w:w="40" w:type="dxa"/>
              <w:left w:w="40" w:type="dxa"/>
              <w:bottom w:w="40" w:type="dxa"/>
              <w:right w:w="40" w:type="dxa"/>
            </w:tcMar>
            <w:vAlign w:val="bottom"/>
          </w:tcPr>
          <w:p w:rsidR="008272A7" w:rsidRDefault="00AD4AFD" w14:paraId="420168B5" w14:textId="77777777">
            <w:pPr>
              <w:widowControl w:val="0"/>
              <w:jc w:val="center"/>
              <w:rPr>
                <w:sz w:val="20"/>
                <w:szCs w:val="20"/>
              </w:rPr>
            </w:pPr>
            <w:r>
              <w:t>0.7</w:t>
            </w:r>
          </w:p>
        </w:tc>
      </w:tr>
      <w:tr w:rsidR="008272A7" w14:paraId="0D1FFA8D" w14:textId="77777777">
        <w:trPr>
          <w:trHeight w:val="315"/>
          <w:jc w:val="center"/>
        </w:trPr>
        <w:tc>
          <w:tcPr>
            <w:tcW w:w="3180" w:type="dxa"/>
            <w:tcBorders>
              <w:top w:val="single" w:color="CCCCCC" w:sz="8" w:space="0"/>
              <w:left w:val="single" w:color="CCCCCC" w:sz="8" w:space="0"/>
              <w:bottom w:val="single" w:color="CCCCCC" w:sz="8" w:space="0"/>
              <w:right w:val="single" w:color="CCCCCC" w:sz="8" w:space="0"/>
            </w:tcBorders>
            <w:shd w:val="clear" w:color="auto" w:fill="auto"/>
            <w:tcMar>
              <w:top w:w="40" w:type="dxa"/>
              <w:left w:w="40" w:type="dxa"/>
              <w:bottom w:w="40" w:type="dxa"/>
              <w:right w:w="40" w:type="dxa"/>
            </w:tcMar>
            <w:vAlign w:val="bottom"/>
          </w:tcPr>
          <w:p w:rsidR="008272A7" w:rsidRDefault="00176C57" w14:paraId="6A634F9B" w14:textId="77777777">
            <w:pPr>
              <w:widowControl w:val="0"/>
              <w:jc w:val="center"/>
              <w:rPr>
                <w:sz w:val="20"/>
                <w:szCs w:val="20"/>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b2</m:t>
                    </m:r>
                  </m:sub>
                </m:sSub>
              </m:oMath>
            </m:oMathPara>
          </w:p>
        </w:tc>
        <w:tc>
          <w:tcPr>
            <w:tcW w:w="2625" w:type="dxa"/>
            <w:tcBorders>
              <w:top w:val="single" w:color="CCCCCC" w:sz="8" w:space="0"/>
              <w:left w:val="single" w:color="CCCCCC" w:sz="8" w:space="0"/>
              <w:bottom w:val="single" w:color="CCCCCC" w:sz="8" w:space="0"/>
              <w:right w:val="single" w:color="CCCCCC" w:sz="8" w:space="0"/>
            </w:tcBorders>
            <w:shd w:val="clear" w:color="auto" w:fill="auto"/>
            <w:tcMar>
              <w:top w:w="40" w:type="dxa"/>
              <w:left w:w="40" w:type="dxa"/>
              <w:bottom w:w="40" w:type="dxa"/>
              <w:right w:w="40" w:type="dxa"/>
            </w:tcMar>
            <w:vAlign w:val="bottom"/>
          </w:tcPr>
          <w:p w:rsidR="008272A7" w:rsidRDefault="00AD4AFD" w14:paraId="0BFBEFFB" w14:textId="77777777">
            <w:pPr>
              <w:widowControl w:val="0"/>
              <w:jc w:val="center"/>
              <w:rPr>
                <w:sz w:val="20"/>
                <w:szCs w:val="20"/>
              </w:rPr>
            </w:pPr>
            <w:r>
              <w:t>6.7</w:t>
            </w:r>
          </w:p>
        </w:tc>
        <w:tc>
          <w:tcPr>
            <w:tcW w:w="2805" w:type="dxa"/>
            <w:tcBorders>
              <w:top w:val="single" w:color="CCCCCC" w:sz="8" w:space="0"/>
              <w:left w:val="single" w:color="CCCCCC" w:sz="8" w:space="0"/>
              <w:bottom w:val="single" w:color="CCCCCC" w:sz="8" w:space="0"/>
              <w:right w:val="single" w:color="CCCCCC" w:sz="8" w:space="0"/>
            </w:tcBorders>
            <w:shd w:val="clear" w:color="auto" w:fill="auto"/>
            <w:tcMar>
              <w:top w:w="40" w:type="dxa"/>
              <w:left w:w="40" w:type="dxa"/>
              <w:bottom w:w="40" w:type="dxa"/>
              <w:right w:w="40" w:type="dxa"/>
            </w:tcMar>
            <w:vAlign w:val="bottom"/>
          </w:tcPr>
          <w:p w:rsidR="008272A7" w:rsidRDefault="00AD4AFD" w14:paraId="2C272389" w14:textId="77777777">
            <w:pPr>
              <w:widowControl w:val="0"/>
              <w:jc w:val="center"/>
              <w:rPr>
                <w:sz w:val="20"/>
                <w:szCs w:val="20"/>
              </w:rPr>
            </w:pPr>
            <w:r>
              <w:t>0.3</w:t>
            </w:r>
          </w:p>
        </w:tc>
      </w:tr>
    </w:tbl>
    <w:p w:rsidR="008272A7" w:rsidRDefault="008272A7" w14:paraId="3B7B4B86" w14:textId="77777777">
      <w:pPr>
        <w:jc w:val="center"/>
      </w:pPr>
    </w:p>
    <w:p w:rsidR="008272A7" w:rsidP="5F8845F1" w:rsidRDefault="01326C61" w14:paraId="77B16572" w14:textId="07208C58">
      <w:pPr>
        <w:rPr>
          <w:lang w:val="en-US"/>
        </w:rPr>
      </w:pPr>
      <w:r w:rsidRPr="5F8845F1">
        <w:rPr>
          <w:lang w:val="en-US"/>
        </w:rPr>
        <w:t xml:space="preserve">We calculate the true decay rate </w:t>
      </w:r>
      <w:r w:rsidRPr="5F8845F1" w:rsidR="00AD4AFD">
        <w:rPr>
          <w:lang w:val="en-US"/>
        </w:rPr>
        <w:t>of the sample with</w:t>
      </w:r>
      <w:r w:rsidRPr="5F8845F1" w:rsidR="214FFD5F">
        <w:rPr>
          <w:lang w:val="en-US"/>
        </w:rPr>
        <w:t xml:space="preserve"> </w:t>
      </w:r>
      <m:oMath>
        <m:r>
          <w:rPr>
            <w:rFonts w:ascii="Cambria Math" w:hAnsi="Cambria Math"/>
          </w:rPr>
          <m:t>D = </m:t>
        </m:r>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 - </m:t>
        </m:r>
        <m:sSub>
          <m:sSubPr>
            <m:ctrlPr>
              <w:rPr>
                <w:rFonts w:ascii="Cambria Math" w:hAnsi="Cambria Math"/>
              </w:rPr>
            </m:ctrlPr>
          </m:sSubPr>
          <m:e>
            <m:r>
              <w:rPr>
                <w:rFonts w:ascii="Cambria Math" w:hAnsi="Cambria Math"/>
              </w:rPr>
              <m:t>D</m:t>
            </m:r>
          </m:e>
          <m:sub>
            <m:r>
              <w:rPr>
                <w:rFonts w:ascii="Cambria Math" w:hAnsi="Cambria Math"/>
              </w:rPr>
              <m:t>b</m:t>
            </m:r>
          </m:sub>
        </m:sSub>
      </m:oMath>
      <w:r w:rsidRPr="5F8845F1" w:rsidR="214FFD5F">
        <w:rPr>
          <w:lang w:val="en-US"/>
        </w:rPr>
        <w:t xml:space="preserve"> and calculate the error with (11)</w:t>
      </w:r>
      <w:r w:rsidRPr="5F8845F1" w:rsidR="5F26A0C8">
        <w:rPr>
          <w:lang w:val="en-US"/>
        </w:rPr>
        <w:t xml:space="preserve">, where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b</m:t>
                </m:r>
              </m:sub>
            </m:sSub>
          </m:sub>
        </m:sSub>
      </m:oMath>
      <w:r w:rsidRPr="5F8845F1" w:rsidR="00AD4AFD">
        <w:rPr>
          <w:lang w:val="en-US"/>
        </w:rPr>
        <w:t xml:space="preserve"> </w:t>
      </w:r>
      <w:r w:rsidRPr="5F8845F1" w:rsidR="3DA51F0C">
        <w:rPr>
          <w:lang w:val="en-US"/>
        </w:rPr>
        <w:t>is the standard deviation of the mean.</w:t>
      </w:r>
    </w:p>
    <w:p w:rsidR="5F8845F1" w:rsidP="5F8845F1" w:rsidRDefault="5F8845F1" w14:paraId="307362A8" w14:textId="17C911BE">
      <w:pPr>
        <w:rPr>
          <w:lang w:val="en-US"/>
        </w:rPr>
      </w:pPr>
    </w:p>
    <w:p w:rsidR="5F8845F1" w:rsidP="5F8845F1" w:rsidRDefault="00176C57" w14:paraId="50C146A5" w14:textId="681FED6C">
      <w:pPr>
        <w:jc w:val="center"/>
        <w:rPr>
          <w:lang w:val="en-US"/>
        </w:rP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i</m:t>
                  </m:r>
                </m:sub>
              </m:sSub>
            </m:sub>
          </m:sSub>
          <m:r>
            <w:rPr>
              <w:rFonts w:ascii="Cambria Math" w:hAnsi="Cambria Math"/>
            </w:rPr>
            <m:t> = 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b</m:t>
                      </m:r>
                    </m:sub>
                  </m:sSub>
                </m:sub>
                <m:sup>
                  <m:r>
                    <w:rPr>
                      <w:rFonts w:ascii="Cambria Math" w:hAnsi="Cambria Math"/>
                    </w:rPr>
                    <m:t>2</m:t>
                  </m:r>
                </m:sup>
              </m:sSubSup>
            </m:e>
          </m:rad>
        </m:oMath>
      </m:oMathPara>
    </w:p>
    <w:p w:rsidR="5F8845F1" w:rsidP="5F8845F1" w:rsidRDefault="5F8845F1" w14:paraId="4333AD44" w14:textId="1CED946E">
      <w:pPr>
        <w:rPr>
          <w:lang w:val="en-US"/>
        </w:rPr>
      </w:pPr>
    </w:p>
    <w:p w:rsidR="008272A7" w:rsidRDefault="2165F8FD" w14:paraId="082BD7E6" w14:textId="08EA32A3">
      <w:r w:rsidRPr="5F8845F1">
        <w:rPr>
          <w:lang w:val="en-US"/>
        </w:rPr>
        <w:t xml:space="preserve">We find the uncertainty in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5F8845F1" w:rsidR="5AE5B6AA">
        <w:rPr>
          <w:lang w:val="en-US"/>
        </w:rPr>
        <w:t xml:space="preserve"> by</w:t>
      </w:r>
      <w:r w:rsidRPr="5F8845F1" w:rsidR="00AD4AFD">
        <w:rPr>
          <w:lang w:val="en-US"/>
        </w:rPr>
        <w:t xml:space="preserve"> substituting </w:t>
      </w:r>
      <w:r w:rsidRPr="5F8845F1" w:rsidR="4B6E0CCD">
        <w:rPr>
          <w:lang w:val="en-US"/>
        </w:rPr>
        <w:t>(</w:t>
      </w:r>
      <w:r w:rsidRPr="5F8845F1" w:rsidR="00AD4AFD">
        <w:rPr>
          <w:lang w:val="en-US"/>
        </w:rPr>
        <w:t>11</w:t>
      </w:r>
      <w:r w:rsidRPr="5F8845F1" w:rsidR="0BBD7B52">
        <w:rPr>
          <w:lang w:val="en-US"/>
        </w:rPr>
        <w:t>)</w:t>
      </w:r>
      <w:r w:rsidRPr="5F8845F1" w:rsidR="00AD4AFD">
        <w:rPr>
          <w:lang w:val="en-US"/>
        </w:rPr>
        <w:t xml:space="preserve"> into </w:t>
      </w:r>
      <w:r w:rsidRPr="5F8845F1" w:rsidR="2A7C58F9">
        <w:rPr>
          <w:lang w:val="en-US"/>
        </w:rPr>
        <w:t>(</w:t>
      </w:r>
      <w:r w:rsidRPr="5F8845F1" w:rsidR="00AD4AFD">
        <w:rPr>
          <w:lang w:val="en-US"/>
        </w:rPr>
        <w:t>12</w:t>
      </w:r>
      <w:r w:rsidRPr="5F8845F1" w:rsidR="64E9A55F">
        <w:rPr>
          <w:lang w:val="en-US"/>
        </w:rPr>
        <w:t>), shown below</w:t>
      </w:r>
      <w:r w:rsidRPr="5F8845F1" w:rsidR="00AD4AFD">
        <w:rPr>
          <w:lang w:val="en-US"/>
        </w:rPr>
        <w:t>.</w:t>
      </w:r>
    </w:p>
    <w:p w:rsidR="5F8845F1" w:rsidP="5F8845F1" w:rsidRDefault="5F8845F1" w14:paraId="6AB2E7F8" w14:textId="7F4D562D">
      <w:pPr>
        <w:rPr>
          <w:lang w:val="en-US"/>
        </w:rPr>
      </w:pPr>
    </w:p>
    <w:p w:rsidR="5F8845F1" w:rsidP="5F8845F1" w:rsidRDefault="00176C57" w14:paraId="263678A2" w14:textId="10986932">
      <w:pPr>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Sub>
          <m:r>
            <w:rPr>
              <w:rFonts w:ascii="Cambria Math" w:hAnsi="Cambria Math"/>
            </w:rPr>
            <m:t> = </m:t>
          </m:r>
          <m:f>
            <m:fPr>
              <m:ctrlPr>
                <w:rPr>
                  <w:rFonts w:ascii="Cambria Math" w:hAnsi="Cambria Math"/>
                </w:rPr>
              </m:ctrlPr>
            </m:fPr>
            <m:num>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i</m:t>
                      </m:r>
                    </m:sub>
                  </m:sSub>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r>
            <w:rPr>
              <w:rFonts w:ascii="Cambria Math" w:hAnsi="Cambria Math"/>
            </w:rPr>
            <m:t> = </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D</m:t>
                      </m:r>
                    </m:e>
                    <m:sub>
                      <m:r>
                        <w:rPr>
                          <w:rFonts w:ascii="Cambria Math" w:hAnsi="Cambria Math"/>
                        </w:rPr>
                        <m:t>b</m:t>
                      </m:r>
                    </m:sub>
                  </m:sSub>
                </m:sub>
                <m:sup>
                  <m:r>
                    <w:rPr>
                      <w:rFonts w:ascii="Cambria Math" w:hAnsi="Cambria Math"/>
                    </w:rPr>
                    <m:t>2</m:t>
                  </m:r>
                </m:sup>
              </m:sSubSup>
            </m:e>
          </m:rad>
          <m:r>
            <w:rPr>
              <w:rFonts w:ascii="Cambria Math" w:hAnsi="Cambria Math"/>
            </w:rPr>
            <m:t> </m:t>
          </m:r>
        </m:oMath>
      </m:oMathPara>
    </w:p>
    <w:p w:rsidR="5F8845F1" w:rsidP="5F8845F1" w:rsidRDefault="5F8845F1" w14:paraId="0F05E5F2" w14:textId="53A10C16">
      <w:pPr>
        <w:jc w:val="center"/>
        <w:rPr>
          <w:lang w:val="en-US"/>
        </w:rPr>
      </w:pPr>
    </w:p>
    <w:p w:rsidR="008272A7" w:rsidRDefault="008272A7" w14:paraId="2BA226A1" w14:textId="77777777"/>
    <w:p w:rsidR="008272A7" w:rsidP="5F8845F1" w:rsidRDefault="00AD4AFD" w14:paraId="21323BE8" w14:textId="508099FD">
      <w:pPr>
        <w:numPr>
          <w:ilvl w:val="0"/>
          <w:numId w:val="1"/>
        </w:numPr>
        <w:rPr>
          <w:lang w:val="en-US"/>
        </w:rPr>
      </w:pPr>
      <w:r w:rsidRPr="5F8845F1">
        <w:rPr>
          <w:lang w:val="en-US"/>
        </w:rPr>
        <w:t>We plot the results found in part E</w:t>
      </w:r>
      <w:r w:rsidRPr="5F8845F1" w:rsidR="166C88FC">
        <w:rPr>
          <w:lang w:val="en-US"/>
        </w:rPr>
        <w:t xml:space="preserve">, </w:t>
      </w:r>
      <m:oMath>
        <m:d>
          <m:dPr>
            <m:ctrlPr>
              <w:rPr>
                <w:rFonts w:ascii="Cambria Math" w:hAnsi="Cambria Math"/>
              </w:rPr>
            </m:ctrlPr>
          </m:dPr>
          <m:e>
            <m:r>
              <w:rPr>
                <w:rFonts w:ascii="Cambria Math" w:hAnsi="Cambria Math"/>
              </w:rPr>
              <m:t>D vs. t </m:t>
            </m:r>
          </m:e>
        </m:d>
      </m:oMath>
      <w:r w:rsidRPr="5F8845F1" w:rsidR="0C69B1FA">
        <w:rPr>
          <w:lang w:val="en-US"/>
        </w:rPr>
        <w:t xml:space="preserve"> and </w:t>
      </w:r>
      <m:oMath>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D</m:t>
                    </m:r>
                  </m:e>
                </m:d>
              </m:e>
            </m:func>
            <m:r>
              <w:rPr>
                <w:rFonts w:ascii="Cambria Math" w:hAnsi="Cambria Math"/>
              </w:rPr>
              <m:t> vs t</m:t>
            </m:r>
          </m:e>
        </m:d>
      </m:oMath>
      <w:r w:rsidRPr="5F8845F1" w:rsidR="17CCB8AE">
        <w:rPr>
          <w:lang w:val="en-US"/>
        </w:rPr>
        <w:t xml:space="preserve">. We </w:t>
      </w:r>
      <w:r w:rsidRPr="5F8845F1">
        <w:rPr>
          <w:lang w:val="en-US"/>
        </w:rPr>
        <w:t>use</w:t>
      </w:r>
    </w:p>
    <w:p w:rsidR="00AD4AFD" w:rsidP="5F8845F1" w:rsidRDefault="00AD4AFD" w14:paraId="344E4B02" w14:textId="141AE533">
      <w:pPr>
        <w:rPr>
          <w:lang w:val="en-US"/>
        </w:rPr>
      </w:pPr>
      <w:r w:rsidRPr="5F8845F1">
        <w:rPr>
          <w:lang w:val="en-US"/>
        </w:rPr>
        <w:t>the least square fit method</w:t>
      </w:r>
      <w:r w:rsidRPr="5F8845F1" w:rsidR="6105CEE7">
        <w:rPr>
          <w:lang w:val="en-US"/>
        </w:rPr>
        <w:t xml:space="preserve"> with </w:t>
      </w:r>
      <w:r w:rsidRPr="5F8845F1" w:rsidR="738892D3">
        <w:rPr>
          <w:lang w:val="en-US"/>
        </w:rPr>
        <w:t>(6), (7), and (8)</w:t>
      </w:r>
      <w:r w:rsidRPr="5F8845F1">
        <w:rPr>
          <w:lang w:val="en-US"/>
        </w:rPr>
        <w:t xml:space="preserve"> </w:t>
      </w:r>
      <w:r w:rsidRPr="5F8845F1" w:rsidR="4085E46C">
        <w:rPr>
          <w:lang w:val="en-US"/>
        </w:rPr>
        <w:t>for</w:t>
      </w:r>
      <w:r w:rsidRPr="5F8845F1">
        <w:rPr>
          <w:lang w:val="en-US"/>
        </w:rPr>
        <w:t xml:space="preserve"> </w:t>
      </w:r>
      <w:r w:rsidRPr="5F8845F1" w:rsidR="226237E0">
        <w:rPr>
          <w:lang w:val="en-US"/>
        </w:rPr>
        <w:t>the data shown in figures 2 and 3.</w:t>
      </w:r>
    </w:p>
    <w:p w:rsidR="008272A7" w:rsidRDefault="008272A7" w14:paraId="17AD93B2" w14:textId="77777777"/>
    <w:p w:rsidR="008272A7" w:rsidRDefault="00AD4AFD" w14:paraId="0DE4B5B7" w14:textId="77777777">
      <w:pPr>
        <w:jc w:val="center"/>
      </w:pPr>
      <w:r>
        <w:rPr>
          <w:noProof/>
        </w:rPr>
        <w:drawing>
          <wp:inline distT="114300" distB="114300" distL="114300" distR="114300" wp14:anchorId="500CC4EB" wp14:editId="07777777">
            <wp:extent cx="4854466" cy="37585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54466" cy="3758574"/>
                    </a:xfrm>
                    <a:prstGeom prst="rect">
                      <a:avLst/>
                    </a:prstGeom>
                    <a:ln/>
                  </pic:spPr>
                </pic:pic>
              </a:graphicData>
            </a:graphic>
          </wp:inline>
        </w:drawing>
      </w:r>
    </w:p>
    <w:p w:rsidR="008272A7" w:rsidRDefault="008272A7" w14:paraId="66204FF1" w14:textId="77777777"/>
    <w:p w:rsidR="008272A7" w:rsidRDefault="00AD4AFD" w14:paraId="2DBF0D7D" w14:textId="77777777">
      <w:pPr>
        <w:jc w:val="center"/>
      </w:pPr>
      <w:r>
        <w:rPr>
          <w:noProof/>
        </w:rPr>
        <w:drawing>
          <wp:inline distT="114300" distB="114300" distL="114300" distR="114300" wp14:anchorId="4E1EE70F" wp14:editId="07777777">
            <wp:extent cx="4831827" cy="374511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31827" cy="3745115"/>
                    </a:xfrm>
                    <a:prstGeom prst="rect">
                      <a:avLst/>
                    </a:prstGeom>
                    <a:ln/>
                  </pic:spPr>
                </pic:pic>
              </a:graphicData>
            </a:graphic>
          </wp:inline>
        </w:drawing>
      </w:r>
    </w:p>
    <w:p w:rsidR="008272A7" w:rsidRDefault="008272A7" w14:paraId="6B62F1B3" w14:textId="77777777"/>
    <w:p w:rsidR="008272A7" w:rsidP="009B6FDC" w:rsidRDefault="008272A7" w14:paraId="680A4E5D" w14:textId="77777777"/>
    <w:p w:rsidR="008272A7" w:rsidRDefault="00AD4AFD" w14:paraId="2A570F66" w14:textId="5C467BFD">
      <w:pPr>
        <w:numPr>
          <w:ilvl w:val="0"/>
          <w:numId w:val="1"/>
        </w:numPr>
      </w:pPr>
      <w:r w:rsidRPr="5F8845F1">
        <w:rPr>
          <w:lang w:val="en-US"/>
        </w:rPr>
        <w:t xml:space="preserve">We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Pr="5F8845F1" w:rsidR="36AB2802">
        <w:rPr>
          <w:lang w:val="en-US"/>
        </w:rPr>
        <w:t xml:space="preserve">, </w:t>
      </w:r>
      <m:oMath>
        <m:sSub>
          <m:sSubPr>
            <m:ctrlPr>
              <w:rPr>
                <w:rFonts w:ascii="Cambria Math" w:hAnsi="Cambria Math"/>
              </w:rPr>
            </m:ctrlPr>
          </m:sSubPr>
          <m:e>
            <m:r>
              <w:rPr>
                <w:rFonts w:ascii="Cambria Math" w:hAnsi="Cambria Math"/>
              </w:rPr>
              <m:t>σ</m:t>
            </m:r>
          </m:e>
          <m:sub>
            <m:r>
              <w:rPr>
                <w:rFonts w:ascii="Cambria Math" w:hAnsi="Cambria Math"/>
              </w:rPr>
              <m:t>B</m:t>
            </m:r>
          </m:sub>
        </m:sSub>
      </m:oMath>
      <w:r w:rsidRPr="5F8845F1" w:rsidR="36AB2802">
        <w:rPr>
          <w:lang w:val="en-US"/>
        </w:rPr>
        <w:t xml:space="preserve">, and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5F8845F1" w:rsidR="36AB2802">
        <w:rPr>
          <w:lang w:val="en-US"/>
        </w:rPr>
        <w:t xml:space="preserve"> shown in t</w:t>
      </w:r>
      <w:r w:rsidRPr="5F8845F1">
        <w:rPr>
          <w:lang w:val="en-US"/>
        </w:rPr>
        <w:t xml:space="preserve">able 2 with </w:t>
      </w:r>
      <w:r w:rsidRPr="5F8845F1" w:rsidR="5E68528A">
        <w:rPr>
          <w:lang w:val="en-US"/>
        </w:rPr>
        <w:t>(5), (9), and (10)</w:t>
      </w:r>
      <w:r w:rsidRPr="5F8845F1">
        <w:rPr>
          <w:lang w:val="en-US"/>
        </w:rPr>
        <w:t>. The calculations proved</w:t>
      </w:r>
    </w:p>
    <w:p w:rsidR="008272A7" w:rsidP="5F8845F1" w:rsidRDefault="00AD4AFD" w14:paraId="5A36F3EA" w14:textId="2199A74D">
      <w:r>
        <w:t xml:space="preserve">effective as the measured values correspond well with accepted values as discussed in the following section. We can see in the graphs that as time goes on, the individual error bars become larger. This makes sense because, as the sample gamma-decays, we have less and less counts and thus less and less data to reduce uncertainty. This corresponds to the theory of the Poisson distribution, </w:t>
      </w:r>
      <w:r w:rsidR="49FF1791">
        <w:t>in which</w:t>
      </w:r>
      <w:r>
        <w:t xml:space="preserve"> more measurements </w:t>
      </w:r>
      <w:r w:rsidR="0B95E86E">
        <w:t xml:space="preserve">imply </w:t>
      </w:r>
      <w:r>
        <w:t>reduce</w:t>
      </w:r>
      <w:r w:rsidR="4D94261D">
        <w:t>d</w:t>
      </w:r>
      <w:r>
        <w:t xml:space="preserve"> uncertainty.</w:t>
      </w:r>
    </w:p>
    <w:p w:rsidR="008272A7" w:rsidRDefault="008272A7" w14:paraId="19219836" w14:textId="77777777">
      <w:pPr>
        <w:jc w:val="center"/>
      </w:pPr>
    </w:p>
    <w:tbl>
      <w:tblPr>
        <w:tblStyle w:val="a8"/>
        <w:tblW w:w="8610" w:type="dxa"/>
        <w:jc w:val="center"/>
        <w:tblBorders>
          <w:top w:val="nil"/>
          <w:left w:val="nil"/>
          <w:bottom w:val="nil"/>
          <w:right w:val="nil"/>
          <w:insideH w:val="nil"/>
          <w:insideV w:val="nil"/>
        </w:tblBorders>
        <w:tblLayout w:type="fixed"/>
        <w:tblLook w:val="0600" w:firstRow="0" w:lastRow="0" w:firstColumn="0" w:lastColumn="0" w:noHBand="1" w:noVBand="1"/>
      </w:tblPr>
      <w:tblGrid>
        <w:gridCol w:w="3180"/>
        <w:gridCol w:w="2625"/>
        <w:gridCol w:w="2805"/>
      </w:tblGrid>
      <w:tr w:rsidR="008272A7" w14:paraId="17427060" w14:textId="77777777">
        <w:trPr>
          <w:trHeight w:val="330"/>
          <w:jc w:val="center"/>
        </w:trPr>
        <w:tc>
          <w:tcPr>
            <w:tcW w:w="8610" w:type="dxa"/>
            <w:gridSpan w:val="3"/>
            <w:tcBorders>
              <w:top w:val="single" w:color="CCCCCC" w:sz="6" w:space="0"/>
              <w:left w:val="single" w:color="CCCCCC" w:sz="6" w:space="0"/>
              <w:bottom w:val="single" w:color="000000" w:sz="18" w:space="0"/>
              <w:right w:val="single" w:color="CCCCCC" w:sz="6" w:space="0"/>
            </w:tcBorders>
            <w:tcMar>
              <w:top w:w="40" w:type="dxa"/>
              <w:left w:w="40" w:type="dxa"/>
              <w:bottom w:w="40" w:type="dxa"/>
              <w:right w:w="40" w:type="dxa"/>
            </w:tcMar>
            <w:vAlign w:val="bottom"/>
          </w:tcPr>
          <w:p w:rsidR="008272A7" w:rsidRDefault="00AD4AFD" w14:paraId="2B210E1F" w14:textId="77777777">
            <w:pPr>
              <w:widowControl w:val="0"/>
              <w:jc w:val="center"/>
              <w:rPr>
                <w:sz w:val="20"/>
                <w:szCs w:val="20"/>
              </w:rPr>
            </w:pPr>
            <w:r>
              <w:rPr>
                <w:b/>
                <w:i/>
              </w:rPr>
              <w:t xml:space="preserve">Table 2: </w:t>
            </w:r>
            <w:r>
              <w:rPr>
                <w:i/>
              </w:rPr>
              <w:t xml:space="preserve">Parameters A, B, Initial Decay Rate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Pr>
                <w:i/>
              </w:rPr>
              <w:t xml:space="preserve">, and half-life </w:t>
            </w:r>
            <m:oMath>
              <m:sSub>
                <m:sSubPr>
                  <m:ctrlPr>
                    <w:rPr>
                      <w:rFonts w:ascii="Cambria Math" w:hAnsi="Cambria Math"/>
                      <w:i/>
                    </w:rPr>
                  </m:ctrlPr>
                </m:sSubPr>
                <m:e>
                  <m:r>
                    <w:rPr>
                      <w:rFonts w:ascii="Cambria Math" w:hAnsi="Cambria Math"/>
                    </w:rPr>
                    <m:t>τ</m:t>
                  </m:r>
                </m:e>
                <m:sub>
                  <m:r>
                    <w:rPr>
                      <w:rFonts w:ascii="Cambria Math" w:hAnsi="Cambria Math"/>
                    </w:rPr>
                    <m:t>1/2</m:t>
                  </m:r>
                </m:sub>
              </m:sSub>
            </m:oMath>
          </w:p>
        </w:tc>
      </w:tr>
      <w:tr w:rsidR="008272A7" w14:paraId="369FF390" w14:textId="77777777">
        <w:trPr>
          <w:trHeight w:val="330"/>
          <w:jc w:val="center"/>
        </w:trPr>
        <w:tc>
          <w:tcPr>
            <w:tcW w:w="3180"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008272A7" w:rsidRDefault="00AD4AFD" w14:paraId="1471D45A" w14:textId="77777777">
            <w:pPr>
              <w:widowControl w:val="0"/>
              <w:jc w:val="center"/>
              <w:rPr>
                <w:sz w:val="20"/>
                <w:szCs w:val="20"/>
              </w:rPr>
            </w:pPr>
            <w:r>
              <w:t>Parameter</w:t>
            </w:r>
          </w:p>
        </w:tc>
        <w:tc>
          <w:tcPr>
            <w:tcW w:w="262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008272A7" w:rsidRDefault="00AD4AFD" w14:paraId="18D09FFA" w14:textId="77777777">
            <w:pPr>
              <w:widowControl w:val="0"/>
              <w:jc w:val="center"/>
              <w:rPr>
                <w:sz w:val="20"/>
                <w:szCs w:val="20"/>
              </w:rPr>
            </w:pPr>
            <w:r>
              <w:t>value</w:t>
            </w:r>
          </w:p>
        </w:tc>
        <w:tc>
          <w:tcPr>
            <w:tcW w:w="2805" w:type="dxa"/>
            <w:tcBorders>
              <w:top w:val="single" w:color="CCCCCC" w:sz="6" w:space="0"/>
              <w:left w:val="single" w:color="CCCCCC" w:sz="6" w:space="0"/>
              <w:bottom w:val="single" w:color="000000" w:sz="6" w:space="0"/>
              <w:right w:val="single" w:color="CCCCCC" w:sz="6" w:space="0"/>
            </w:tcBorders>
            <w:shd w:val="clear" w:color="auto" w:fill="auto"/>
            <w:tcMar>
              <w:top w:w="40" w:type="dxa"/>
              <w:left w:w="40" w:type="dxa"/>
              <w:bottom w:w="40" w:type="dxa"/>
              <w:right w:w="40" w:type="dxa"/>
            </w:tcMar>
            <w:vAlign w:val="bottom"/>
          </w:tcPr>
          <w:p w:rsidR="008272A7" w:rsidRDefault="00AD4AFD" w14:paraId="601A505E" w14:textId="77777777">
            <w:pPr>
              <w:widowControl w:val="0"/>
              <w:jc w:val="center"/>
              <w:rPr>
                <w:sz w:val="20"/>
                <w:szCs w:val="20"/>
              </w:rPr>
            </w:pPr>
            <w:r>
              <w:t>uncertainty (+/-)</w:t>
            </w:r>
          </w:p>
        </w:tc>
      </w:tr>
      <w:tr w:rsidR="008272A7" w14:paraId="20F74FD5" w14:textId="77777777">
        <w:trPr>
          <w:trHeight w:val="315"/>
          <w:jc w:val="center"/>
        </w:trPr>
        <w:tc>
          <w:tcPr>
            <w:tcW w:w="3180"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5316D17B" w14:textId="77777777">
            <w:pPr>
              <w:widowControl w:val="0"/>
              <w:jc w:val="center"/>
              <w:rPr>
                <w:sz w:val="20"/>
                <w:szCs w:val="20"/>
              </w:rPr>
            </w:pPr>
            <m:oMathPara>
              <m:oMath>
                <m:r>
                  <w:rPr>
                    <w:rFonts w:ascii="Cambria Math" w:hAnsi="Cambria Math"/>
                  </w:rPr>
                  <m:t>A</m:t>
                </m:r>
              </m:oMath>
            </m:oMathPara>
          </w:p>
        </w:tc>
        <w:tc>
          <w:tcPr>
            <w:tcW w:w="262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60EC3469" w14:textId="77777777">
            <w:pPr>
              <w:widowControl w:val="0"/>
              <w:jc w:val="center"/>
              <w:rPr>
                <w:sz w:val="20"/>
                <w:szCs w:val="20"/>
              </w:rPr>
            </w:pPr>
            <w:r>
              <w:t>5.84</w:t>
            </w:r>
          </w:p>
        </w:tc>
        <w:tc>
          <w:tcPr>
            <w:tcW w:w="280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1AED638C" w14:textId="77777777">
            <w:pPr>
              <w:widowControl w:val="0"/>
              <w:jc w:val="center"/>
              <w:rPr>
                <w:sz w:val="20"/>
                <w:szCs w:val="20"/>
              </w:rPr>
            </w:pPr>
            <w:r>
              <w:t>0.02</w:t>
            </w:r>
          </w:p>
        </w:tc>
      </w:tr>
      <w:tr w:rsidR="008272A7" w14:paraId="002E5799" w14:textId="77777777">
        <w:trPr>
          <w:trHeight w:val="315"/>
          <w:jc w:val="center"/>
        </w:trPr>
        <w:tc>
          <w:tcPr>
            <w:tcW w:w="3180"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1F79C696" w14:textId="77777777">
            <w:pPr>
              <w:widowControl w:val="0"/>
              <w:jc w:val="center"/>
              <w:rPr>
                <w:sz w:val="20"/>
                <w:szCs w:val="20"/>
              </w:rPr>
            </w:pPr>
            <m:oMathPara>
              <m:oMath>
                <m:r>
                  <w:rPr>
                    <w:rFonts w:ascii="Cambria Math" w:hAnsi="Cambria Math"/>
                  </w:rPr>
                  <m:t>B (1/ s)</m:t>
                </m:r>
              </m:oMath>
            </m:oMathPara>
          </w:p>
        </w:tc>
        <w:tc>
          <w:tcPr>
            <w:tcW w:w="262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0682A1A9" w14:textId="77777777">
            <w:pPr>
              <w:widowControl w:val="0"/>
              <w:jc w:val="center"/>
              <w:rPr>
                <w:sz w:val="20"/>
                <w:szCs w:val="20"/>
              </w:rPr>
            </w:pPr>
            <w:r>
              <w:t>-0.00445</w:t>
            </w:r>
          </w:p>
        </w:tc>
        <w:tc>
          <w:tcPr>
            <w:tcW w:w="280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6B7AC572" w14:textId="77777777">
            <w:pPr>
              <w:widowControl w:val="0"/>
              <w:jc w:val="center"/>
              <w:rPr>
                <w:sz w:val="20"/>
                <w:szCs w:val="20"/>
              </w:rPr>
            </w:pPr>
            <w:r>
              <w:t>0.00009</w:t>
            </w:r>
          </w:p>
        </w:tc>
      </w:tr>
      <w:tr w:rsidR="008272A7" w14:paraId="2328ABC1" w14:textId="77777777">
        <w:trPr>
          <w:trHeight w:val="315"/>
          <w:jc w:val="center"/>
        </w:trPr>
        <w:tc>
          <w:tcPr>
            <w:tcW w:w="3180"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176C57" w14:paraId="5A0FA8D5" w14:textId="77777777">
            <w:pPr>
              <w:widowControl w:val="0"/>
              <w:jc w:val="center"/>
              <w:rPr>
                <w:sz w:val="20"/>
                <w:szCs w:val="20"/>
              </w:rPr>
            </w:pPr>
            <m:oMath>
              <m:sSub>
                <m:sSubPr>
                  <m:ctrlPr>
                    <w:rPr>
                      <w:rFonts w:ascii="Cambria Math" w:hAnsi="Cambria Math"/>
                    </w:rPr>
                  </m:ctrlPr>
                </m:sSubPr>
                <m:e>
                  <m:r>
                    <w:rPr>
                      <w:rFonts w:ascii="Cambria Math" w:hAnsi="Cambria Math"/>
                    </w:rPr>
                    <m:t>D</m:t>
                  </m:r>
                </m:e>
                <m:sub>
                  <m:r>
                    <w:rPr>
                      <w:rFonts w:ascii="Cambria Math" w:hAnsi="Cambria Math"/>
                    </w:rPr>
                    <m:t>0</m:t>
                  </m:r>
                </m:sub>
              </m:sSub>
              <m:r>
                <w:rPr>
                  <w:rFonts w:ascii="Cambria Math" w:hAnsi="Cambria Math"/>
                </w:rPr>
                <m:t xml:space="preserve"> (counts/s)</m:t>
              </m:r>
            </m:oMath>
            <w:r w:rsidR="00AD4AFD">
              <w:rPr>
                <w:sz w:val="20"/>
                <w:szCs w:val="20"/>
              </w:rPr>
              <w:t xml:space="preserve"> </w:t>
            </w:r>
          </w:p>
        </w:tc>
        <w:tc>
          <w:tcPr>
            <w:tcW w:w="262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0B99BD42" w14:textId="77777777">
            <w:pPr>
              <w:widowControl w:val="0"/>
              <w:jc w:val="center"/>
              <w:rPr>
                <w:sz w:val="20"/>
                <w:szCs w:val="20"/>
              </w:rPr>
            </w:pPr>
            <w:r>
              <w:rPr>
                <w:sz w:val="20"/>
                <w:szCs w:val="20"/>
              </w:rPr>
              <w:t>343</w:t>
            </w:r>
          </w:p>
        </w:tc>
        <w:tc>
          <w:tcPr>
            <w:tcW w:w="280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75697EEC" w14:textId="77777777">
            <w:pPr>
              <w:widowControl w:val="0"/>
              <w:jc w:val="center"/>
              <w:rPr>
                <w:sz w:val="20"/>
                <w:szCs w:val="20"/>
              </w:rPr>
            </w:pPr>
            <w:r>
              <w:rPr>
                <w:sz w:val="20"/>
                <w:szCs w:val="20"/>
              </w:rPr>
              <w:t>7</w:t>
            </w:r>
          </w:p>
        </w:tc>
      </w:tr>
      <w:tr w:rsidR="008272A7" w14:paraId="3DC2C66B" w14:textId="77777777">
        <w:trPr>
          <w:trHeight w:val="315"/>
          <w:jc w:val="center"/>
        </w:trPr>
        <w:tc>
          <w:tcPr>
            <w:tcW w:w="3180"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176C57" w14:paraId="61E284E5" w14:textId="77777777">
            <w:pPr>
              <w:widowControl w:val="0"/>
              <w:jc w:val="center"/>
              <w:rPr>
                <w:sz w:val="20"/>
                <w:szCs w:val="20"/>
              </w:rPr>
            </w:pPr>
            <m:oMathPara>
              <m:oMath>
                <m:sSup>
                  <m:sSupPr>
                    <m:ctrlPr>
                      <w:rPr>
                        <w:rFonts w:ascii="Cambria Math" w:hAnsi="Cambria Math"/>
                        <w:sz w:val="20"/>
                        <w:szCs w:val="20"/>
                      </w:rPr>
                    </m:ctrlPr>
                  </m:sSupPr>
                  <m:e>
                    <m:r>
                      <w:rPr>
                        <w:rFonts w:ascii="Cambria Math" w:hAnsi="Cambria Math"/>
                      </w:rPr>
                      <m:t>χ</m:t>
                    </m:r>
                  </m:e>
                  <m:sup>
                    <m:r>
                      <w:rPr>
                        <w:rFonts w:ascii="Cambria Math" w:hAnsi="Cambria Math"/>
                        <w:sz w:val="20"/>
                        <w:szCs w:val="20"/>
                      </w:rPr>
                      <m:t>2</m:t>
                    </m:r>
                  </m:sup>
                </m:sSup>
              </m:oMath>
            </m:oMathPara>
          </w:p>
        </w:tc>
        <w:tc>
          <w:tcPr>
            <w:tcW w:w="262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24390062" w14:textId="77777777">
            <w:pPr>
              <w:widowControl w:val="0"/>
              <w:jc w:val="center"/>
              <w:rPr>
                <w:sz w:val="20"/>
                <w:szCs w:val="20"/>
              </w:rPr>
            </w:pPr>
            <w:r>
              <w:rPr>
                <w:sz w:val="20"/>
                <w:szCs w:val="20"/>
              </w:rPr>
              <w:t>41.75</w:t>
            </w:r>
          </w:p>
        </w:tc>
        <w:tc>
          <w:tcPr>
            <w:tcW w:w="280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6A09E912" w14:textId="77777777">
            <w:pPr>
              <w:widowControl w:val="0"/>
              <w:jc w:val="center"/>
              <w:rPr>
                <w:sz w:val="20"/>
                <w:szCs w:val="20"/>
              </w:rPr>
            </w:pPr>
            <w:r>
              <w:rPr>
                <w:sz w:val="20"/>
                <w:szCs w:val="20"/>
              </w:rPr>
              <w:t>-</w:t>
            </w:r>
          </w:p>
        </w:tc>
      </w:tr>
      <w:tr w:rsidR="008272A7" w14:paraId="36A1B455" w14:textId="77777777">
        <w:trPr>
          <w:trHeight w:val="315"/>
          <w:jc w:val="center"/>
        </w:trPr>
        <w:tc>
          <w:tcPr>
            <w:tcW w:w="3180"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176C57" w14:paraId="471FFEC2" w14:textId="77777777">
            <w:pPr>
              <w:jc w:val="center"/>
              <w:rPr>
                <w:sz w:val="20"/>
                <w:szCs w:val="20"/>
              </w:rPr>
            </w:pPr>
            <m:oMathPara>
              <m:oMath>
                <m:sSub>
                  <m:sSubPr>
                    <m:ctrlPr>
                      <w:rPr>
                        <w:rFonts w:ascii="Cambria Math" w:hAnsi="Cambria Math"/>
                      </w:rPr>
                    </m:ctrlPr>
                  </m:sSubPr>
                  <m:e>
                    <m:r>
                      <w:rPr>
                        <w:rFonts w:ascii="Cambria Math" w:hAnsi="Cambria Math"/>
                      </w:rPr>
                      <m:t>τ</m:t>
                    </m:r>
                  </m:e>
                  <m:sub>
                    <m:r>
                      <w:rPr>
                        <w:rFonts w:ascii="Cambria Math" w:hAnsi="Cambria Math"/>
                      </w:rPr>
                      <m:t>1/2</m:t>
                    </m:r>
                  </m:sub>
                </m:sSub>
                <m:r>
                  <w:rPr>
                    <w:rFonts w:ascii="Cambria Math" w:hAnsi="Cambria Math"/>
                  </w:rPr>
                  <m:t xml:space="preserve"> (s)</m:t>
                </m:r>
              </m:oMath>
            </m:oMathPara>
          </w:p>
        </w:tc>
        <w:tc>
          <w:tcPr>
            <w:tcW w:w="262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211DE1D2" w14:textId="77777777">
            <w:pPr>
              <w:widowControl w:val="0"/>
              <w:jc w:val="center"/>
              <w:rPr>
                <w:sz w:val="20"/>
                <w:szCs w:val="20"/>
              </w:rPr>
            </w:pPr>
            <w:r>
              <w:rPr>
                <w:sz w:val="20"/>
                <w:szCs w:val="20"/>
              </w:rPr>
              <w:t>156</w:t>
            </w:r>
          </w:p>
        </w:tc>
        <w:tc>
          <w:tcPr>
            <w:tcW w:w="2805"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8272A7" w:rsidRDefault="00AD4AFD" w14:paraId="5FCD5EC4" w14:textId="77777777">
            <w:pPr>
              <w:widowControl w:val="0"/>
              <w:jc w:val="center"/>
              <w:rPr>
                <w:sz w:val="20"/>
                <w:szCs w:val="20"/>
              </w:rPr>
            </w:pPr>
            <w:r>
              <w:rPr>
                <w:sz w:val="20"/>
                <w:szCs w:val="20"/>
              </w:rPr>
              <w:t>3</w:t>
            </w:r>
          </w:p>
        </w:tc>
      </w:tr>
    </w:tbl>
    <w:p w:rsidR="008272A7" w:rsidRDefault="008272A7" w14:paraId="296FEF7D" w14:textId="77777777">
      <w:pPr>
        <w:jc w:val="center"/>
      </w:pPr>
    </w:p>
    <w:p w:rsidR="008272A7" w:rsidP="5F8845F1" w:rsidRDefault="00AD4AFD" w14:paraId="44AF36FB" w14:textId="6D76CA7E">
      <w:pPr>
        <w:numPr>
          <w:ilvl w:val="0"/>
          <w:numId w:val="1"/>
        </w:numPr>
        <w:rPr>
          <w:lang w:val="en-US"/>
        </w:rPr>
      </w:pPr>
      <w:r w:rsidRPr="5F8845F1">
        <w:rPr>
          <w:lang w:val="en-US"/>
        </w:rPr>
        <w:t>We calculated</w:t>
      </w:r>
      <w:r w:rsidRPr="5F8845F1" w:rsidR="69B68515">
        <w:rPr>
          <w:lang w:val="en-US"/>
        </w:rPr>
        <w:t xml:space="preserve"> </w:t>
      </w:r>
      <m:oMath>
        <m:sSub>
          <m:sSubPr>
            <m:ctrlPr>
              <w:rPr>
                <w:rFonts w:ascii="Cambria Math" w:hAnsi="Cambria Math"/>
              </w:rPr>
            </m:ctrlPr>
          </m:sSubPr>
          <m:e>
            <m:r>
              <w:rPr>
                <w:rFonts w:ascii="Cambria Math" w:hAnsi="Cambria Math"/>
              </w:rPr>
              <m:t>τ</m:t>
            </m:r>
          </m:e>
          <m:sub>
            <m:r>
              <w:rPr>
                <w:rFonts w:ascii="Cambria Math" w:hAnsi="Cambria Math"/>
              </w:rPr>
              <m:t>1</m:t>
            </m:r>
            <m:r>
              <m:rPr>
                <m:lit/>
              </m:rPr>
              <w:rPr>
                <w:rFonts w:ascii="Cambria Math" w:hAnsi="Cambria Math"/>
              </w:rPr>
              <m:t>/</m:t>
            </m:r>
            <m:r>
              <w:rPr>
                <w:rFonts w:ascii="Cambria Math" w:hAnsi="Cambria Math"/>
              </w:rPr>
              <m:t>2</m:t>
            </m:r>
          </m:sub>
        </m:sSub>
      </m:oMath>
      <w:r w:rsidRPr="5F8845F1">
        <w:rPr>
          <w:lang w:val="en-US"/>
        </w:rPr>
        <w:t xml:space="preserve"> </w:t>
      </w:r>
      <w:r w:rsidRPr="5F8845F1" w:rsidR="056812ED">
        <w:rPr>
          <w:lang w:val="en-US"/>
        </w:rPr>
        <w:t xml:space="preserve">and </w:t>
      </w:r>
      <m:oMath>
        <m:sSub>
          <m:sSubPr>
            <m:ctrlPr>
              <w:rPr>
                <w:rFonts w:ascii="Cambria Math" w:hAnsi="Cambria Math"/>
              </w:rPr>
            </m:ctrlPr>
          </m:sSubPr>
          <m:e>
            <m:r>
              <w:rPr>
                <w:rFonts w:ascii="Cambria Math" w:hAnsi="Cambria Math"/>
              </w:rPr>
              <m:t>D</m:t>
            </m:r>
          </m:e>
          <m:sub>
            <m:r>
              <w:rPr>
                <w:rFonts w:ascii="Cambria Math" w:hAnsi="Cambria Math"/>
              </w:rPr>
              <m:t>0</m:t>
            </m:r>
          </m:sub>
        </m:sSub>
      </m:oMath>
      <w:r w:rsidRPr="5F8845F1" w:rsidR="056812ED">
        <w:rPr>
          <w:lang w:val="en-US"/>
        </w:rPr>
        <w:t xml:space="preserve"> , as well as errors, </w:t>
      </w:r>
      <w:r w:rsidRPr="5F8845F1">
        <w:rPr>
          <w:lang w:val="en-US"/>
        </w:rPr>
        <w:t>from</w:t>
      </w:r>
      <w:r w:rsidRPr="5F8845F1" w:rsidR="4A41E201">
        <w:rPr>
          <w:lang w:val="en-US"/>
        </w:rPr>
        <w:t xml:space="preserve"> </w:t>
      </w:r>
      <m:oMath>
        <m:r>
          <w:rPr>
            <w:rFonts w:ascii="Cambria Math" w:hAnsi="Cambria Math"/>
          </w:rPr>
          <m:t>A </m:t>
        </m:r>
      </m:oMath>
      <w:r w:rsidRPr="5F8845F1" w:rsidR="4A41E201">
        <w:rPr>
          <w:lang w:val="en-US"/>
        </w:rPr>
        <w:t xml:space="preserve">, </w:t>
      </w:r>
      <m:oMath>
        <m:r>
          <w:rPr>
            <w:rFonts w:ascii="Cambria Math" w:hAnsi="Cambria Math"/>
          </w:rPr>
          <m:t>B </m:t>
        </m:r>
      </m:oMath>
      <w:r w:rsidRPr="5F8845F1" w:rsidR="4A41E201">
        <w:rPr>
          <w:lang w:val="en-US"/>
        </w:rPr>
        <w:t xml:space="preserve">, </w:t>
      </w:r>
      <m:oMath>
        <m:sSub>
          <m:sSubPr>
            <m:ctrlPr>
              <w:rPr>
                <w:rFonts w:ascii="Cambria Math" w:hAnsi="Cambria Math"/>
              </w:rPr>
            </m:ctrlPr>
          </m:sSubPr>
          <m:e>
            <m:r>
              <w:rPr>
                <w:rFonts w:ascii="Cambria Math" w:hAnsi="Cambria Math"/>
              </w:rPr>
              <m:t>σ</m:t>
            </m:r>
          </m:e>
          <m:sub>
            <m:r>
              <w:rPr>
                <w:rFonts w:ascii="Cambria Math" w:hAnsi="Cambria Math"/>
              </w:rPr>
              <m:t>A</m:t>
            </m:r>
          </m:sub>
        </m:sSub>
      </m:oMath>
      <w:r w:rsidRPr="5F8845F1" w:rsidR="4A41E201">
        <w:rPr>
          <w:lang w:val="en-US"/>
        </w:rPr>
        <w:t xml:space="preserve">, and </w:t>
      </w:r>
      <m:oMath>
        <m:sSub>
          <m:sSubPr>
            <m:ctrlPr>
              <w:rPr>
                <w:rFonts w:ascii="Cambria Math" w:hAnsi="Cambria Math"/>
              </w:rPr>
            </m:ctrlPr>
          </m:sSubPr>
          <m:e>
            <m:r>
              <w:rPr>
                <w:rFonts w:ascii="Cambria Math" w:hAnsi="Cambria Math"/>
              </w:rPr>
              <m:t>σ</m:t>
            </m:r>
          </m:e>
          <m:sub>
            <m:r>
              <w:rPr>
                <w:rFonts w:ascii="Cambria Math" w:hAnsi="Cambria Math"/>
              </w:rPr>
              <m:t>B</m:t>
            </m:r>
          </m:sub>
        </m:sSub>
      </m:oMath>
      <w:r w:rsidRPr="5F8845F1" w:rsidR="4A41E201">
        <w:rPr>
          <w:lang w:val="en-US"/>
        </w:rPr>
        <w:t xml:space="preserve"> as seen in table</w:t>
      </w:r>
    </w:p>
    <w:p w:rsidR="008272A7" w:rsidP="5F8845F1" w:rsidRDefault="4A41E201" w14:paraId="4683704A" w14:textId="0914C35B">
      <w:pPr>
        <w:rPr>
          <w:lang w:val="en-US"/>
        </w:rPr>
      </w:pPr>
      <w:r w:rsidRPr="5F8845F1">
        <w:rPr>
          <w:lang w:val="en-US"/>
        </w:rPr>
        <w:t xml:space="preserve">2. </w:t>
      </w:r>
      <w:r w:rsidRPr="5F8845F1" w:rsidR="00AD4AFD">
        <w:rPr>
          <w:lang w:val="en-US"/>
        </w:rPr>
        <w:t>The</w:t>
      </w:r>
      <w:r w:rsidRPr="5F8845F1" w:rsidR="76614E4E">
        <w:rPr>
          <w:lang w:val="en-US"/>
        </w:rPr>
        <w:t xml:space="preserve"> value of the half-life (</w:t>
      </w:r>
      <m:oMath>
        <m:sSub>
          <m:sSubPr>
            <m:ctrlPr>
              <w:rPr>
                <w:rFonts w:ascii="Cambria Math" w:hAnsi="Cambria Math"/>
              </w:rPr>
            </m:ctrlPr>
          </m:sSubPr>
          <m:e>
            <m:r>
              <w:rPr>
                <w:rFonts w:ascii="Cambria Math" w:hAnsi="Cambria Math"/>
              </w:rPr>
              <m:t>τ</m:t>
            </m:r>
          </m:e>
          <m:sub>
            <m:r>
              <w:rPr>
                <w:rFonts w:ascii="Cambria Math" w:hAnsi="Cambria Math"/>
              </w:rPr>
              <m:t>1</m:t>
            </m:r>
            <m:r>
              <m:rPr>
                <m:lit/>
              </m:rPr>
              <w:rPr>
                <w:rFonts w:ascii="Cambria Math" w:hAnsi="Cambria Math"/>
              </w:rPr>
              <m:t>/</m:t>
            </m:r>
            <m:r>
              <w:rPr>
                <w:rFonts w:ascii="Cambria Math" w:hAnsi="Cambria Math"/>
              </w:rPr>
              <m:t>2</m:t>
            </m:r>
          </m:sub>
        </m:sSub>
      </m:oMath>
      <w:r w:rsidRPr="5F8845F1" w:rsidR="76614E4E">
        <w:rPr>
          <w:lang w:val="en-US"/>
        </w:rPr>
        <w:t xml:space="preserve">) of </w:t>
      </w:r>
      <m:oMath>
        <m:sSubSup>
          <m:sSubSupPr>
            <m:ctrlPr>
              <w:rPr>
                <w:rFonts w:ascii="Cambria Math" w:hAnsi="Cambria Math"/>
              </w:rPr>
            </m:ctrlPr>
          </m:sSubSupPr>
          <m:e/>
          <m:sub/>
          <m:sup>
            <m:r>
              <w:rPr>
                <w:rFonts w:ascii="Cambria Math" w:hAnsi="Cambria Math"/>
              </w:rPr>
              <m:t>137</m:t>
            </m:r>
          </m:sup>
        </m:sSubSup>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m:t>
            </m:r>
          </m:sup>
        </m:sSup>
      </m:oMath>
      <w:r w:rsidRPr="5F8845F1" w:rsidR="76614E4E">
        <w:rPr>
          <w:lang w:val="en-US"/>
        </w:rPr>
        <w:t xml:space="preserve"> </w:t>
      </w:r>
      <w:r w:rsidRPr="5F8845F1" w:rsidR="00AD4AFD">
        <w:rPr>
          <w:lang w:val="en-US"/>
        </w:rPr>
        <w:t xml:space="preserve">obtained from the </w:t>
      </w:r>
      <w:r w:rsidRPr="5F8845F1" w:rsidR="77AE467B">
        <w:rPr>
          <w:lang w:val="en-US"/>
        </w:rPr>
        <w:t>data</w:t>
      </w:r>
      <w:r w:rsidRPr="5F8845F1" w:rsidR="00AD4AFD">
        <w:rPr>
          <w:lang w:val="en-US"/>
        </w:rPr>
        <w:t xml:space="preserve"> </w:t>
      </w:r>
      <w:r w:rsidRPr="5F8845F1" w:rsidR="67F64565">
        <w:rPr>
          <w:lang w:val="en-US"/>
        </w:rPr>
        <w:t>(</w:t>
      </w:r>
      <w:r w:rsidRPr="5F8845F1" w:rsidR="00AD4AFD">
        <w:rPr>
          <w:lang w:val="en-US"/>
        </w:rPr>
        <w:t>156 +/- 3 s</w:t>
      </w:r>
      <w:r w:rsidRPr="5F8845F1" w:rsidR="495E2ADF">
        <w:rPr>
          <w:lang w:val="en-US"/>
        </w:rPr>
        <w:t>econds)</w:t>
      </w:r>
      <w:r w:rsidRPr="5F8845F1" w:rsidR="00AD4AFD">
        <w:rPr>
          <w:lang w:val="en-US"/>
        </w:rPr>
        <w:t xml:space="preserve"> agrees with the accepted value of approximately 153 seconds [3]. This result validates the experimental techniques used in this lab as well as the method of least squares fit for analyzing data of this form. Despite radioactive decay being a totally random process, this method provides consistent results with accepted values.</w:t>
      </w:r>
    </w:p>
    <w:p w:rsidR="008272A7" w:rsidRDefault="008272A7" w14:paraId="7194DBDC" w14:textId="77777777">
      <w:pPr>
        <w:ind w:left="720"/>
      </w:pPr>
    </w:p>
    <w:p w:rsidR="008272A7" w:rsidP="5F8845F1" w:rsidRDefault="00AD4AFD" w14:paraId="206A556E" w14:textId="4D3545EC">
      <w:pPr>
        <w:rPr>
          <w:lang w:val="en-US"/>
        </w:rPr>
      </w:pPr>
      <w:r w:rsidRPr="5F8845F1">
        <w:rPr>
          <w:lang w:val="en-US"/>
        </w:rPr>
        <w:t>We can conclude that that the exponential decay law accurately describes the rate of nuclear decay in</w:t>
      </w:r>
      <w:r w:rsidRPr="5F8845F1" w:rsidR="56208F56">
        <w:rPr>
          <w:lang w:val="en-US"/>
        </w:rPr>
        <w:t xml:space="preserve"> </w:t>
      </w:r>
      <m:oMath>
        <m:sSubSup>
          <m:sSubSupPr>
            <m:ctrlPr>
              <w:rPr>
                <w:rFonts w:ascii="Cambria Math" w:hAnsi="Cambria Math"/>
              </w:rPr>
            </m:ctrlPr>
          </m:sSubSupPr>
          <m:e/>
          <m:sub/>
          <m:sup>
            <m:r>
              <w:rPr>
                <w:rFonts w:ascii="Cambria Math" w:hAnsi="Cambria Math"/>
              </w:rPr>
              <m:t>137</m:t>
            </m:r>
          </m:sup>
        </m:sSubSup>
        <m:r>
          <w:rPr>
            <w:rFonts w:ascii="Cambria Math" w:hAnsi="Cambria Math"/>
          </w:rPr>
          <m:t>B</m:t>
        </m:r>
        <m:sSup>
          <m:sSupPr>
            <m:ctrlPr>
              <w:rPr>
                <w:rFonts w:ascii="Cambria Math" w:hAnsi="Cambria Math"/>
              </w:rPr>
            </m:ctrlPr>
          </m:sSupPr>
          <m:e>
            <m:r>
              <w:rPr>
                <w:rFonts w:ascii="Cambria Math" w:hAnsi="Cambria Math"/>
              </w:rPr>
              <m:t>a</m:t>
            </m:r>
          </m:e>
          <m:sup>
            <m:r>
              <w:rPr>
                <w:rFonts w:ascii="Cambria Math" w:hAnsi="Cambria Math"/>
              </w:rPr>
              <m:t>*</m:t>
            </m:r>
          </m:sup>
        </m:sSup>
      </m:oMath>
      <w:r w:rsidRPr="5F8845F1" w:rsidR="56208F56">
        <w:rPr>
          <w:lang w:val="en-US"/>
        </w:rPr>
        <w:t xml:space="preserve"> </w:t>
      </w:r>
      <w:r w:rsidRPr="5F8845F1">
        <w:rPr>
          <w:lang w:val="en-US"/>
        </w:rPr>
        <w:t xml:space="preserve">and that the method of least squares fit, </w:t>
      </w:r>
      <w:r w:rsidRPr="5F8845F1" w:rsidR="1DFFF350">
        <w:rPr>
          <w:lang w:val="en-US"/>
        </w:rPr>
        <w:t xml:space="preserve">with </w:t>
      </w:r>
      <w:r w:rsidRPr="5F8845F1">
        <w:rPr>
          <w:lang w:val="en-US"/>
        </w:rPr>
        <w:t xml:space="preserve">Poisson statistics, </w:t>
      </w:r>
      <w:r w:rsidRPr="5F8845F1" w:rsidR="6A24D2E4">
        <w:rPr>
          <w:lang w:val="en-US"/>
        </w:rPr>
        <w:t xml:space="preserve">is highly effective in describing and analyzing this phenomenon and </w:t>
      </w:r>
      <w:r w:rsidRPr="5F8845F1">
        <w:rPr>
          <w:lang w:val="en-US"/>
        </w:rPr>
        <w:t xml:space="preserve">handles the uncertainty propagation and linearizing the mathematical theory with observed results very well. </w:t>
      </w:r>
    </w:p>
    <w:p w:rsidR="008272A7" w:rsidRDefault="008272A7" w14:paraId="769D0D3C" w14:textId="77777777"/>
    <w:p w:rsidR="008272A7" w:rsidRDefault="00AD4AFD" w14:paraId="45B1AA20" w14:textId="77777777">
      <w:pPr>
        <w:numPr>
          <w:ilvl w:val="0"/>
          <w:numId w:val="1"/>
        </w:numPr>
      </w:pPr>
      <w:r w:rsidRPr="5F8845F1">
        <w:rPr>
          <w:lang w:val="en-US"/>
        </w:rPr>
        <w:t>Part I contains instructions to ensure that the results section is complete.</w:t>
      </w:r>
    </w:p>
    <w:p w:rsidR="008272A7" w:rsidRDefault="008272A7" w14:paraId="54CD245A" w14:textId="77777777"/>
    <w:p w:rsidR="008272A7" w:rsidRDefault="00AD4AFD" w14:paraId="7797E7DE" w14:textId="77777777">
      <w:pPr>
        <w:rPr>
          <w:b/>
        </w:rPr>
      </w:pPr>
      <w:r>
        <w:rPr>
          <w:b/>
        </w:rPr>
        <w:t>REFERENCES</w:t>
      </w:r>
    </w:p>
    <w:p w:rsidR="008272A7" w:rsidRDefault="008272A7" w14:paraId="36FEB5B0" w14:textId="77777777"/>
    <w:tbl>
      <w:tblPr>
        <w:tblStyle w:val="a9"/>
        <w:tblW w:w="936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Look w:val="0600" w:firstRow="0" w:lastRow="0" w:firstColumn="0" w:lastColumn="0" w:noHBand="1" w:noVBand="1"/>
      </w:tblPr>
      <w:tblGrid>
        <w:gridCol w:w="585"/>
        <w:gridCol w:w="8775"/>
      </w:tblGrid>
      <w:tr w:rsidR="008272A7" w:rsidTr="5F8845F1" w14:paraId="6D76E87C" w14:textId="77777777">
        <w:tc>
          <w:tcPr>
            <w:tcW w:w="585" w:type="dxa"/>
            <w:shd w:val="clear" w:color="auto" w:fill="auto"/>
            <w:tcMar>
              <w:top w:w="100" w:type="dxa"/>
              <w:left w:w="100" w:type="dxa"/>
              <w:bottom w:w="100" w:type="dxa"/>
              <w:right w:w="100" w:type="dxa"/>
            </w:tcMar>
          </w:tcPr>
          <w:p w:rsidR="008272A7" w:rsidRDefault="00AD4AFD" w14:paraId="32FCBE6E" w14:textId="77777777">
            <w:pPr>
              <w:widowControl w:val="0"/>
              <w:pBdr>
                <w:top w:val="nil"/>
                <w:left w:val="nil"/>
                <w:bottom w:val="nil"/>
                <w:right w:val="nil"/>
                <w:between w:val="nil"/>
              </w:pBdr>
              <w:spacing w:line="240" w:lineRule="auto"/>
            </w:pPr>
            <w:r>
              <w:t>[1]</w:t>
            </w:r>
          </w:p>
        </w:tc>
        <w:tc>
          <w:tcPr>
            <w:tcW w:w="8775" w:type="dxa"/>
            <w:shd w:val="clear" w:color="auto" w:fill="auto"/>
            <w:tcMar>
              <w:top w:w="100" w:type="dxa"/>
              <w:left w:w="100" w:type="dxa"/>
              <w:bottom w:w="100" w:type="dxa"/>
              <w:right w:w="100" w:type="dxa"/>
            </w:tcMar>
          </w:tcPr>
          <w:p w:rsidR="008272A7" w:rsidP="5F8845F1" w:rsidRDefault="00AD4AFD" w14:paraId="6FF7C4D6" w14:textId="1D0DBD1F">
            <w:pPr>
              <w:widowControl w:val="0"/>
              <w:pBdr>
                <w:top w:val="nil"/>
                <w:left w:val="nil"/>
                <w:bottom w:val="nil"/>
                <w:right w:val="nil"/>
                <w:between w:val="nil"/>
              </w:pBdr>
              <w:spacing w:line="240" w:lineRule="auto"/>
            </w:pPr>
            <w:r>
              <w:t xml:space="preserve">Kweon, D.C., Choi, J., Dong, KR. et al. Use of a GM counter to measure the half-life of Ba-137m generated by using an isotope generator. Journal of the Korean Physical Society </w:t>
            </w:r>
            <w:r w:rsidRPr="5F8845F1">
              <w:rPr>
                <w:b/>
                <w:bCs/>
              </w:rPr>
              <w:t>65</w:t>
            </w:r>
            <w:r>
              <w:t>, 532–540 (2014). https://doi.org/10.3938/jkps.65.532</w:t>
            </w:r>
            <w:r w:rsidRPr="5F8845F1">
              <w:rPr>
                <w:rStyle w:val="EndnoteReference"/>
              </w:rPr>
              <w:endnoteReference w:id="2"/>
            </w:r>
          </w:p>
        </w:tc>
      </w:tr>
      <w:tr w:rsidR="008272A7" w:rsidTr="5F8845F1" w14:paraId="2A834DBD" w14:textId="77777777">
        <w:tc>
          <w:tcPr>
            <w:tcW w:w="585" w:type="dxa"/>
            <w:shd w:val="clear" w:color="auto" w:fill="auto"/>
            <w:tcMar>
              <w:top w:w="100" w:type="dxa"/>
              <w:left w:w="100" w:type="dxa"/>
              <w:bottom w:w="100" w:type="dxa"/>
              <w:right w:w="100" w:type="dxa"/>
            </w:tcMar>
          </w:tcPr>
          <w:p w:rsidR="008272A7" w:rsidRDefault="00AD4AFD" w14:paraId="4CA53300" w14:textId="77777777">
            <w:pPr>
              <w:widowControl w:val="0"/>
              <w:pBdr>
                <w:top w:val="nil"/>
                <w:left w:val="nil"/>
                <w:bottom w:val="nil"/>
                <w:right w:val="nil"/>
                <w:between w:val="nil"/>
              </w:pBdr>
              <w:spacing w:line="240" w:lineRule="auto"/>
            </w:pPr>
            <w:r>
              <w:t>[2]</w:t>
            </w:r>
          </w:p>
        </w:tc>
        <w:tc>
          <w:tcPr>
            <w:tcW w:w="8775" w:type="dxa"/>
            <w:shd w:val="clear" w:color="auto" w:fill="auto"/>
            <w:tcMar>
              <w:top w:w="100" w:type="dxa"/>
              <w:left w:w="100" w:type="dxa"/>
              <w:bottom w:w="100" w:type="dxa"/>
              <w:right w:w="100" w:type="dxa"/>
            </w:tcMar>
          </w:tcPr>
          <w:p w:rsidR="008272A7" w:rsidRDefault="00AD4AFD" w14:paraId="1AE28A18" w14:textId="77777777">
            <w:pPr>
              <w:widowControl w:val="0"/>
              <w:pBdr>
                <w:top w:val="nil"/>
                <w:left w:val="nil"/>
                <w:bottom w:val="nil"/>
                <w:right w:val="nil"/>
                <w:between w:val="nil"/>
              </w:pBdr>
              <w:spacing w:line="240" w:lineRule="auto"/>
            </w:pPr>
            <w:r>
              <w:t>Lee, Sang-Hyuk, Physics 326 Lab Guide, “Least Square Fitting”, Rutgers University (2024)</w:t>
            </w:r>
          </w:p>
        </w:tc>
      </w:tr>
      <w:tr w:rsidR="008272A7" w:rsidTr="5F8845F1" w14:paraId="16E33EDB" w14:textId="77777777">
        <w:tc>
          <w:tcPr>
            <w:tcW w:w="585" w:type="dxa"/>
            <w:shd w:val="clear" w:color="auto" w:fill="auto"/>
            <w:tcMar>
              <w:top w:w="100" w:type="dxa"/>
              <w:left w:w="100" w:type="dxa"/>
              <w:bottom w:w="100" w:type="dxa"/>
              <w:right w:w="100" w:type="dxa"/>
            </w:tcMar>
          </w:tcPr>
          <w:p w:rsidR="008272A7" w:rsidRDefault="00AD4AFD" w14:paraId="344DA621" w14:textId="77777777">
            <w:pPr>
              <w:widowControl w:val="0"/>
              <w:pBdr>
                <w:top w:val="nil"/>
                <w:left w:val="nil"/>
                <w:bottom w:val="nil"/>
                <w:right w:val="nil"/>
                <w:between w:val="nil"/>
              </w:pBdr>
              <w:spacing w:line="240" w:lineRule="auto"/>
            </w:pPr>
            <w:r>
              <w:t>[3]</w:t>
            </w:r>
          </w:p>
        </w:tc>
        <w:tc>
          <w:tcPr>
            <w:tcW w:w="8775" w:type="dxa"/>
            <w:shd w:val="clear" w:color="auto" w:fill="auto"/>
            <w:tcMar>
              <w:top w:w="100" w:type="dxa"/>
              <w:left w:w="100" w:type="dxa"/>
              <w:bottom w:w="100" w:type="dxa"/>
              <w:right w:w="100" w:type="dxa"/>
            </w:tcMar>
          </w:tcPr>
          <w:p w:rsidR="008272A7" w:rsidRDefault="00AD4AFD" w14:paraId="40AF1814" w14:textId="77777777">
            <w:pPr>
              <w:widowControl w:val="0"/>
              <w:pBdr>
                <w:top w:val="nil"/>
                <w:left w:val="nil"/>
                <w:bottom w:val="nil"/>
                <w:right w:val="nil"/>
                <w:between w:val="nil"/>
              </w:pBdr>
              <w:spacing w:line="240" w:lineRule="auto"/>
            </w:pPr>
            <w:r>
              <w:t>MIDDELBOE, V. Half-lives of Barium-137m, Silver-109m and Rhodium-106 measured with Calculable Overall Accuracy. Nature 211, 283–284 (1966). https://doi.org/10.1038/211283a0</w:t>
            </w:r>
          </w:p>
        </w:tc>
      </w:tr>
    </w:tbl>
    <w:p w:rsidR="008272A7" w:rsidP="004E6F80" w:rsidRDefault="008272A7" w14:paraId="30D7AA69" w14:textId="77777777"/>
    <w:sectPr w:rsidR="008272A7">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4E6F80" w:rsidR="00315993" w:rsidP="004E6F80" w:rsidRDefault="00315993" w14:paraId="0A350B51" w14:textId="77777777">
      <w:pPr>
        <w:pStyle w:val="Footer"/>
      </w:pPr>
    </w:p>
  </w:endnote>
  <w:endnote w:type="continuationSeparator" w:id="0">
    <w:p w:rsidR="00315993" w:rsidRDefault="00315993" w14:paraId="035F205F" w14:textId="77777777">
      <w:pPr>
        <w:spacing w:line="240" w:lineRule="auto"/>
      </w:pPr>
      <w:r>
        <w:continuationSeparator/>
      </w:r>
    </w:p>
  </w:endnote>
  <w:endnote w:type="continuationNotice" w:id="1">
    <w:p w:rsidR="00315993" w:rsidRDefault="00315993" w14:paraId="344FA860" w14:textId="77777777">
      <w:pPr>
        <w:spacing w:line="240" w:lineRule="auto"/>
      </w:pPr>
    </w:p>
  </w:endnote>
  <w:endnote w:id="2">
    <w:p w:rsidRPr="004E6F80" w:rsidR="5F8845F1" w:rsidP="004E6F80" w:rsidRDefault="5F8845F1" w14:paraId="198D57DE" w14:textId="64B5C38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5993" w:rsidRDefault="00315993" w14:paraId="23D07BB9" w14:textId="77777777">
      <w:pPr>
        <w:spacing w:line="240" w:lineRule="auto"/>
      </w:pPr>
      <w:r>
        <w:separator/>
      </w:r>
    </w:p>
  </w:footnote>
  <w:footnote w:type="continuationSeparator" w:id="0">
    <w:p w:rsidR="00315993" w:rsidRDefault="00315993" w14:paraId="480D325B" w14:textId="77777777">
      <w:pPr>
        <w:spacing w:line="240" w:lineRule="auto"/>
      </w:pPr>
      <w:r>
        <w:continuationSeparator/>
      </w:r>
    </w:p>
  </w:footnote>
  <w:footnote w:type="continuationNotice" w:id="1">
    <w:p w:rsidR="00315993" w:rsidRDefault="00315993" w14:paraId="02FD9A64" w14:textId="7777777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zXzkWAIu" int2:invalidationBookmarkName="" int2:hashCode="nBt9Zljcx1zAU6" int2:id="4eshXmlF">
      <int2:state int2:value="Rejected" int2:type="AugLoop_Text_Critique"/>
    </int2:bookmark>
    <int2:bookmark int2:bookmarkName="_Int_ZiqcJA3l" int2:invalidationBookmarkName="" int2:hashCode="z/pQoyyxOiQNcF" int2:id="KOnO70R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819FB"/>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531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2A7"/>
    <w:rsid w:val="00055275"/>
    <w:rsid w:val="00176C57"/>
    <w:rsid w:val="001A2AC1"/>
    <w:rsid w:val="001A6D83"/>
    <w:rsid w:val="00315993"/>
    <w:rsid w:val="0032216D"/>
    <w:rsid w:val="0041729A"/>
    <w:rsid w:val="004E6F80"/>
    <w:rsid w:val="00647537"/>
    <w:rsid w:val="007E5EC1"/>
    <w:rsid w:val="008272A7"/>
    <w:rsid w:val="009B6FDC"/>
    <w:rsid w:val="00A44E9D"/>
    <w:rsid w:val="00AC3CCA"/>
    <w:rsid w:val="00AD4AFD"/>
    <w:rsid w:val="00B275DB"/>
    <w:rsid w:val="00B77752"/>
    <w:rsid w:val="00C029EE"/>
    <w:rsid w:val="00DC5ED2"/>
    <w:rsid w:val="00E16431"/>
    <w:rsid w:val="01326C61"/>
    <w:rsid w:val="04FE6069"/>
    <w:rsid w:val="056812ED"/>
    <w:rsid w:val="071B4C7C"/>
    <w:rsid w:val="0734225F"/>
    <w:rsid w:val="073DB6B0"/>
    <w:rsid w:val="091BEFF5"/>
    <w:rsid w:val="09FAA4F4"/>
    <w:rsid w:val="0A1B87A1"/>
    <w:rsid w:val="0A6A2ED6"/>
    <w:rsid w:val="0AADDF42"/>
    <w:rsid w:val="0B259953"/>
    <w:rsid w:val="0B3D2DC6"/>
    <w:rsid w:val="0B95E86E"/>
    <w:rsid w:val="0B9A0A6A"/>
    <w:rsid w:val="0BBD7B52"/>
    <w:rsid w:val="0C69B1FA"/>
    <w:rsid w:val="0CE98530"/>
    <w:rsid w:val="0D7E571C"/>
    <w:rsid w:val="0EF7F284"/>
    <w:rsid w:val="0F69D9FA"/>
    <w:rsid w:val="106FF464"/>
    <w:rsid w:val="118E4D39"/>
    <w:rsid w:val="12DB40B2"/>
    <w:rsid w:val="13715D74"/>
    <w:rsid w:val="13D85D9A"/>
    <w:rsid w:val="14AC5C85"/>
    <w:rsid w:val="159FD4A0"/>
    <w:rsid w:val="164FC027"/>
    <w:rsid w:val="166C88FC"/>
    <w:rsid w:val="16850452"/>
    <w:rsid w:val="16B63718"/>
    <w:rsid w:val="17138BC6"/>
    <w:rsid w:val="17CCB8AE"/>
    <w:rsid w:val="183F1513"/>
    <w:rsid w:val="190628EE"/>
    <w:rsid w:val="19BEDBF6"/>
    <w:rsid w:val="1B4796F6"/>
    <w:rsid w:val="1BBF05FF"/>
    <w:rsid w:val="1CB4CA58"/>
    <w:rsid w:val="1CFD2A99"/>
    <w:rsid w:val="1D88EC29"/>
    <w:rsid w:val="1DFFF350"/>
    <w:rsid w:val="1E83D54A"/>
    <w:rsid w:val="1E889294"/>
    <w:rsid w:val="1EB1D5FB"/>
    <w:rsid w:val="1F45CE18"/>
    <w:rsid w:val="1F822B6E"/>
    <w:rsid w:val="1FB1D560"/>
    <w:rsid w:val="2010AF1D"/>
    <w:rsid w:val="208E2AB9"/>
    <w:rsid w:val="214FFD5F"/>
    <w:rsid w:val="2165F8FD"/>
    <w:rsid w:val="218F9860"/>
    <w:rsid w:val="21B22E58"/>
    <w:rsid w:val="2257AB84"/>
    <w:rsid w:val="226237E0"/>
    <w:rsid w:val="23AFD664"/>
    <w:rsid w:val="23B814D2"/>
    <w:rsid w:val="23C620EF"/>
    <w:rsid w:val="26539085"/>
    <w:rsid w:val="28239DF5"/>
    <w:rsid w:val="28239DF5"/>
    <w:rsid w:val="2835587F"/>
    <w:rsid w:val="29BA8BBA"/>
    <w:rsid w:val="2A05F129"/>
    <w:rsid w:val="2A7C58F9"/>
    <w:rsid w:val="2AA98A74"/>
    <w:rsid w:val="2ADC84E1"/>
    <w:rsid w:val="2BD047A5"/>
    <w:rsid w:val="2CC536B2"/>
    <w:rsid w:val="2CD22D3E"/>
    <w:rsid w:val="2D422751"/>
    <w:rsid w:val="2F146E1B"/>
    <w:rsid w:val="2F833050"/>
    <w:rsid w:val="2F90107C"/>
    <w:rsid w:val="2FB0BF44"/>
    <w:rsid w:val="30DB5B6D"/>
    <w:rsid w:val="31003D87"/>
    <w:rsid w:val="318497B6"/>
    <w:rsid w:val="333FCB57"/>
    <w:rsid w:val="34E1D338"/>
    <w:rsid w:val="3642AACE"/>
    <w:rsid w:val="369DE26C"/>
    <w:rsid w:val="36AB2802"/>
    <w:rsid w:val="374CA6FA"/>
    <w:rsid w:val="3953F0CB"/>
    <w:rsid w:val="3A7C6A7A"/>
    <w:rsid w:val="3AB674A5"/>
    <w:rsid w:val="3BA293C3"/>
    <w:rsid w:val="3BF215BC"/>
    <w:rsid w:val="3C3064FB"/>
    <w:rsid w:val="3DA51F0C"/>
    <w:rsid w:val="3E889CD9"/>
    <w:rsid w:val="3EF07681"/>
    <w:rsid w:val="3FBBAEA5"/>
    <w:rsid w:val="3FBBAEA5"/>
    <w:rsid w:val="4085E46C"/>
    <w:rsid w:val="40B534D2"/>
    <w:rsid w:val="412CC6CA"/>
    <w:rsid w:val="41312530"/>
    <w:rsid w:val="417506DB"/>
    <w:rsid w:val="4371B546"/>
    <w:rsid w:val="43B0234B"/>
    <w:rsid w:val="44253927"/>
    <w:rsid w:val="4551C58A"/>
    <w:rsid w:val="46CC0D6F"/>
    <w:rsid w:val="4700F935"/>
    <w:rsid w:val="4920643C"/>
    <w:rsid w:val="495E2ADF"/>
    <w:rsid w:val="4999405D"/>
    <w:rsid w:val="499F34DF"/>
    <w:rsid w:val="49DD6AB9"/>
    <w:rsid w:val="49FF1791"/>
    <w:rsid w:val="49FF71C3"/>
    <w:rsid w:val="4A16DC75"/>
    <w:rsid w:val="4A41E201"/>
    <w:rsid w:val="4B6E0CCD"/>
    <w:rsid w:val="4D6FEE54"/>
    <w:rsid w:val="4D94261D"/>
    <w:rsid w:val="4E3C7910"/>
    <w:rsid w:val="4EFB0F59"/>
    <w:rsid w:val="5008B7A5"/>
    <w:rsid w:val="50BD803B"/>
    <w:rsid w:val="50E5D871"/>
    <w:rsid w:val="51EE7DA5"/>
    <w:rsid w:val="51FB77D3"/>
    <w:rsid w:val="535B8A20"/>
    <w:rsid w:val="552647CF"/>
    <w:rsid w:val="55FF4211"/>
    <w:rsid w:val="560D37AF"/>
    <w:rsid w:val="56208F56"/>
    <w:rsid w:val="5677197C"/>
    <w:rsid w:val="567AE5E6"/>
    <w:rsid w:val="56A0A1F5"/>
    <w:rsid w:val="57547EAC"/>
    <w:rsid w:val="577AC123"/>
    <w:rsid w:val="57B593B7"/>
    <w:rsid w:val="586FC1D6"/>
    <w:rsid w:val="59312299"/>
    <w:rsid w:val="5943618D"/>
    <w:rsid w:val="59796D18"/>
    <w:rsid w:val="59DD0286"/>
    <w:rsid w:val="59E34603"/>
    <w:rsid w:val="59E7A967"/>
    <w:rsid w:val="5AA5D190"/>
    <w:rsid w:val="5AE31E7A"/>
    <w:rsid w:val="5AE5B6AA"/>
    <w:rsid w:val="5B3FF5E0"/>
    <w:rsid w:val="5B7B19E3"/>
    <w:rsid w:val="5B90CF26"/>
    <w:rsid w:val="5CC7845A"/>
    <w:rsid w:val="5D1AD14A"/>
    <w:rsid w:val="5E0B1AC6"/>
    <w:rsid w:val="5E68528A"/>
    <w:rsid w:val="5E9870B9"/>
    <w:rsid w:val="5F0D35DF"/>
    <w:rsid w:val="5F26A0C8"/>
    <w:rsid w:val="5F8845F1"/>
    <w:rsid w:val="5FD6DFA6"/>
    <w:rsid w:val="5FE8E8F3"/>
    <w:rsid w:val="6007EF81"/>
    <w:rsid w:val="60340D51"/>
    <w:rsid w:val="6105CEE7"/>
    <w:rsid w:val="6369C34E"/>
    <w:rsid w:val="64E9A55F"/>
    <w:rsid w:val="65A381C6"/>
    <w:rsid w:val="66BBE0A4"/>
    <w:rsid w:val="66F4A3CD"/>
    <w:rsid w:val="67F64565"/>
    <w:rsid w:val="69205310"/>
    <w:rsid w:val="69205310"/>
    <w:rsid w:val="69B68515"/>
    <w:rsid w:val="6A24D2E4"/>
    <w:rsid w:val="6A470BAC"/>
    <w:rsid w:val="6BC8526C"/>
    <w:rsid w:val="6C40CA0C"/>
    <w:rsid w:val="6E2D84B1"/>
    <w:rsid w:val="6EF17767"/>
    <w:rsid w:val="6FB9AA5A"/>
    <w:rsid w:val="70973A82"/>
    <w:rsid w:val="729027EA"/>
    <w:rsid w:val="72968565"/>
    <w:rsid w:val="7325DA34"/>
    <w:rsid w:val="738892D3"/>
    <w:rsid w:val="73CBA849"/>
    <w:rsid w:val="73E838EE"/>
    <w:rsid w:val="73EB5BC0"/>
    <w:rsid w:val="744D30D5"/>
    <w:rsid w:val="745EF3D8"/>
    <w:rsid w:val="74EAC342"/>
    <w:rsid w:val="7619B23E"/>
    <w:rsid w:val="76614E4E"/>
    <w:rsid w:val="767F3C82"/>
    <w:rsid w:val="76FD6B47"/>
    <w:rsid w:val="77AE467B"/>
    <w:rsid w:val="783DD575"/>
    <w:rsid w:val="78679B6A"/>
    <w:rsid w:val="7945B049"/>
    <w:rsid w:val="799907E9"/>
    <w:rsid w:val="7BDAA65B"/>
    <w:rsid w:val="7CEB856C"/>
    <w:rsid w:val="7D4571DE"/>
    <w:rsid w:val="7D6C6487"/>
    <w:rsid w:val="7DE7531B"/>
    <w:rsid w:val="7EB3572D"/>
    <w:rsid w:val="7F47F9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617E"/>
  <w15:docId w15:val="{571F3A2F-BB02-4F01-BD09-1BE06E00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line="240" w:lineRule="auto"/>
    </w:pPr>
    <w:rPr>
      <w:sz w:val="20"/>
      <w:szCs w:val="20"/>
    </w:rPr>
  </w:style>
  <w:style w:type="paragraph" w:styleId="Header">
    <w:name w:val="header"/>
    <w:basedOn w:val="Normal"/>
    <w:link w:val="HeaderChar"/>
    <w:uiPriority w:val="99"/>
    <w:semiHidden/>
    <w:unhideWhenUsed/>
    <w:rsid w:val="00B275DB"/>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B275DB"/>
  </w:style>
  <w:style w:type="paragraph" w:styleId="Footer">
    <w:name w:val="footer"/>
    <w:basedOn w:val="Normal"/>
    <w:link w:val="FooterChar"/>
    <w:uiPriority w:val="99"/>
    <w:semiHidden/>
    <w:unhideWhenUsed/>
    <w:rsid w:val="00B275DB"/>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B275D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e0f2f7-939b-4a5f-b420-a62245ac3320">
  <we:reference id="WA104382081" version="1.55.1.0" store="en-US" storeType="omex"/>
  <we:alternateReferences>
    <we:reference id="WA104382081" version="1.55.1.0" store="ome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F9FC0-3298-44D0-864C-5E4879E86C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Kym Derriman</lastModifiedBy>
  <revision>9</revision>
  <dcterms:created xsi:type="dcterms:W3CDTF">2024-10-14T02:49:00.0000000Z</dcterms:created>
  <dcterms:modified xsi:type="dcterms:W3CDTF">2024-10-14T01:43:38.7841068Z</dcterms:modified>
</coreProperties>
</file>