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0"/>
      </w:pPr>
    </w:p>
    <w:p>
      <w:pPr>
        <w:spacing w:before="0" w:after="60"/>
      </w:pPr>
      <w:r>
        <w:rPr>
          <w:rFonts w:ascii="Arial" w:cs="Arial" w:eastAsia="Arial" w:hAnsi="Arial"/>
          <w:b/>
          <w:bCs/>
          <w:color w:val="C96A3A"/>
          <w:spacing w:val="200"/>
          <w:sz w:val="20"/>
          <w:szCs w:val="20"/>
        </w:rPr>
        <w:t xml:space="preserve">BED CODERS</w:t>
      </w:r>
    </w:p>
    <w:p>
      <w:pPr>
        <w:spacing w:before="0" w:after="40"/>
      </w:pPr>
    </w:p>
    <w:p>
      <w:pPr>
        <w:spacing w:before="0" w:after="120"/>
        <w:jc w:val="left"/>
      </w:pPr>
      <w:r>
        <w:rPr>
          <w:rFonts w:ascii="Georgia" w:cs="Georgia" w:eastAsia="Georgia" w:hAnsi="Georgia"/>
          <w:b/>
          <w:bCs/>
          <w:color w:val="2D2926"/>
          <w:sz w:val="64"/>
          <w:szCs w:val="64"/>
        </w:rPr>
        <w:t xml:space="preserve">The Platform</w:t>
      </w:r>
    </w:p>
    <w:p>
      <w:pPr>
        <w:spacing w:before="0" w:after="120"/>
        <w:jc w:val="left"/>
      </w:pPr>
      <w:r>
        <w:rPr>
          <w:rFonts w:ascii="Georgia" w:cs="Georgia" w:eastAsia="Georgia" w:hAnsi="Georgia"/>
          <w:b/>
          <w:bCs/>
          <w:color w:val="2D2926"/>
          <w:sz w:val="64"/>
          <w:szCs w:val="64"/>
        </w:rPr>
        <w:t xml:space="preserve">Bible</w:t>
      </w:r>
    </w:p>
    <w:p>
      <w:pPr>
        <w:spacing w:before="0" w:after="120"/>
      </w:pPr>
    </w:p>
    <w:p>
      <w:pPr>
        <w:pBdr>
          <w:bottom w:val="single" w:color="C96A3A" w:sz="8" w:space="1"/>
        </w:pBdr>
        <w:spacing w:before="0" w:after="320"/>
      </w:pPr>
    </w:p>
    <w:p>
      <w:pPr>
        <w:spacing w:before="0" w:after="80"/>
      </w:pPr>
    </w:p>
    <w:p>
      <w:pPr>
        <w:spacing w:before="0" w:after="80"/>
        <w:jc w:val="left"/>
      </w:pPr>
      <w:r>
        <w:rPr>
          <w:rFonts w:ascii="Arial" w:cs="Arial" w:eastAsia="Arial" w:hAnsi="Arial"/>
          <w:color w:val="6B635C"/>
          <w:sz w:val="24"/>
          <w:szCs w:val="24"/>
        </w:rPr>
        <w:t xml:space="preserve">Mission · Values · Pedagogy · Language</w:t>
      </w:r>
    </w:p>
    <w:p>
      <w:pPr>
        <w:spacing w:before="0" w:after="80"/>
        <w:jc w:val="left"/>
      </w:pPr>
      <w:r>
        <w:rPr>
          <w:rFonts w:ascii="Arial" w:cs="Arial" w:eastAsia="Arial" w:hAnsi="Arial"/>
          <w:color w:val="6B635C"/>
          <w:sz w:val="24"/>
          <w:szCs w:val="24"/>
        </w:rPr>
        <w:t xml:space="preserve">What we build, why, and how we talk about it</w:t>
      </w:r>
    </w:p>
    <w:p>
      <w:pPr>
        <w:spacing w:before="0" w:after="120"/>
      </w:pPr>
    </w:p>
    <w:p>
      <w:pPr>
        <w:spacing w:before="0" w:after="80"/>
      </w:pPr>
      <w:r>
        <w:rPr>
          <w:rFonts w:ascii="Arial" w:cs="Arial" w:eastAsia="Arial" w:hAnsi="Arial"/>
          <w:color w:val="6B635C"/>
          <w:sz w:val="20"/>
          <w:szCs w:val="20"/>
        </w:rPr>
        <w:t xml:space="preserve">bedcoders.com</w:t>
      </w:r>
    </w:p>
    <w:p>
      <w:pPr>
        <w:spacing w:before="0" w:after="0"/>
      </w:pPr>
      <w:r>
        <w:rPr>
          <w:rFonts w:ascii="Arial" w:cs="Arial" w:eastAsia="Arial" w:hAnsi="Arial"/>
          <w:color w:val="6B635C"/>
          <w:sz w:val="20"/>
          <w:szCs w:val="20"/>
        </w:rPr>
        <w:t xml:space="preserve">Roi Shternin-Martini · Vienna, Austria</w:t>
      </w:r>
    </w:p>
    <w:p>
      <w:pPr>
        <w:pageBreakBefore/>
      </w:pPr>
    </w:p>
    <w:p>
      <w:pPr>
        <w:pStyle w:val="Heading1"/>
        <w:spacing w:before="480" w:after="120"/>
      </w:pPr>
      <w:r>
        <w:rPr>
          <w:rFonts w:ascii="Arial" w:cs="Arial" w:eastAsia="Arial" w:hAnsi="Arial"/>
          <w:b/>
          <w:bCs/>
          <w:color w:val="C96A3A"/>
          <w:spacing w:val="80"/>
          <w:sz w:val="24"/>
          <w:szCs w:val="24"/>
        </w:rPr>
        <w:t xml:space="preserve">01  MISSION</w:t>
      </w:r>
    </w:p>
    <w:p>
      <w:pPr>
        <w:pBdr>
          <w:bottom w:val="single" w:color="C96A3A" w:sz="8" w:space="1"/>
        </w:pBdr>
        <w:spacing w:before="0" w:after="320"/>
      </w:pPr>
    </w:p>
    <w:p>
      <w:pPr>
        <w:spacing w:before="0" w:after="160"/>
      </w:pPr>
      <w:r>
        <w:rPr>
          <w:rFonts w:ascii="Georgia" w:cs="Georgia" w:eastAsia="Georgia" w:hAnsi="Georgia"/>
          <w:b w:val="false"/>
          <w:bCs w:val="false"/>
          <w:i w:val="false"/>
          <w:iCs w:val="false"/>
          <w:color w:val="2D2926"/>
          <w:sz w:val="22"/>
          <w:szCs w:val="22"/>
        </w:rPr>
        <w:t xml:space="preserve">Bed Coders exists to give people with chronic illness genuine access to the technical economy — not through inspiration, not through charity, but through serious education built around how their bodies actually work.</w:t>
      </w:r>
    </w:p>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60"/>
          <w:bottom w:type="dxa" w:w="200"/>
        </w:tblCellMar>
      </w:tblPr>
      <w:tblGrid>
        <w:gridCol w:w="160"/>
        <w:gridCol w:w="9200"/>
      </w:tblGrid>
      <w:tr>
        <w:tc>
          <w:tcPr>
            <w:tcW w:type="dxa" w:w="160"/>
            <w:tcBorders>
              <w:top w:val="none" w:color="FFFFFF" w:sz="0"/>
              <w:left w:val="single" w:color="C96A3A" w:sz="12"/>
              <w:bottom w:val="none" w:color="FFFFFF" w:sz="0"/>
              <w:right w:val="none" w:color="FFFFFF" w:sz="0"/>
            </w:tcBorders>
            <w:tcMar>
              <w:top w:type="dxa" w:w="0"/>
              <w:left w:type="dxa" w:w="0"/>
              <w:bottom w:type="dxa" w:w="0"/>
              <w:right w:type="dxa" w:w="0"/>
            </w:tcMar>
          </w:tcPr>
          <w:p/>
        </w:tc>
        <w:tc>
          <w:tcPr>
            <w:tcW w:type="dxa" w:w="9200"/>
            <w:tcBorders>
              <w:top w:val="none" w:color="FFFFFF" w:sz="0"/>
              <w:left w:val="none" w:color="FFFFFF" w:sz="0"/>
              <w:bottom w:val="none" w:color="FFFFFF" w:sz="0"/>
              <w:right w:val="none" w:color="FFFFFF" w:sz="0"/>
            </w:tcBorders>
            <w:shd w:fill="F2EDE7" w:val="clear"/>
            <w:tcMar>
              <w:top w:type="dxa" w:w="80"/>
              <w:left w:type="dxa" w:w="240"/>
              <w:bottom w:type="dxa" w:w="80"/>
              <w:right w:type="dxa" w:w="0"/>
            </w:tcMar>
          </w:tcPr>
          <w:p>
            <w:pPr>
              <w:spacing w:before="0" w:after="0"/>
            </w:pPr>
            <w:r>
              <w:rPr>
                <w:rFonts w:ascii="Georgia" w:cs="Georgia" w:eastAsia="Georgia" w:hAnsi="Georgia"/>
                <w:i/>
                <w:iCs/>
                <w:color w:val="2D2926"/>
                <w:sz w:val="24"/>
                <w:szCs w:val="24"/>
              </w:rPr>
              <w:t xml:space="preserve">Serious technical education built around real constraints. Not charity. Not inspiration. Access.</w:t>
            </w:r>
          </w:p>
        </w:tc>
      </w:tr>
    </w:tbl>
    <w:p>
      <w:pPr>
        <w:spacing w:before="0" w:after="80"/>
      </w:pPr>
    </w:p>
    <w:p>
      <w:pPr>
        <w:spacing w:before="0" w:after="160"/>
      </w:pPr>
      <w:r>
        <w:rPr>
          <w:rFonts w:ascii="Georgia" w:cs="Georgia" w:eastAsia="Georgia" w:hAnsi="Georgia"/>
          <w:b w:val="false"/>
          <w:bCs w:val="false"/>
          <w:i w:val="false"/>
          <w:iCs w:val="false"/>
          <w:color w:val="2D2926"/>
          <w:sz w:val="22"/>
          <w:szCs w:val="22"/>
        </w:rPr>
        <w:t xml:space="preserve">The skills we teach — AI prompting, Python, data science, building with AI — are the most economically mobile skills available right now. They are learnable without leaving bed. They are hireable without explaining a gap. They are buildable without a team.</w:t>
      </w:r>
    </w:p>
    <w:p>
      <w:pPr>
        <w:spacing w:before="0" w:after="160"/>
      </w:pPr>
      <w:r>
        <w:rPr>
          <w:rFonts w:ascii="Georgia" w:cs="Georgia" w:eastAsia="Georgia" w:hAnsi="Georgia"/>
          <w:b w:val="false"/>
          <w:bCs w:val="false"/>
          <w:i w:val="false"/>
          <w:iCs w:val="false"/>
          <w:color w:val="2D2926"/>
          <w:sz w:val="22"/>
          <w:szCs w:val="22"/>
        </w:rPr>
        <w:t xml:space="preserve">We teach them as if our learners are capable adults who happen to be dealing with something hard. Because that is what they are.</w:t>
      </w:r>
    </w:p>
    <w:p>
      <w:pPr>
        <w:spacing w:before="0" w:after="160"/>
      </w:pPr>
    </w:p>
    <w:p>
      <w:pPr>
        <w:pStyle w:val="Heading1"/>
        <w:spacing w:before="480" w:after="120"/>
      </w:pPr>
      <w:r>
        <w:rPr>
          <w:rFonts w:ascii="Arial" w:cs="Arial" w:eastAsia="Arial" w:hAnsi="Arial"/>
          <w:b/>
          <w:bCs/>
          <w:color w:val="C96A3A"/>
          <w:spacing w:val="80"/>
          <w:sz w:val="24"/>
          <w:szCs w:val="24"/>
        </w:rPr>
        <w:t xml:space="preserve">02  WHO THIS IS FOR</w:t>
      </w:r>
    </w:p>
    <w:p>
      <w:pPr>
        <w:pBdr>
          <w:bottom w:val="single" w:color="C96A3A" w:sz="8" w:space="1"/>
        </w:pBdr>
        <w:spacing w:before="0" w:after="320"/>
      </w:pPr>
    </w:p>
    <w:p>
      <w:pPr>
        <w:spacing w:before="0" w:after="160"/>
      </w:pPr>
      <w:r>
        <w:rPr>
          <w:rFonts w:ascii="Georgia" w:cs="Georgia" w:eastAsia="Georgia" w:hAnsi="Georgia"/>
          <w:b w:val="false"/>
          <w:bCs w:val="false"/>
          <w:i w:val="false"/>
          <w:iCs w:val="false"/>
          <w:color w:val="2D2926"/>
          <w:sz w:val="22"/>
          <w:szCs w:val="22"/>
        </w:rPr>
        <w:t xml:space="preserve">People with ME/CFS, fibromyalgia, dysautonomia, EDS, MS, Long Covid, lupus, POTS, MCAS, chronic pain, chronic fatigue, and the many conditions that do not yet have a name but are fully real.</w:t>
      </w:r>
    </w:p>
    <w:p>
      <w:pPr>
        <w:spacing w:before="0" w:after="160"/>
      </w:pPr>
      <w:r>
        <w:rPr>
          <w:rFonts w:ascii="Georgia" w:cs="Georgia" w:eastAsia="Georgia" w:hAnsi="Georgia"/>
          <w:b w:val="false"/>
          <w:bCs w:val="false"/>
          <w:i w:val="false"/>
          <w:iCs w:val="false"/>
          <w:color w:val="2D2926"/>
          <w:sz w:val="22"/>
          <w:szCs w:val="22"/>
        </w:rPr>
        <w:t xml:space="preserve">People who have been told to rest and have done nothing but. People who are bored and under-employed and have more to give than their body allows on any given day.</w:t>
      </w:r>
    </w:p>
    <w:p>
      <w:pPr>
        <w:spacing w:before="0" w:after="160"/>
      </w:pPr>
      <w:r>
        <w:rPr>
          <w:rFonts w:ascii="Georgia" w:cs="Georgia" w:eastAsia="Georgia" w:hAnsi="Georgia"/>
          <w:b w:val="false"/>
          <w:bCs w:val="false"/>
          <w:i w:val="false"/>
          <w:iCs w:val="false"/>
          <w:color w:val="2D2926"/>
          <w:sz w:val="22"/>
          <w:szCs w:val="22"/>
        </w:rPr>
        <w:t xml:space="preserve">People who tried other platforms. Who started a Udemy course at 9am and crashed by 11. Who lost a streak and felt like a failure. Who needed to stop mid-lesson and found their progress gone.</w:t>
      </w:r>
    </w:p>
    <w:p>
      <w:pPr>
        <w:spacing w:before="0" w:after="60"/>
      </w:pPr>
    </w:p>
    <w:p>
      <w:pPr>
        <w:pStyle w:val="Heading2"/>
        <w:spacing w:before="320" w:after="80"/>
      </w:pPr>
      <w:r>
        <w:rPr>
          <w:rFonts w:ascii="Georgia" w:cs="Georgia" w:eastAsia="Georgia" w:hAnsi="Georgia"/>
          <w:b/>
          <w:bCs/>
          <w:color w:val="2D2926"/>
          <w:sz w:val="26"/>
          <w:szCs w:val="26"/>
        </w:rPr>
        <w:t xml:space="preserve">What they need that other platforms don't offer</w:t>
      </w:r>
    </w:p>
    <w:p>
      <w:pPr>
        <w:pStyle w:val="ListParagraph"/>
        <w:numPr>
          <w:ilvl w:val="0"/>
          <w:numId w:val="2"/>
        </w:numPr>
        <w:spacing w:before="0" w:after="100"/>
      </w:pPr>
      <w:r>
        <w:rPr>
          <w:rFonts w:ascii="Georgia" w:cs="Georgia" w:eastAsia="Georgia" w:hAnsi="Georgia"/>
          <w:b w:val="false"/>
          <w:bCs w:val="false"/>
          <w:color w:val="2D2926"/>
          <w:sz w:val="22"/>
          <w:szCs w:val="22"/>
        </w:rPr>
        <w:t xml:space="preserve">Lessons that are complete in 5–20 minutes — not 45</w:t>
      </w:r>
    </w:p>
    <w:p>
      <w:pPr>
        <w:pStyle w:val="ListParagraph"/>
        <w:numPr>
          <w:ilvl w:val="0"/>
          <w:numId w:val="2"/>
        </w:numPr>
        <w:spacing w:before="0" w:after="100"/>
      </w:pPr>
      <w:r>
        <w:rPr>
          <w:rFonts w:ascii="Georgia" w:cs="Georgia" w:eastAsia="Georgia" w:hAnsi="Georgia"/>
          <w:b w:val="false"/>
          <w:bCs w:val="false"/>
          <w:color w:val="2D2926"/>
          <w:sz w:val="22"/>
          <w:szCs w:val="22"/>
        </w:rPr>
        <w:t xml:space="preserve">Progress that waits — not progress that punishes absence</w:t>
      </w:r>
    </w:p>
    <w:p>
      <w:pPr>
        <w:pStyle w:val="ListParagraph"/>
        <w:numPr>
          <w:ilvl w:val="0"/>
          <w:numId w:val="2"/>
        </w:numPr>
        <w:spacing w:before="0" w:after="100"/>
      </w:pPr>
      <w:r>
        <w:rPr>
          <w:rFonts w:ascii="Georgia" w:cs="Georgia" w:eastAsia="Georgia" w:hAnsi="Georgia"/>
          <w:b w:val="false"/>
          <w:bCs w:val="false"/>
          <w:color w:val="2D2926"/>
          <w:sz w:val="22"/>
          <w:szCs w:val="22"/>
        </w:rPr>
        <w:t xml:space="preserve">Content that starts where they are, not where they should be</w:t>
      </w:r>
    </w:p>
    <w:p>
      <w:pPr>
        <w:pStyle w:val="ListParagraph"/>
        <w:numPr>
          <w:ilvl w:val="0"/>
          <w:numId w:val="2"/>
        </w:numPr>
        <w:spacing w:before="0" w:after="100"/>
      </w:pPr>
      <w:r>
        <w:rPr>
          <w:rFonts w:ascii="Georgia" w:cs="Georgia" w:eastAsia="Georgia" w:hAnsi="Georgia"/>
          <w:b w:val="false"/>
          <w:bCs w:val="false"/>
          <w:color w:val="2D2926"/>
          <w:sz w:val="22"/>
          <w:szCs w:val="22"/>
        </w:rPr>
        <w:t xml:space="preserve">A credential that holds up — not a participation badge</w:t>
      </w:r>
    </w:p>
    <w:p>
      <w:pPr>
        <w:pStyle w:val="ListParagraph"/>
        <w:numPr>
          <w:ilvl w:val="0"/>
          <w:numId w:val="2"/>
        </w:numPr>
        <w:spacing w:before="0" w:after="100"/>
      </w:pPr>
      <w:r>
        <w:rPr>
          <w:rFonts w:ascii="Georgia" w:cs="Georgia" w:eastAsia="Georgia" w:hAnsi="Georgia"/>
          <w:b w:val="false"/>
          <w:bCs w:val="false"/>
          <w:color w:val="2D2926"/>
          <w:sz w:val="22"/>
          <w:szCs w:val="22"/>
        </w:rPr>
        <w:t xml:space="preserve">Language that treats them as capable — not language that marvels at their resilience</w:t>
      </w:r>
    </w:p>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20"/>
          <w:bottom w:type="dxa" w:w="160"/>
        </w:tblCellMar>
      </w:tblPr>
      <w:tblGrid>
        <w:gridCol w:w="9360"/>
      </w:tblGrid>
      <w:tr>
        <w:tc>
          <w:tcPr>
            <w:tcW w:type="dxa" w:w="9360"/>
            <w:tcBorders>
              <w:top w:val="none" w:color="FFFFFF" w:sz="0"/>
              <w:left w:val="none" w:color="FFFFFF" w:sz="0"/>
              <w:bottom w:val="none" w:color="FFFFFF" w:sz="0"/>
              <w:right w:val="none" w:color="FFFFFF" w:sz="0"/>
            </w:tcBorders>
            <w:shd w:fill="EDE8E2" w:val="clear"/>
            <w:tcMar>
              <w:top w:type="dxa" w:w="120"/>
              <w:left w:type="dxa" w:w="200"/>
              <w:bottom w:type="dxa" w:w="120"/>
              <w:right w:type="dxa" w:w="200"/>
            </w:tcMar>
          </w:tcPr>
          <w:p>
            <w:pPr>
              <w:spacing w:before="0" w:after="80"/>
            </w:pPr>
            <w:r>
              <w:rPr>
                <w:rFonts w:ascii="Arial" w:cs="Arial" w:eastAsia="Arial" w:hAnsi="Arial"/>
                <w:b/>
                <w:bCs/>
                <w:caps/>
                <w:color w:val="6B635C"/>
                <w:spacing w:val="60"/>
                <w:sz w:val="18"/>
                <w:szCs w:val="18"/>
              </w:rPr>
              <w:t xml:space="preserve">NOT our audience</w:t>
            </w:r>
          </w:p>
          <w:p>
            <w:pPr>
              <w:spacing w:before="0" w:after="0"/>
            </w:pPr>
            <w:r>
              <w:rPr>
                <w:rFonts w:ascii="Georgia" w:cs="Georgia" w:eastAsia="Georgia" w:hAnsi="Georgia"/>
                <w:i/>
                <w:iCs/>
                <w:color w:val="6B635C"/>
                <w:sz w:val="20"/>
                <w:szCs w:val="20"/>
              </w:rPr>
              <w:t xml:space="preserve">People who want fast-track coding bootcamps. People who want community accountability. People looking for a daily habit app. If you need streaks to stay motivated, this isn't built for you — and that's fine.</w:t>
            </w:r>
          </w:p>
        </w:tc>
      </w:tr>
    </w:tbl>
    <w:p>
      <w:pPr>
        <w:spacing w:before="0" w:after="160"/>
      </w:pPr>
    </w:p>
    <w:p>
      <w:pPr>
        <w:pStyle w:val="Heading1"/>
        <w:spacing w:before="480" w:after="120"/>
      </w:pPr>
      <w:r>
        <w:rPr>
          <w:rFonts w:ascii="Arial" w:cs="Arial" w:eastAsia="Arial" w:hAnsi="Arial"/>
          <w:b/>
          <w:bCs/>
          <w:color w:val="C96A3A"/>
          <w:spacing w:val="80"/>
          <w:sz w:val="24"/>
          <w:szCs w:val="24"/>
        </w:rPr>
        <w:t xml:space="preserve">03  WHAT WE ARE NOT</w:t>
      </w:r>
    </w:p>
    <w:p>
      <w:pPr>
        <w:pBdr>
          <w:bottom w:val="single" w:color="C96A3A" w:sz="8" w:space="1"/>
        </w:pBdr>
        <w:spacing w:before="0" w:after="320"/>
      </w:pPr>
    </w:p>
    <w:p>
      <w:pPr>
        <w:spacing w:before="0" w:after="160"/>
      </w:pPr>
      <w:r>
        <w:rPr>
          <w:rFonts w:ascii="Georgia" w:cs="Georgia" w:eastAsia="Georgia" w:hAnsi="Georgia"/>
          <w:b w:val="false"/>
          <w:bCs w:val="false"/>
          <w:i w:val="false"/>
          <w:iCs w:val="false"/>
          <w:color w:val="2D2926"/>
          <w:sz w:val="22"/>
          <w:szCs w:val="22"/>
        </w:rPr>
        <w:t xml:space="preserve">This section exists because the temptations are real. Every one of these has been considered and declined.</w:t>
      </w:r>
    </w:p>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20"/>
          <w:bottom w:type="dxa" w:w="160"/>
        </w:tblCellMar>
      </w:tblPr>
      <w:tblGrid>
        <w:gridCol w:w="9360"/>
      </w:tblGrid>
      <w:tr>
        <w:tc>
          <w:tcPr>
            <w:tcW w:type="dxa" w:w="9360"/>
            <w:tcBorders>
              <w:top w:val="none" w:color="FFFFFF" w:sz="0"/>
              <w:left w:val="none" w:color="FFFFFF" w:sz="0"/>
              <w:bottom w:val="none" w:color="FFFFFF" w:sz="0"/>
              <w:right w:val="none" w:color="FFFFFF" w:sz="0"/>
            </w:tcBorders>
            <w:shd w:fill="EDE8E2" w:val="clear"/>
            <w:tcMar>
              <w:top w:type="dxa" w:w="120"/>
              <w:left w:type="dxa" w:w="200"/>
              <w:bottom w:type="dxa" w:w="120"/>
              <w:right w:type="dxa" w:w="200"/>
            </w:tcMar>
          </w:tcPr>
          <w:p>
            <w:pPr>
              <w:spacing w:before="0" w:after="80"/>
            </w:pPr>
            <w:r>
              <w:rPr>
                <w:rFonts w:ascii="Arial" w:cs="Arial" w:eastAsia="Arial" w:hAnsi="Arial"/>
                <w:b/>
                <w:bCs/>
                <w:caps/>
                <w:color w:val="6B635C"/>
                <w:spacing w:val="60"/>
                <w:sz w:val="18"/>
                <w:szCs w:val="18"/>
              </w:rPr>
              <w:t xml:space="preserve">Not an inspiration platform</w:t>
            </w:r>
          </w:p>
          <w:p>
            <w:pPr>
              <w:spacing w:before="0" w:after="0"/>
            </w:pPr>
            <w:r>
              <w:rPr>
                <w:rFonts w:ascii="Georgia" w:cs="Georgia" w:eastAsia="Georgia" w:hAnsi="Georgia"/>
                <w:i/>
                <w:iCs/>
                <w:color w:val="6B635C"/>
                <w:sz w:val="20"/>
                <w:szCs w:val="20"/>
              </w:rPr>
              <w:t xml:space="preserve">We do not tell stories of people who learned to code "despite" their illness. We do not use the word "warrior." We do not frame illness as an obstacle to overcome. It is a constraint to design around — the same way a tool is designed around the hand that holds it.</w:t>
            </w:r>
          </w:p>
        </w:tc>
      </w:tr>
    </w:tbl>
    <w:p>
      <w:pPr>
        <w:spacing w:before="0"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20"/>
          <w:bottom w:type="dxa" w:w="160"/>
        </w:tblCellMar>
      </w:tblPr>
      <w:tblGrid>
        <w:gridCol w:w="9360"/>
      </w:tblGrid>
      <w:tr>
        <w:tc>
          <w:tcPr>
            <w:tcW w:type="dxa" w:w="9360"/>
            <w:tcBorders>
              <w:top w:val="none" w:color="FFFFFF" w:sz="0"/>
              <w:left w:val="none" w:color="FFFFFF" w:sz="0"/>
              <w:bottom w:val="none" w:color="FFFFFF" w:sz="0"/>
              <w:right w:val="none" w:color="FFFFFF" w:sz="0"/>
            </w:tcBorders>
            <w:shd w:fill="EDE8E2" w:val="clear"/>
            <w:tcMar>
              <w:top w:type="dxa" w:w="120"/>
              <w:left w:type="dxa" w:w="200"/>
              <w:bottom w:type="dxa" w:w="120"/>
              <w:right w:type="dxa" w:w="200"/>
            </w:tcMar>
          </w:tcPr>
          <w:p>
            <w:pPr>
              <w:spacing w:before="0" w:after="80"/>
            </w:pPr>
            <w:r>
              <w:rPr>
                <w:rFonts w:ascii="Arial" w:cs="Arial" w:eastAsia="Arial" w:hAnsi="Arial"/>
                <w:b/>
                <w:bCs/>
                <w:caps/>
                <w:color w:val="6B635C"/>
                <w:spacing w:val="60"/>
                <w:sz w:val="18"/>
                <w:szCs w:val="18"/>
              </w:rPr>
              <w:t xml:space="preserve">Not a charity</w:t>
            </w:r>
          </w:p>
          <w:p>
            <w:pPr>
              <w:spacing w:before="0" w:after="0"/>
            </w:pPr>
            <w:r>
              <w:rPr>
                <w:rFonts w:ascii="Georgia" w:cs="Georgia" w:eastAsia="Georgia" w:hAnsi="Georgia"/>
                <w:i/>
                <w:iCs/>
                <w:color w:val="6B635C"/>
                <w:sz w:val="20"/>
                <w:szCs w:val="20"/>
              </w:rPr>
              <w:t xml:space="preserve">Everything is free to learn. The certificate costs €49. This is not generosity — it is a pricing decision based on what makes a credential credible. A certificate that costs nothing signals that it is worth nothing. We price it at the floor of what an employer will take seriously.</w:t>
            </w:r>
          </w:p>
        </w:tc>
      </w:tr>
    </w:tbl>
    <w:p>
      <w:pPr>
        <w:spacing w:before="0"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20"/>
          <w:bottom w:type="dxa" w:w="160"/>
        </w:tblCellMar>
      </w:tblPr>
      <w:tblGrid>
        <w:gridCol w:w="9360"/>
      </w:tblGrid>
      <w:tr>
        <w:tc>
          <w:tcPr>
            <w:tcW w:type="dxa" w:w="9360"/>
            <w:tcBorders>
              <w:top w:val="none" w:color="FFFFFF" w:sz="0"/>
              <w:left w:val="none" w:color="FFFFFF" w:sz="0"/>
              <w:bottom w:val="none" w:color="FFFFFF" w:sz="0"/>
              <w:right w:val="none" w:color="FFFFFF" w:sz="0"/>
            </w:tcBorders>
            <w:shd w:fill="EDE8E2" w:val="clear"/>
            <w:tcMar>
              <w:top w:type="dxa" w:w="120"/>
              <w:left w:type="dxa" w:w="200"/>
              <w:bottom w:type="dxa" w:w="120"/>
              <w:right w:type="dxa" w:w="200"/>
            </w:tcMar>
          </w:tcPr>
          <w:p>
            <w:pPr>
              <w:spacing w:before="0" w:after="80"/>
            </w:pPr>
            <w:r>
              <w:rPr>
                <w:rFonts w:ascii="Arial" w:cs="Arial" w:eastAsia="Arial" w:hAnsi="Arial"/>
                <w:b/>
                <w:bCs/>
                <w:caps/>
                <w:color w:val="6B635C"/>
                <w:spacing w:val="60"/>
                <w:sz w:val="18"/>
                <w:szCs w:val="18"/>
              </w:rPr>
              <w:t xml:space="preserve">Not a habit app</w:t>
            </w:r>
          </w:p>
          <w:p>
            <w:pPr>
              <w:spacing w:before="0" w:after="0"/>
            </w:pPr>
            <w:r>
              <w:rPr>
                <w:rFonts w:ascii="Georgia" w:cs="Georgia" w:eastAsia="Georgia" w:hAnsi="Georgia"/>
                <w:i/>
                <w:iCs/>
                <w:color w:val="6B635C"/>
                <w:sz w:val="20"/>
                <w:szCs w:val="20"/>
              </w:rPr>
              <w:t xml:space="preserve">No streaks. No daily check-ins. No "you haven't visited in 7 days" emails. The gamification mechanics that work for healthy people with consistent energy are actively harmful for people whose energy is unpredictable. We have removed every one of them.</w:t>
            </w:r>
          </w:p>
        </w:tc>
      </w:tr>
    </w:tbl>
    <w:p>
      <w:pPr>
        <w:spacing w:before="0"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20"/>
          <w:bottom w:type="dxa" w:w="160"/>
        </w:tblCellMar>
      </w:tblPr>
      <w:tblGrid>
        <w:gridCol w:w="9360"/>
      </w:tblGrid>
      <w:tr>
        <w:tc>
          <w:tcPr>
            <w:tcW w:type="dxa" w:w="9360"/>
            <w:tcBorders>
              <w:top w:val="none" w:color="FFFFFF" w:sz="0"/>
              <w:left w:val="none" w:color="FFFFFF" w:sz="0"/>
              <w:bottom w:val="none" w:color="FFFFFF" w:sz="0"/>
              <w:right w:val="none" w:color="FFFFFF" w:sz="0"/>
            </w:tcBorders>
            <w:shd w:fill="EDE8E2" w:val="clear"/>
            <w:tcMar>
              <w:top w:type="dxa" w:w="120"/>
              <w:left w:type="dxa" w:w="200"/>
              <w:bottom w:type="dxa" w:w="120"/>
              <w:right w:type="dxa" w:w="200"/>
            </w:tcMar>
          </w:tcPr>
          <w:p>
            <w:pPr>
              <w:spacing w:before="0" w:after="80"/>
            </w:pPr>
            <w:r>
              <w:rPr>
                <w:rFonts w:ascii="Arial" w:cs="Arial" w:eastAsia="Arial" w:hAnsi="Arial"/>
                <w:b/>
                <w:bCs/>
                <w:caps/>
                <w:color w:val="6B635C"/>
                <w:spacing w:val="60"/>
                <w:sz w:val="18"/>
                <w:szCs w:val="18"/>
              </w:rPr>
              <w:t xml:space="preserve">Not a community platform</w:t>
            </w:r>
          </w:p>
          <w:p>
            <w:pPr>
              <w:spacing w:before="0" w:after="0"/>
            </w:pPr>
            <w:r>
              <w:rPr>
                <w:rFonts w:ascii="Georgia" w:cs="Georgia" w:eastAsia="Georgia" w:hAnsi="Georgia"/>
                <w:i/>
                <w:iCs/>
                <w:color w:val="6B635C"/>
                <w:sz w:val="20"/>
                <w:szCs w:val="20"/>
              </w:rPr>
              <w:t xml:space="preserve">Connection with other learners is a nice-to-have, not the product. The product is skills and a verifiable credential. We do not build engagement mechanics. We build learning mechanics.</w:t>
            </w:r>
          </w:p>
        </w:tc>
      </w:tr>
    </w:tbl>
    <w:p>
      <w:pPr>
        <w:spacing w:before="0" w:after="160"/>
      </w:pPr>
    </w:p>
    <w:p>
      <w:pPr>
        <w:pStyle w:val="Heading1"/>
        <w:spacing w:before="480" w:after="120"/>
      </w:pPr>
      <w:r>
        <w:rPr>
          <w:rFonts w:ascii="Arial" w:cs="Arial" w:eastAsia="Arial" w:hAnsi="Arial"/>
          <w:b/>
          <w:bCs/>
          <w:color w:val="C96A3A"/>
          <w:spacing w:val="80"/>
          <w:sz w:val="24"/>
          <w:szCs w:val="24"/>
        </w:rPr>
        <w:t xml:space="preserve">04  VALUES</w:t>
      </w:r>
    </w:p>
    <w:p>
      <w:pPr>
        <w:pBdr>
          <w:bottom w:val="single" w:color="C96A3A" w:sz="8" w:space="1"/>
        </w:pBdr>
        <w:spacing w:before="0" w:after="320"/>
      </w:pPr>
    </w:p>
    <w:p>
      <w:pPr>
        <w:pStyle w:val="Heading2"/>
        <w:spacing w:before="320" w:after="80"/>
      </w:pPr>
      <w:r>
        <w:rPr>
          <w:rFonts w:ascii="Georgia" w:cs="Georgia" w:eastAsia="Georgia" w:hAnsi="Georgia"/>
          <w:b/>
          <w:bCs/>
          <w:color w:val="2D2926"/>
          <w:sz w:val="26"/>
          <w:szCs w:val="26"/>
        </w:rPr>
        <w:t xml:space="preserve">Dignity before motivation</w:t>
      </w:r>
    </w:p>
    <w:p>
      <w:pPr>
        <w:spacing w:before="0" w:after="160"/>
      </w:pPr>
      <w:r>
        <w:rPr>
          <w:rFonts w:ascii="Georgia" w:cs="Georgia" w:eastAsia="Georgia" w:hAnsi="Georgia"/>
          <w:b w:val="false"/>
          <w:bCs w:val="false"/>
          <w:i w:val="false"/>
          <w:iCs w:val="false"/>
          <w:color w:val="2D2926"/>
          <w:sz w:val="22"/>
          <w:szCs w:val="22"/>
        </w:rPr>
        <w:t xml:space="preserve">We do not try to motivate learners. We build an environment where learning is possible on the days when it is possible. Motivation is their job. Removing friction is ours.</w:t>
      </w:r>
    </w:p>
    <w:p>
      <w:pPr>
        <w:spacing w:before="0" w:after="60"/>
      </w:pPr>
    </w:p>
    <w:p>
      <w:pPr>
        <w:pStyle w:val="Heading2"/>
        <w:spacing w:before="320" w:after="80"/>
      </w:pPr>
      <w:r>
        <w:rPr>
          <w:rFonts w:ascii="Georgia" w:cs="Georgia" w:eastAsia="Georgia" w:hAnsi="Georgia"/>
          <w:b/>
          <w:bCs/>
          <w:color w:val="2D2926"/>
          <w:sz w:val="26"/>
          <w:szCs w:val="26"/>
        </w:rPr>
        <w:t xml:space="preserve">Constraints are design input</w:t>
      </w:r>
    </w:p>
    <w:p>
      <w:pPr>
        <w:spacing w:before="0" w:after="160"/>
      </w:pPr>
      <w:r>
        <w:rPr>
          <w:rFonts w:ascii="Georgia" w:cs="Georgia" w:eastAsia="Georgia" w:hAnsi="Georgia"/>
          <w:b w:val="false"/>
          <w:bCs w:val="false"/>
          <w:i w:val="false"/>
          <w:iCs w:val="false"/>
          <w:color w:val="2D2926"/>
          <w:sz w:val="22"/>
          <w:szCs w:val="22"/>
        </w:rPr>
        <w:t xml:space="preserve">Fatigue, brain fog, pain, variable attention — these are not problems to overcome. They are specifications. Every feature on this platform exists because of them, not despite them. Flare mode is not an accessibility feature bolted on. It is the product.</w:t>
      </w:r>
    </w:p>
    <w:p>
      <w:pPr>
        <w:spacing w:before="0" w:after="60"/>
      </w:pPr>
    </w:p>
    <w:p>
      <w:pPr>
        <w:pStyle w:val="Heading2"/>
        <w:spacing w:before="320" w:after="80"/>
      </w:pPr>
      <w:r>
        <w:rPr>
          <w:rFonts w:ascii="Georgia" w:cs="Georgia" w:eastAsia="Georgia" w:hAnsi="Georgia"/>
          <w:b/>
          <w:bCs/>
          <w:color w:val="2D2926"/>
          <w:sz w:val="26"/>
          <w:szCs w:val="26"/>
        </w:rPr>
        <w:t xml:space="preserve">Honest over warm</w:t>
      </w:r>
    </w:p>
    <w:p>
      <w:pPr>
        <w:spacing w:before="0" w:after="160"/>
      </w:pPr>
      <w:r>
        <w:rPr>
          <w:rFonts w:ascii="Georgia" w:cs="Georgia" w:eastAsia="Georgia" w:hAnsi="Georgia"/>
          <w:b w:val="false"/>
          <w:bCs w:val="false"/>
          <w:i w:val="false"/>
          <w:iCs w:val="false"/>
          <w:color w:val="2D2926"/>
          <w:sz w:val="22"/>
          <w:szCs w:val="22"/>
        </w:rPr>
        <w:t xml:space="preserve">We are warm. We are never dishonest in service of warmth. If a skill is hard, we say it is hard. If a certificate is not a guarantee of employment, we do not imply it is. Trust is worth more than comfort.</w:t>
      </w:r>
    </w:p>
    <w:p>
      <w:pPr>
        <w:spacing w:before="0" w:after="60"/>
      </w:pPr>
    </w:p>
    <w:p>
      <w:pPr>
        <w:pStyle w:val="Heading2"/>
        <w:spacing w:before="320" w:after="80"/>
      </w:pPr>
      <w:r>
        <w:rPr>
          <w:rFonts w:ascii="Georgia" w:cs="Georgia" w:eastAsia="Georgia" w:hAnsi="Georgia"/>
          <w:b/>
          <w:bCs/>
          <w:color w:val="2D2926"/>
          <w:sz w:val="26"/>
          <w:szCs w:val="26"/>
        </w:rPr>
        <w:t xml:space="preserve">Earned, not given</w:t>
      </w:r>
    </w:p>
    <w:p>
      <w:pPr>
        <w:spacing w:before="0" w:after="160"/>
      </w:pPr>
      <w:r>
        <w:rPr>
          <w:rFonts w:ascii="Georgia" w:cs="Georgia" w:eastAsia="Georgia" w:hAnsi="Georgia"/>
          <w:b w:val="false"/>
          <w:bCs w:val="false"/>
          <w:i w:val="false"/>
          <w:iCs w:val="false"/>
          <w:color w:val="2D2926"/>
          <w:sz w:val="22"/>
          <w:szCs w:val="22"/>
        </w:rPr>
        <w:t xml:space="preserve">Certificates are issued when assessment is passed. There is no certificate for showing up. This is not cruelty — it is the reason the certificate means something. The Working with Chronic Illness certificate is free and auto-issued because completion itself is the credential.</w:t>
      </w:r>
    </w:p>
    <w:p>
      <w:pPr>
        <w:spacing w:before="0" w:after="60"/>
      </w:pPr>
    </w:p>
    <w:p>
      <w:pPr>
        <w:pStyle w:val="Heading2"/>
        <w:spacing w:before="320" w:after="80"/>
      </w:pPr>
      <w:r>
        <w:rPr>
          <w:rFonts w:ascii="Georgia" w:cs="Georgia" w:eastAsia="Georgia" w:hAnsi="Georgia"/>
          <w:b/>
          <w:bCs/>
          <w:color w:val="2D2926"/>
          <w:sz w:val="26"/>
          <w:szCs w:val="26"/>
        </w:rPr>
        <w:t xml:space="preserve">Private by default</w:t>
      </w:r>
    </w:p>
    <w:p>
      <w:pPr>
        <w:spacing w:before="0" w:after="160"/>
      </w:pPr>
      <w:r>
        <w:rPr>
          <w:rFonts w:ascii="Georgia" w:cs="Georgia" w:eastAsia="Georgia" w:hAnsi="Georgia"/>
          <w:b w:val="false"/>
          <w:bCs w:val="false"/>
          <w:i w:val="false"/>
          <w:iCs w:val="false"/>
          <w:color w:val="2D2926"/>
          <w:sz w:val="22"/>
          <w:szCs w:val="22"/>
        </w:rPr>
        <w:t xml:space="preserve">Energy logs are private. No admin can see them. They exist to serve the learner, not the platform. Health data does not leave the platform. No advertising. No data brokering. If we cannot fund the platform without selling learner data, we will not fund it that way.</w:t>
      </w:r>
    </w:p>
    <w:p>
      <w:pPr>
        <w:spacing w:before="0" w:after="160"/>
      </w:pPr>
    </w:p>
    <w:p>
      <w:pPr>
        <w:pStyle w:val="Heading1"/>
        <w:spacing w:before="480" w:after="120"/>
      </w:pPr>
      <w:r>
        <w:rPr>
          <w:rFonts w:ascii="Arial" w:cs="Arial" w:eastAsia="Arial" w:hAnsi="Arial"/>
          <w:b/>
          <w:bCs/>
          <w:color w:val="C96A3A"/>
          <w:spacing w:val="80"/>
          <w:sz w:val="24"/>
          <w:szCs w:val="24"/>
        </w:rPr>
        <w:t xml:space="preserve">05  HOW WE TEACH</w:t>
      </w:r>
    </w:p>
    <w:p>
      <w:pPr>
        <w:pBdr>
          <w:bottom w:val="single" w:color="C96A3A" w:sz="8" w:space="1"/>
        </w:pBdr>
        <w:spacing w:before="0" w:after="320"/>
      </w:pPr>
    </w:p>
    <w:p>
      <w:pPr>
        <w:spacing w:before="0" w:after="160"/>
      </w:pPr>
      <w:r>
        <w:rPr>
          <w:rFonts w:ascii="Georgia" w:cs="Georgia" w:eastAsia="Georgia" w:hAnsi="Georgia"/>
          <w:b w:val="false"/>
          <w:bCs w:val="false"/>
          <w:i w:val="false"/>
          <w:iCs w:val="false"/>
          <w:color w:val="2D2926"/>
          <w:sz w:val="22"/>
          <w:szCs w:val="22"/>
        </w:rPr>
        <w:t xml:space="preserve">The pedagogical model is grounded in two findings from learning science that hold up under replication: spaced retrieval practice improves retention, and interleaved varied practice beats blocked practice for skill transfer. Both work in short bursts. Both are appropriate for variable attention.</w:t>
      </w:r>
    </w:p>
    <w:p>
      <w:pPr>
        <w:spacing w:before="0" w:after="80"/>
      </w:pPr>
    </w:p>
    <w:p>
      <w:pPr>
        <w:pStyle w:val="Heading2"/>
        <w:spacing w:before="320" w:after="80"/>
      </w:pPr>
      <w:r>
        <w:rPr>
          <w:rFonts w:ascii="Georgia" w:cs="Georgia" w:eastAsia="Georgia" w:hAnsi="Georgia"/>
          <w:b/>
          <w:bCs/>
          <w:color w:val="2D2926"/>
          <w:sz w:val="26"/>
          <w:szCs w:val="26"/>
        </w:rPr>
        <w:t xml:space="preserve">The four-step loop</w:t>
      </w:r>
    </w:p>
    <w:p>
      <w:pPr>
        <w:spacing w:before="0" w:after="160"/>
      </w:pPr>
      <w:r>
        <w:rPr>
          <w:rFonts w:ascii="Georgia" w:cs="Georgia" w:eastAsia="Georgia" w:hAnsi="Georgia"/>
          <w:b w:val="false"/>
          <w:bCs w:val="false"/>
          <w:i w:val="false"/>
          <w:iCs w:val="false"/>
          <w:color w:val="2D2926"/>
          <w:sz w:val="22"/>
          <w:szCs w:val="22"/>
        </w:rPr>
        <w:t xml:space="preserve">Every module follows the same sequence, in order:</w:t>
      </w:r>
    </w:p>
    <w:p>
      <w:pPr>
        <w:spacing w:before="0" w:after="4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single" w:color="DDD8D2" w:sz="1"/>
              <w:right w:val="none" w:color="FFFFFF" w:sz="0"/>
            </w:tcBorders>
            <w:shd w:fill="F2EDE7" w:val="clear"/>
            <w:tcMar>
              <w:top w:type="dxa" w:w="100"/>
              <w:left w:type="dxa" w:w="160"/>
              <w:bottom w:type="dxa" w:w="100"/>
              <w:right w:type="dxa" w:w="160"/>
            </w:tcMar>
          </w:tcPr>
          <w:p>
            <w:r>
              <w:rPr>
                <w:rFonts w:ascii="Arial" w:cs="Arial" w:eastAsia="Arial" w:hAnsi="Arial"/>
                <w:b/>
                <w:bCs/>
                <w:color w:val="C96A3A"/>
                <w:spacing w:val="60"/>
                <w:sz w:val="18"/>
                <w:szCs w:val="18"/>
              </w:rPr>
              <w:t xml:space="preserve">EXPLAIN</w:t>
            </w:r>
          </w:p>
        </w:tc>
        <w:tc>
          <w:tcPr>
            <w:tcW w:type="dxa" w:w="8160"/>
            <w:tcBorders>
              <w:top w:val="none" w:color="FFFFFF" w:sz="0"/>
              <w:left w:val="none" w:color="FFFFFF" w:sz="0"/>
              <w:bottom w:val="single" w:color="DDD8D2" w:sz="1"/>
              <w:right w:val="none" w:color="FFFFFF" w:sz="0"/>
            </w:tcBorders>
            <w:tcMar>
              <w:top w:type="dxa" w:w="100"/>
              <w:left w:type="dxa" w:w="200"/>
              <w:bottom w:type="dxa" w:w="100"/>
              <w:right w:type="dxa" w:w="0"/>
            </w:tcMar>
          </w:tcPr>
          <w:p>
            <w:r>
              <w:rPr>
                <w:rFonts w:ascii="Georgia" w:cs="Georgia" w:eastAsia="Georgia" w:hAnsi="Georgia"/>
                <w:color w:val="2D2926"/>
                <w:sz w:val="20"/>
                <w:szCs w:val="20"/>
              </w:rPr>
              <w:t xml:space="preserve">Short text or worked example. One concept only. Opens with a concrete scenario — never a definition. 5–8 minutes.</w:t>
            </w:r>
          </w:p>
        </w:tc>
      </w:tr>
      <w:tr>
        <w:tc>
          <w:tcPr>
            <w:tcW w:type="dxa" w:w="1200"/>
            <w:tcBorders>
              <w:top w:val="none" w:color="FFFFFF" w:sz="0"/>
              <w:left w:val="none" w:color="FFFFFF" w:sz="0"/>
              <w:bottom w:val="single" w:color="DDD8D2" w:sz="1"/>
              <w:right w:val="none" w:color="FFFFFF" w:sz="0"/>
            </w:tcBorders>
            <w:shd w:fill="F2EDE7" w:val="clear"/>
            <w:tcMar>
              <w:top w:type="dxa" w:w="100"/>
              <w:left w:type="dxa" w:w="160"/>
              <w:bottom w:type="dxa" w:w="100"/>
              <w:right w:type="dxa" w:w="160"/>
            </w:tcMar>
          </w:tcPr>
          <w:p>
            <w:r>
              <w:rPr>
                <w:rFonts w:ascii="Arial" w:cs="Arial" w:eastAsia="Arial" w:hAnsi="Arial"/>
                <w:b/>
                <w:bCs/>
                <w:color w:val="C96A3A"/>
                <w:spacing w:val="60"/>
                <w:sz w:val="18"/>
                <w:szCs w:val="18"/>
              </w:rPr>
              <w:t xml:space="preserve">APPLY</w:t>
            </w:r>
          </w:p>
        </w:tc>
        <w:tc>
          <w:tcPr>
            <w:tcW w:type="dxa" w:w="8160"/>
            <w:tcBorders>
              <w:top w:val="none" w:color="FFFFFF" w:sz="0"/>
              <w:left w:val="none" w:color="FFFFFF" w:sz="0"/>
              <w:bottom w:val="single" w:color="DDD8D2" w:sz="1"/>
              <w:right w:val="none" w:color="FFFFFF" w:sz="0"/>
            </w:tcBorders>
            <w:tcMar>
              <w:top w:type="dxa" w:w="100"/>
              <w:left w:type="dxa" w:w="200"/>
              <w:bottom w:type="dxa" w:w="100"/>
              <w:right w:type="dxa" w:w="0"/>
            </w:tcMar>
          </w:tcPr>
          <w:p>
            <w:r>
              <w:rPr>
                <w:rFonts w:ascii="Georgia" w:cs="Georgia" w:eastAsia="Georgia" w:hAnsi="Georgia"/>
                <w:color w:val="2D2926"/>
                <w:sz w:val="20"/>
                <w:szCs w:val="20"/>
              </w:rPr>
              <w:t xml:space="preserve">Immediate exercise using the concept just introduced. Claude provides feedback. Hints available. 10–15 minutes.</w:t>
            </w:r>
          </w:p>
        </w:tc>
      </w:tr>
      <w:tr>
        <w:tc>
          <w:tcPr>
            <w:tcW w:type="dxa" w:w="1200"/>
            <w:tcBorders>
              <w:top w:val="none" w:color="FFFFFF" w:sz="0"/>
              <w:left w:val="none" w:color="FFFFFF" w:sz="0"/>
              <w:bottom w:val="single" w:color="DDD8D2" w:sz="1"/>
              <w:right w:val="none" w:color="FFFFFF" w:sz="0"/>
            </w:tcBorders>
            <w:shd w:fill="F2EDE7" w:val="clear"/>
            <w:tcMar>
              <w:top w:type="dxa" w:w="100"/>
              <w:left w:type="dxa" w:w="160"/>
              <w:bottom w:type="dxa" w:w="100"/>
              <w:right w:type="dxa" w:w="160"/>
            </w:tcMar>
          </w:tcPr>
          <w:p>
            <w:r>
              <w:rPr>
                <w:rFonts w:ascii="Arial" w:cs="Arial" w:eastAsia="Arial" w:hAnsi="Arial"/>
                <w:b/>
                <w:bCs/>
                <w:color w:val="C96A3A"/>
                <w:spacing w:val="60"/>
                <w:sz w:val="18"/>
                <w:szCs w:val="18"/>
              </w:rPr>
              <w:t xml:space="preserve">VARY</w:t>
            </w:r>
          </w:p>
        </w:tc>
        <w:tc>
          <w:tcPr>
            <w:tcW w:type="dxa" w:w="8160"/>
            <w:tcBorders>
              <w:top w:val="none" w:color="FFFFFF" w:sz="0"/>
              <w:left w:val="none" w:color="FFFFFF" w:sz="0"/>
              <w:bottom w:val="single" w:color="DDD8D2" w:sz="1"/>
              <w:right w:val="none" w:color="FFFFFF" w:sz="0"/>
            </w:tcBorders>
            <w:tcMar>
              <w:top w:type="dxa" w:w="100"/>
              <w:left w:type="dxa" w:w="200"/>
              <w:bottom w:type="dxa" w:w="100"/>
              <w:right w:type="dxa" w:w="0"/>
            </w:tcMar>
          </w:tcPr>
          <w:p>
            <w:r>
              <w:rPr>
                <w:rFonts w:ascii="Georgia" w:cs="Georgia" w:eastAsia="Georgia" w:hAnsi="Georgia"/>
                <w:color w:val="2D2926"/>
                <w:sz w:val="20"/>
                <w:szCs w:val="20"/>
              </w:rPr>
              <w:t xml:space="preserve">Second exercise, same skill, different context. Interleaving: the research is unambiguous that varied practice produces better retention than blocked practice.</w:t>
            </w:r>
          </w:p>
        </w:tc>
      </w:tr>
      <w:tr>
        <w:tc>
          <w:tcPr>
            <w:tcW w:type="dxa" w:w="1200"/>
            <w:tcBorders>
              <w:top w:val="none" w:color="FFFFFF" w:sz="0"/>
              <w:left w:val="none" w:color="FFFFFF" w:sz="0"/>
              <w:bottom w:val="single" w:color="DDD8D2" w:sz="1"/>
              <w:right w:val="none" w:color="FFFFFF" w:sz="0"/>
            </w:tcBorders>
            <w:shd w:fill="F2EDE7" w:val="clear"/>
            <w:tcMar>
              <w:top w:type="dxa" w:w="100"/>
              <w:left w:type="dxa" w:w="160"/>
              <w:bottom w:type="dxa" w:w="100"/>
              <w:right w:type="dxa" w:w="160"/>
            </w:tcMar>
          </w:tcPr>
          <w:p>
            <w:r>
              <w:rPr>
                <w:rFonts w:ascii="Arial" w:cs="Arial" w:eastAsia="Arial" w:hAnsi="Arial"/>
                <w:b/>
                <w:bCs/>
                <w:color w:val="C96A3A"/>
                <w:spacing w:val="60"/>
                <w:sz w:val="18"/>
                <w:szCs w:val="18"/>
              </w:rPr>
              <w:t xml:space="preserve">REFLECT</w:t>
            </w:r>
          </w:p>
        </w:tc>
        <w:tc>
          <w:tcPr>
            <w:tcW w:type="dxa" w:w="8160"/>
            <w:tcBorders>
              <w:top w:val="none" w:color="FFFFFF" w:sz="0"/>
              <w:left w:val="none" w:color="FFFFFF" w:sz="0"/>
              <w:bottom w:val="single" w:color="DDD8D2" w:sz="1"/>
              <w:right w:val="none" w:color="FFFFFF" w:sz="0"/>
            </w:tcBorders>
            <w:tcMar>
              <w:top w:type="dxa" w:w="100"/>
              <w:left w:type="dxa" w:w="200"/>
              <w:bottom w:type="dxa" w:w="100"/>
              <w:right w:type="dxa" w:w="0"/>
            </w:tcMar>
          </w:tcPr>
          <w:p>
            <w:r>
              <w:rPr>
                <w:rFonts w:ascii="Georgia" w:cs="Georgia" w:eastAsia="Georgia" w:hAnsi="Georgia"/>
                <w:color w:val="2D2926"/>
                <w:sz w:val="20"/>
                <w:szCs w:val="20"/>
              </w:rPr>
              <w:t xml:space="preserve">Specific prompt — not "what did you learn?" but "where in your real life would you use this?" Practice always precedes reflection.</w:t>
            </w:r>
          </w:p>
        </w:tc>
      </w:tr>
    </w:tbl>
    <w:p>
      <w:pPr>
        <w:spacing w:before="0" w:after="200"/>
      </w:pPr>
    </w:p>
    <w:p>
      <w:pPr>
        <w:pStyle w:val="Heading2"/>
        <w:spacing w:before="320" w:after="80"/>
      </w:pPr>
      <w:r>
        <w:rPr>
          <w:rFonts w:ascii="Georgia" w:cs="Georgia" w:eastAsia="Georgia" w:hAnsi="Georgia"/>
          <w:b/>
          <w:bCs/>
          <w:color w:val="2D2926"/>
          <w:sz w:val="26"/>
          <w:szCs w:val="26"/>
        </w:rPr>
        <w:t xml:space="preserve">Spaced retrieval checkpoints</w:t>
      </w:r>
    </w:p>
    <w:p>
      <w:pPr>
        <w:spacing w:before="0" w:after="160"/>
      </w:pPr>
      <w:r>
        <w:rPr>
          <w:rFonts w:ascii="Georgia" w:cs="Georgia" w:eastAsia="Georgia" w:hAnsi="Georgia"/>
          <w:b w:val="false"/>
          <w:bCs w:val="false"/>
          <w:i w:val="false"/>
          <w:iCs w:val="false"/>
          <w:color w:val="2D2926"/>
          <w:sz w:val="22"/>
          <w:szCs w:val="22"/>
        </w:rPr>
        <w:t xml:space="preserve">Every five lessons, a retrieval checkpoint: five low-stakes questions pulling from the previous lessons. Not graded. Not blocking. Framed as "let's see what stuck" — not as a test. These checkpoints are the mechanism by which the platform compensates for the memory and attention variability that is part of this community's reality.</w:t>
      </w:r>
    </w:p>
    <w:p>
      <w:pPr>
        <w:spacing w:before="0" w:after="80"/>
      </w:pPr>
    </w:p>
    <w:p>
      <w:pPr>
        <w:pStyle w:val="Heading2"/>
        <w:spacing w:before="320" w:after="80"/>
      </w:pPr>
      <w:r>
        <w:rPr>
          <w:rFonts w:ascii="Georgia" w:cs="Georgia" w:eastAsia="Georgia" w:hAnsi="Georgia"/>
          <w:b/>
          <w:bCs/>
          <w:color w:val="2D2926"/>
          <w:sz w:val="26"/>
          <w:szCs w:val="26"/>
        </w:rPr>
        <w:t xml:space="preserve">On "learning styles"</w:t>
      </w:r>
    </w:p>
    <w:p>
      <w:pPr>
        <w:spacing w:before="0" w:after="160"/>
      </w:pPr>
      <w:r>
        <w:rPr>
          <w:rFonts w:ascii="Georgia" w:cs="Georgia" w:eastAsia="Georgia" w:hAnsi="Georgia"/>
          <w:b w:val="false"/>
          <w:bCs w:val="false"/>
          <w:i w:val="false"/>
          <w:iCs w:val="false"/>
          <w:color w:val="2D2926"/>
          <w:sz w:val="22"/>
          <w:szCs w:val="22"/>
        </w:rPr>
        <w:t xml:space="preserve">The theory of fixed individual learning styles — visual, auditory, kinaesthetic — does not hold up empirically. What the evidence does support is multimodal instruction for everyone. The same concept presented as text, then worked example, then application, then reflection produces better retention across all learners than any single format. This is the basis of our four-step loop.</w:t>
      </w:r>
    </w:p>
    <w:p>
      <w:pPr>
        <w:spacing w:before="0" w:after="160"/>
      </w:pPr>
      <w:r>
        <w:rPr>
          <w:rFonts w:ascii="Georgia" w:cs="Georgia" w:eastAsia="Georgia" w:hAnsi="Georgia"/>
          <w:b w:val="false"/>
          <w:bCs w:val="false"/>
          <w:i w:val="false"/>
          <w:iCs w:val="false"/>
          <w:color w:val="2D2926"/>
          <w:sz w:val="22"/>
          <w:szCs w:val="22"/>
        </w:rPr>
        <w:t xml:space="preserve">Within the constraint of low-stimulation design (no video, no audio, no animation), we vary format continuously: scenario narratives, side-by-side comparisons, annotated code walkthroughs, myth-vs-reality framings, debug exercises, fill-in-the-blank, choose-and-justify. No two consecutive lessons should feel identical.</w:t>
      </w:r>
    </w:p>
    <w:p>
      <w:pPr>
        <w:spacing w:before="0" w:after="80"/>
      </w:pPr>
    </w:p>
    <w:p>
      <w:pPr>
        <w:pStyle w:val="Heading2"/>
        <w:spacing w:before="320" w:after="80"/>
      </w:pPr>
      <w:r>
        <w:rPr>
          <w:rFonts w:ascii="Georgia" w:cs="Georgia" w:eastAsia="Georgia" w:hAnsi="Georgia"/>
          <w:b/>
          <w:bCs/>
          <w:color w:val="2D2926"/>
          <w:sz w:val="26"/>
          <w:szCs w:val="26"/>
        </w:rPr>
        <w:t xml:space="preserve">On gamification</w:t>
      </w:r>
    </w:p>
    <w:p>
      <w:pPr>
        <w:spacing w:before="0" w:after="160"/>
      </w:pPr>
      <w:r>
        <w:rPr>
          <w:rFonts w:ascii="Georgia" w:cs="Georgia" w:eastAsia="Georgia" w:hAnsi="Georgia"/>
          <w:b w:val="false"/>
          <w:bCs w:val="false"/>
          <w:i w:val="false"/>
          <w:iCs w:val="false"/>
          <w:color w:val="2D2926"/>
          <w:sz w:val="22"/>
          <w:szCs w:val="22"/>
        </w:rPr>
        <w:t xml:space="preserve">Points, badges, streaks, and leaderboards are excluded. Not because they don't work — they do work, for people with consistent energy and a reliable sense of progress. They are actively harmful for people whose engagement is necessarily irregular.</w:t>
      </w:r>
    </w:p>
    <w:p>
      <w:pPr>
        <w:spacing w:before="0" w:after="160"/>
      </w:pPr>
      <w:r>
        <w:rPr>
          <w:rFonts w:ascii="Georgia" w:cs="Georgia" w:eastAsia="Georgia" w:hAnsi="Georgia"/>
          <w:b w:val="false"/>
          <w:bCs w:val="false"/>
          <w:i w:val="false"/>
          <w:iCs w:val="false"/>
          <w:color w:val="2D2926"/>
          <w:sz w:val="22"/>
          <w:szCs w:val="22"/>
        </w:rPr>
        <w:t xml:space="preserve">The underlying mechanics that make gamification effective — immediate feedback, progressive reveal, sense of agency, mastery framing — are all present. A learner who submits an exercise gets specific Claude feedback within 30 seconds. Concepts unlock in sequence. There are two versions of most exercises to choose between. The completion message says "you've seen this in three contexts now" rather than showing a score. Same effect. None of the anxiety.</w:t>
      </w:r>
    </w:p>
    <w:p>
      <w:pPr>
        <w:spacing w:before="0" w:after="80"/>
      </w:pPr>
    </w:p>
    <w:p>
      <w:pPr>
        <w:pStyle w:val="Heading2"/>
        <w:spacing w:before="320" w:after="80"/>
      </w:pPr>
      <w:r>
        <w:rPr>
          <w:rFonts w:ascii="Georgia" w:cs="Georgia" w:eastAsia="Georgia" w:hAnsi="Georgia"/>
          <w:b/>
          <w:bCs/>
          <w:color w:val="2D2926"/>
          <w:sz w:val="26"/>
          <w:szCs w:val="26"/>
        </w:rPr>
        <w:t xml:space="preserve">Energy cost labelling</w:t>
      </w:r>
    </w:p>
    <w:p>
      <w:pPr>
        <w:spacing w:before="0" w:after="160"/>
      </w:pPr>
      <w:r>
        <w:rPr>
          <w:rFonts w:ascii="Georgia" w:cs="Georgia" w:eastAsia="Georgia" w:hAnsi="Georgia"/>
          <w:b w:val="false"/>
          <w:bCs w:val="false"/>
          <w:i w:val="false"/>
          <w:iCs w:val="false"/>
          <w:color w:val="2D2926"/>
          <w:sz w:val="22"/>
          <w:szCs w:val="22"/>
        </w:rPr>
        <w:t xml:space="preserve">Every lesson carries an energy cost: LOW, MEDIUM, or HIGH. This is not decorative. The dashboard uses it to filter suggestions. Flare mode shows only LOW. The energy picker on the dashboard takes today's capacity and returns a list of lessons that fit it. We are the only learning platform that treats the learner's energy as a first-class parameter.</w:t>
      </w:r>
    </w:p>
    <w:p>
      <w:pPr>
        <w:spacing w:before="0" w:after="160"/>
      </w:pPr>
    </w:p>
    <w:p>
      <w:pPr>
        <w:pStyle w:val="Heading1"/>
        <w:spacing w:before="480" w:after="120"/>
      </w:pPr>
      <w:r>
        <w:rPr>
          <w:rFonts w:ascii="Arial" w:cs="Arial" w:eastAsia="Arial" w:hAnsi="Arial"/>
          <w:b/>
          <w:bCs/>
          <w:color w:val="C96A3A"/>
          <w:spacing w:val="80"/>
          <w:sz w:val="24"/>
          <w:szCs w:val="24"/>
        </w:rPr>
        <w:t xml:space="preserve">06  HOW WE TALK</w:t>
      </w:r>
    </w:p>
    <w:p>
      <w:pPr>
        <w:pBdr>
          <w:bottom w:val="single" w:color="C96A3A" w:sz="8" w:space="1"/>
        </w:pBdr>
        <w:spacing w:before="0" w:after="320"/>
      </w:pPr>
    </w:p>
    <w:p>
      <w:pPr>
        <w:spacing w:before="0" w:after="160"/>
      </w:pPr>
      <w:r>
        <w:rPr>
          <w:rFonts w:ascii="Georgia" w:cs="Georgia" w:eastAsia="Georgia" w:hAnsi="Georgia"/>
          <w:b w:val="false"/>
          <w:bCs w:val="false"/>
          <w:i w:val="false"/>
          <w:iCs w:val="false"/>
          <w:color w:val="2D2926"/>
          <w:sz w:val="22"/>
          <w:szCs w:val="22"/>
        </w:rPr>
        <w:t xml:space="preserve">Language is the most visible expression of values. Every word on this platform has been chosen deliberately. The following rules govern all copy — UI text, email, lesson content, error messages, certificate wording, marketing.</w:t>
      </w:r>
    </w:p>
    <w:p>
      <w:pPr>
        <w:spacing w:before="0" w:after="80"/>
      </w:pPr>
    </w:p>
    <w:p>
      <w:pPr>
        <w:pStyle w:val="Heading2"/>
        <w:spacing w:before="320" w:after="80"/>
      </w:pPr>
      <w:r>
        <w:rPr>
          <w:rFonts w:ascii="Georgia" w:cs="Georgia" w:eastAsia="Georgia" w:hAnsi="Georgia"/>
          <w:b/>
          <w:bCs/>
          <w:color w:val="2D2926"/>
          <w:sz w:val="26"/>
          <w:szCs w:val="26"/>
        </w:rPr>
        <w:t xml:space="preserve">The register</w:t>
      </w:r>
    </w:p>
    <w:p>
      <w:pPr>
        <w:spacing w:before="0" w:after="160"/>
      </w:pPr>
      <w:r>
        <w:rPr>
          <w:rFonts w:ascii="Georgia" w:cs="Georgia" w:eastAsia="Georgia" w:hAnsi="Georgia"/>
          <w:b w:val="false"/>
          <w:bCs w:val="false"/>
          <w:i w:val="false"/>
          <w:iCs w:val="false"/>
          <w:color w:val="2D2926"/>
          <w:sz w:val="22"/>
          <w:szCs w:val="22"/>
        </w:rPr>
        <w:t xml:space="preserve">Direct. Warm. Specific. Never inspirational. Never clinical. The voice is that of someone who has been through something hard and is now helping someone else navigate it — not from above, not with pity, but alongside.</w:t>
      </w:r>
    </w:p>
    <w:p>
      <w:pPr>
        <w:spacing w:before="0" w:after="60"/>
      </w:pPr>
    </w:p>
    <w:p>
      <w:pPr>
        <w:pStyle w:val="Heading2"/>
        <w:spacing w:before="320" w:after="80"/>
      </w:pPr>
      <w:r>
        <w:rPr>
          <w:rFonts w:ascii="Georgia" w:cs="Georgia" w:eastAsia="Georgia" w:hAnsi="Georgia"/>
          <w:b/>
          <w:bCs/>
          <w:color w:val="2D2926"/>
          <w:sz w:val="26"/>
          <w:szCs w:val="26"/>
        </w:rPr>
        <w:t xml:space="preserve">Banned words and phrases</w:t>
      </w:r>
    </w:p>
    <w:p>
      <w:pPr>
        <w:pStyle w:val="ListParagraph"/>
        <w:numPr>
          <w:ilvl w:val="0"/>
          <w:numId w:val="2"/>
        </w:numPr>
        <w:spacing w:before="0" w:after="100"/>
      </w:pPr>
      <w:r>
        <w:rPr>
          <w:rFonts w:ascii="Georgia" w:cs="Georgia" w:eastAsia="Georgia" w:hAnsi="Georgia"/>
          <w:b w:val="false"/>
          <w:bCs w:val="false"/>
          <w:color w:val="2D2926"/>
          <w:sz w:val="22"/>
          <w:szCs w:val="22"/>
        </w:rPr>
        <w:t xml:space="preserve">"Despite your illness" / "despite your condition" / "despite everything"</w:t>
      </w:r>
    </w:p>
    <w:p>
      <w:pPr>
        <w:pStyle w:val="ListParagraph"/>
        <w:numPr>
          <w:ilvl w:val="0"/>
          <w:numId w:val="2"/>
        </w:numPr>
        <w:spacing w:before="0" w:after="100"/>
      </w:pPr>
      <w:r>
        <w:rPr>
          <w:rFonts w:ascii="Georgia" w:cs="Georgia" w:eastAsia="Georgia" w:hAnsi="Georgia"/>
          <w:b w:val="false"/>
          <w:bCs w:val="false"/>
          <w:color w:val="2D2926"/>
          <w:sz w:val="22"/>
          <w:szCs w:val="22"/>
        </w:rPr>
        <w:t xml:space="preserve">"Warrior" / "fighter" / "battling"</w:t>
      </w:r>
    </w:p>
    <w:p>
      <w:pPr>
        <w:pStyle w:val="ListParagraph"/>
        <w:numPr>
          <w:ilvl w:val="0"/>
          <w:numId w:val="2"/>
        </w:numPr>
        <w:spacing w:before="0" w:after="100"/>
      </w:pPr>
      <w:r>
        <w:rPr>
          <w:rFonts w:ascii="Georgia" w:cs="Georgia" w:eastAsia="Georgia" w:hAnsi="Georgia"/>
          <w:b w:val="false"/>
          <w:bCs w:val="false"/>
          <w:color w:val="2D2926"/>
          <w:sz w:val="22"/>
          <w:szCs w:val="22"/>
        </w:rPr>
        <w:t xml:space="preserve">"Amazing" / "incredible" / "inspiring" (when applied to learners)</w:t>
      </w:r>
    </w:p>
    <w:p>
      <w:pPr>
        <w:pStyle w:val="ListParagraph"/>
        <w:numPr>
          <w:ilvl w:val="0"/>
          <w:numId w:val="2"/>
        </w:numPr>
        <w:spacing w:before="0" w:after="100"/>
      </w:pPr>
      <w:r>
        <w:rPr>
          <w:rFonts w:ascii="Georgia" w:cs="Georgia" w:eastAsia="Georgia" w:hAnsi="Georgia"/>
          <w:b w:val="false"/>
          <w:bCs w:val="false"/>
          <w:color w:val="2D2926"/>
          <w:sz w:val="22"/>
          <w:szCs w:val="22"/>
        </w:rPr>
        <w:t xml:space="preserve">"Just" / "simply" / "easy" (when describing tasks)</w:t>
      </w:r>
    </w:p>
    <w:p>
      <w:pPr>
        <w:pStyle w:val="ListParagraph"/>
        <w:numPr>
          <w:ilvl w:val="0"/>
          <w:numId w:val="2"/>
        </w:numPr>
        <w:spacing w:before="0" w:after="100"/>
      </w:pPr>
      <w:r>
        <w:rPr>
          <w:rFonts w:ascii="Georgia" w:cs="Georgia" w:eastAsia="Georgia" w:hAnsi="Georgia"/>
          <w:b w:val="false"/>
          <w:bCs w:val="false"/>
          <w:color w:val="2D2926"/>
          <w:sz w:val="22"/>
          <w:szCs w:val="22"/>
        </w:rPr>
        <w:t xml:space="preserve">"You haven't logged in in X days"</w:t>
      </w:r>
    </w:p>
    <w:p>
      <w:pPr>
        <w:pStyle w:val="ListParagraph"/>
        <w:numPr>
          <w:ilvl w:val="0"/>
          <w:numId w:val="2"/>
        </w:numPr>
        <w:spacing w:before="0" w:after="100"/>
      </w:pPr>
      <w:r>
        <w:rPr>
          <w:rFonts w:ascii="Georgia" w:cs="Georgia" w:eastAsia="Georgia" w:hAnsi="Georgia"/>
          <w:b w:val="false"/>
          <w:bCs w:val="false"/>
          <w:color w:val="2D2926"/>
          <w:sz w:val="22"/>
          <w:szCs w:val="22"/>
        </w:rPr>
        <w:t xml:space="preserve">"Don't fall behind"</w:t>
      </w:r>
    </w:p>
    <w:p>
      <w:pPr>
        <w:pStyle w:val="ListParagraph"/>
        <w:numPr>
          <w:ilvl w:val="0"/>
          <w:numId w:val="2"/>
        </w:numPr>
        <w:spacing w:before="0" w:after="100"/>
      </w:pPr>
      <w:r>
        <w:rPr>
          <w:rFonts w:ascii="Georgia" w:cs="Georgia" w:eastAsia="Georgia" w:hAnsi="Georgia"/>
          <w:b w:val="false"/>
          <w:bCs w:val="false"/>
          <w:color w:val="2D2926"/>
          <w:sz w:val="22"/>
          <w:szCs w:val="22"/>
        </w:rPr>
        <w:t xml:space="preserve">"Last chance"</w:t>
      </w:r>
    </w:p>
    <w:p>
      <w:pPr>
        <w:pStyle w:val="ListParagraph"/>
        <w:numPr>
          <w:ilvl w:val="0"/>
          <w:numId w:val="2"/>
        </w:numPr>
        <w:spacing w:before="0" w:after="100"/>
      </w:pPr>
      <w:r>
        <w:rPr>
          <w:rFonts w:ascii="Georgia" w:cs="Georgia" w:eastAsia="Georgia" w:hAnsi="Georgia"/>
          <w:b w:val="false"/>
          <w:bCs w:val="false"/>
          <w:color w:val="2D2926"/>
          <w:sz w:val="22"/>
          <w:szCs w:val="22"/>
        </w:rPr>
        <w:t xml:space="preserve">"Exciting" (unless genuinely, specifically true)</w:t>
      </w:r>
    </w:p>
    <w:p>
      <w:pPr>
        <w:pStyle w:val="ListParagraph"/>
        <w:numPr>
          <w:ilvl w:val="0"/>
          <w:numId w:val="2"/>
        </w:numPr>
        <w:spacing w:before="0" w:after="100"/>
      </w:pPr>
      <w:r>
        <w:rPr>
          <w:rFonts w:ascii="Georgia" w:cs="Georgia" w:eastAsia="Georgia" w:hAnsi="Georgia"/>
          <w:b w:val="false"/>
          <w:bCs w:val="false"/>
          <w:color w:val="2D2926"/>
          <w:sz w:val="22"/>
          <w:szCs w:val="22"/>
        </w:rPr>
        <w:t xml:space="preserve">"We know how hard this is" (we do not patronise)</w:t>
      </w:r>
    </w:p>
    <w:p>
      <w:pPr>
        <w:spacing w:before="0" w:after="80"/>
      </w:pPr>
    </w:p>
    <w:p>
      <w:pPr>
        <w:pStyle w:val="Heading2"/>
        <w:spacing w:before="320" w:after="80"/>
      </w:pPr>
      <w:r>
        <w:rPr>
          <w:rFonts w:ascii="Georgia" w:cs="Georgia" w:eastAsia="Georgia" w:hAnsi="Georgia"/>
          <w:b/>
          <w:bCs/>
          <w:color w:val="2D2926"/>
          <w:sz w:val="26"/>
          <w:szCs w:val="26"/>
        </w:rPr>
        <w:t xml:space="preserve">Exact completion strings</w:t>
      </w:r>
    </w:p>
    <w:p>
      <w:pPr>
        <w:spacing w:before="0" w:after="160"/>
      </w:pPr>
      <w:r>
        <w:rPr>
          <w:rFonts w:ascii="Georgia" w:cs="Georgia" w:eastAsia="Georgia" w:hAnsi="Georgia"/>
          <w:b w:val="false"/>
          <w:bCs w:val="false"/>
          <w:i w:val="false"/>
          <w:iCs w:val="false"/>
          <w:color w:val="2D2926"/>
          <w:sz w:val="22"/>
          <w:szCs w:val="22"/>
        </w:rPr>
        <w:t xml:space="preserve">These are the strings used after completing lessons and modules. They are not editable. They are not to be replaced with "Great work!" or "Well done!" They were written to acknowledge what the learner actually did without amplifying it into something embarrassing.</w:t>
      </w:r>
    </w:p>
    <w:p>
      <w:pPr>
        <w:spacing w:before="0"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00"/>
          <w:bottom w:type="dxa" w:w="120"/>
        </w:tblCellMar>
      </w:tblPr>
      <w:tblGrid>
        <w:gridCol w:w="9360"/>
      </w:tblGrid>
      <w:tr>
        <w:tc>
          <w:tcPr>
            <w:tcW w:type="dxa" w:w="9360"/>
            <w:tcBorders>
              <w:top w:val="none" w:color="FFFFFF" w:sz="0"/>
              <w:left w:val="single" w:color="C96A3A" w:sz="16"/>
              <w:bottom w:val="none" w:color="FFFFFF" w:sz="0"/>
              <w:right w:val="none" w:color="FFFFFF" w:sz="0"/>
            </w:tcBorders>
            <w:shd w:fill="F7F5F2" w:val="clear"/>
            <w:tcMar>
              <w:top w:type="dxa" w:w="100"/>
              <w:left w:type="dxa" w:w="240"/>
              <w:bottom w:type="dxa" w:w="100"/>
              <w:right w:type="dxa" w:w="120"/>
            </w:tcMar>
          </w:tcPr>
          <w:p>
            <w:pPr>
              <w:spacing w:before="0" w:after="0"/>
            </w:pPr>
            <w:r>
              <w:rPr>
                <w:rFonts w:ascii="Arial" w:cs="Arial" w:eastAsia="Arial" w:hAnsi="Arial"/>
                <w:b/>
                <w:bCs/>
                <w:color w:val="2D2926"/>
                <w:sz w:val="22"/>
                <w:szCs w:val="22"/>
              </w:rPr>
              <w:t xml:space="preserve">After a lesson: "Done. That’s enough for today if you need it."</w:t>
            </w:r>
          </w:p>
        </w:tc>
      </w:tr>
    </w:tbl>
    <w:p>
      <w:pPr>
        <w:spacing w:before="0" w:after="40"/>
      </w:pP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00"/>
          <w:bottom w:type="dxa" w:w="120"/>
        </w:tblCellMar>
      </w:tblPr>
      <w:tblGrid>
        <w:gridCol w:w="9360"/>
      </w:tblGrid>
      <w:tr>
        <w:tc>
          <w:tcPr>
            <w:tcW w:type="dxa" w:w="9360"/>
            <w:tcBorders>
              <w:top w:val="none" w:color="FFFFFF" w:sz="0"/>
              <w:left w:val="single" w:color="C96A3A" w:sz="16"/>
              <w:bottom w:val="none" w:color="FFFFFF" w:sz="0"/>
              <w:right w:val="none" w:color="FFFFFF" w:sz="0"/>
            </w:tcBorders>
            <w:shd w:fill="F7F5F2" w:val="clear"/>
            <w:tcMar>
              <w:top w:type="dxa" w:w="100"/>
              <w:left w:type="dxa" w:w="240"/>
              <w:bottom w:type="dxa" w:w="100"/>
              <w:right w:type="dxa" w:w="120"/>
            </w:tcMar>
          </w:tcPr>
          <w:p>
            <w:pPr>
              <w:spacing w:before="0" w:after="0"/>
            </w:pPr>
            <w:r>
              <w:rPr>
                <w:rFonts w:ascii="Arial" w:cs="Arial" w:eastAsia="Arial" w:hAnsi="Arial"/>
                <w:b/>
                <w:bCs/>
                <w:color w:val="2D2926"/>
                <w:sz w:val="22"/>
                <w:szCs w:val="22"/>
              </w:rPr>
              <w:t xml:space="preserve">After a module: "You finished this module. That took something."</w:t>
            </w:r>
          </w:p>
        </w:tc>
      </w:tr>
    </w:tbl>
    <w:p>
      <w:pPr>
        <w:spacing w:before="0" w:after="40"/>
      </w:pP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00"/>
          <w:bottom w:type="dxa" w:w="120"/>
        </w:tblCellMar>
      </w:tblPr>
      <w:tblGrid>
        <w:gridCol w:w="9360"/>
      </w:tblGrid>
      <w:tr>
        <w:tc>
          <w:tcPr>
            <w:tcW w:type="dxa" w:w="9360"/>
            <w:tcBorders>
              <w:top w:val="none" w:color="FFFFFF" w:sz="0"/>
              <w:left w:val="single" w:color="C96A3A" w:sz="16"/>
              <w:bottom w:val="none" w:color="FFFFFF" w:sz="0"/>
              <w:right w:val="none" w:color="FFFFFF" w:sz="0"/>
            </w:tcBorders>
            <w:shd w:fill="F7F5F2" w:val="clear"/>
            <w:tcMar>
              <w:top w:type="dxa" w:w="100"/>
              <w:left w:type="dxa" w:w="240"/>
              <w:bottom w:type="dxa" w:w="100"/>
              <w:right w:type="dxa" w:w="120"/>
            </w:tcMar>
          </w:tcPr>
          <w:p>
            <w:pPr>
              <w:spacing w:before="0" w:after="0"/>
            </w:pPr>
            <w:r>
              <w:rPr>
                <w:rFonts w:ascii="Arial" w:cs="Arial" w:eastAsia="Arial" w:hAnsi="Arial"/>
                <w:b/>
                <w:bCs/>
                <w:color w:val="2D2926"/>
                <w:sz w:val="22"/>
                <w:szCs w:val="22"/>
              </w:rPr>
              <w:t xml:space="preserve">After a track: "You did that. On days when doing things isn’t easy."</w:t>
            </w:r>
          </w:p>
        </w:tc>
      </w:tr>
    </w:tbl>
    <w:p>
      <w:pPr>
        <w:spacing w:before="0" w:after="40"/>
      </w:pP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00"/>
          <w:bottom w:type="dxa" w:w="120"/>
        </w:tblCellMar>
      </w:tblPr>
      <w:tblGrid>
        <w:gridCol w:w="9360"/>
      </w:tblGrid>
      <w:tr>
        <w:tc>
          <w:tcPr>
            <w:tcW w:type="dxa" w:w="9360"/>
            <w:tcBorders>
              <w:top w:val="none" w:color="FFFFFF" w:sz="0"/>
              <w:left w:val="single" w:color="C96A3A" w:sz="16"/>
              <w:bottom w:val="none" w:color="FFFFFF" w:sz="0"/>
              <w:right w:val="none" w:color="FFFFFF" w:sz="0"/>
            </w:tcBorders>
            <w:shd w:fill="F7F5F2" w:val="clear"/>
            <w:tcMar>
              <w:top w:type="dxa" w:w="100"/>
              <w:left w:type="dxa" w:w="240"/>
              <w:bottom w:type="dxa" w:w="100"/>
              <w:right w:type="dxa" w:w="120"/>
            </w:tcMar>
          </w:tcPr>
          <w:p>
            <w:pPr>
              <w:spacing w:before="0" w:after="0"/>
            </w:pPr>
            <w:r>
              <w:rPr>
                <w:rFonts w:ascii="Arial" w:cs="Arial" w:eastAsia="Arial" w:hAnsi="Arial"/>
                <w:b/>
                <w:bCs/>
                <w:color w:val="2D2926"/>
                <w:sz w:val="22"/>
                <w:szCs w:val="22"/>
              </w:rPr>
              <w:t xml:space="preserve">After a hard exercise (3+ attempts): "That one was hard. You got there."</w:t>
            </w:r>
          </w:p>
        </w:tc>
      </w:tr>
    </w:tbl>
    <w:p>
      <w:pPr>
        <w:spacing w:before="0" w:after="40"/>
      </w:pP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00"/>
          <w:bottom w:type="dxa" w:w="120"/>
        </w:tblCellMar>
      </w:tblPr>
      <w:tblGrid>
        <w:gridCol w:w="9360"/>
      </w:tblGrid>
      <w:tr>
        <w:tc>
          <w:tcPr>
            <w:tcW w:type="dxa" w:w="9360"/>
            <w:tcBorders>
              <w:top w:val="none" w:color="FFFFFF" w:sz="0"/>
              <w:left w:val="single" w:color="C96A3A" w:sz="16"/>
              <w:bottom w:val="none" w:color="FFFFFF" w:sz="0"/>
              <w:right w:val="none" w:color="FFFFFF" w:sz="0"/>
            </w:tcBorders>
            <w:shd w:fill="F7F5F2" w:val="clear"/>
            <w:tcMar>
              <w:top w:type="dxa" w:w="100"/>
              <w:left w:type="dxa" w:w="240"/>
              <w:bottom w:type="dxa" w:w="100"/>
              <w:right w:type="dxa" w:w="120"/>
            </w:tcMar>
          </w:tcPr>
          <w:p>
            <w:pPr>
              <w:spacing w:before="0" w:after="0"/>
            </w:pPr>
            <w:r>
              <w:rPr>
                <w:rFonts w:ascii="Arial" w:cs="Arial" w:eastAsia="Arial" w:hAnsi="Arial"/>
                <w:b/>
                <w:bCs/>
                <w:color w:val="2D2926"/>
                <w:sz w:val="22"/>
                <w:szCs w:val="22"/>
              </w:rPr>
              <w:t xml:space="preserve">After skipping: nothing. No message. Skipping is neutral.</w:t>
            </w:r>
          </w:p>
        </w:tc>
      </w:tr>
    </w:tbl>
    <w:p>
      <w:pPr>
        <w:spacing w:before="0" w:after="80"/>
      </w:pPr>
    </w:p>
    <w:p>
      <w:pPr>
        <w:pStyle w:val="Heading2"/>
        <w:spacing w:before="320" w:after="80"/>
      </w:pPr>
      <w:r>
        <w:rPr>
          <w:rFonts w:ascii="Georgia" w:cs="Georgia" w:eastAsia="Georgia" w:hAnsi="Georgia"/>
          <w:b/>
          <w:bCs/>
          <w:color w:val="2D2926"/>
          <w:sz w:val="26"/>
          <w:szCs w:val="26"/>
        </w:rPr>
        <w:t xml:space="preserve">Certificate wording</w:t>
      </w:r>
    </w:p>
    <w:p>
      <w:pPr>
        <w:spacing w:before="0" w:after="160"/>
      </w:pPr>
      <w:r>
        <w:rPr>
          <w:rFonts w:ascii="Georgia" w:cs="Georgia" w:eastAsia="Georgia" w:hAnsi="Georgia"/>
          <w:b w:val="false"/>
          <w:bCs w:val="false"/>
          <w:i w:val="false"/>
          <w:iCs w:val="false"/>
          <w:color w:val="2D2926"/>
          <w:sz w:val="22"/>
          <w:szCs w:val="22"/>
        </w:rPr>
        <w:t xml:space="preserve">The certificate carries one line that is not negotiable:</w:t>
      </w:r>
    </w:p>
    <w:p>
      <w:pPr>
        <w:spacing w:before="0" w:after="40"/>
      </w:pP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60"/>
          <w:bottom w:type="dxa" w:w="200"/>
        </w:tblCellMar>
      </w:tblPr>
      <w:tblGrid>
        <w:gridCol w:w="160"/>
        <w:gridCol w:w="9200"/>
      </w:tblGrid>
      <w:tr>
        <w:tc>
          <w:tcPr>
            <w:tcW w:type="dxa" w:w="160"/>
            <w:tcBorders>
              <w:top w:val="none" w:color="FFFFFF" w:sz="0"/>
              <w:left w:val="single" w:color="C96A3A" w:sz="12"/>
              <w:bottom w:val="none" w:color="FFFFFF" w:sz="0"/>
              <w:right w:val="none" w:color="FFFFFF" w:sz="0"/>
            </w:tcBorders>
            <w:tcMar>
              <w:top w:type="dxa" w:w="0"/>
              <w:left w:type="dxa" w:w="0"/>
              <w:bottom w:type="dxa" w:w="0"/>
              <w:right w:type="dxa" w:w="0"/>
            </w:tcMar>
          </w:tcPr>
          <w:p/>
        </w:tc>
        <w:tc>
          <w:tcPr>
            <w:tcW w:type="dxa" w:w="9200"/>
            <w:tcBorders>
              <w:top w:val="none" w:color="FFFFFF" w:sz="0"/>
              <w:left w:val="none" w:color="FFFFFF" w:sz="0"/>
              <w:bottom w:val="none" w:color="FFFFFF" w:sz="0"/>
              <w:right w:val="none" w:color="FFFFFF" w:sz="0"/>
            </w:tcBorders>
            <w:shd w:fill="F2EDE7" w:val="clear"/>
            <w:tcMar>
              <w:top w:type="dxa" w:w="80"/>
              <w:left w:type="dxa" w:w="240"/>
              <w:bottom w:type="dxa" w:w="80"/>
              <w:right w:type="dxa" w:w="0"/>
            </w:tcMar>
          </w:tcPr>
          <w:p>
            <w:pPr>
              <w:spacing w:before="0" w:after="0"/>
            </w:pPr>
            <w:r>
              <w:rPr>
                <w:rFonts w:ascii="Georgia" w:cs="Georgia" w:eastAsia="Georgia" w:hAnsi="Georgia"/>
                <w:i/>
                <w:iCs/>
                <w:color w:val="2D2926"/>
                <w:sz w:val="24"/>
                <w:szCs w:val="24"/>
              </w:rPr>
              <w:t xml:space="preserve">[Name] completed [Track Title] at their own pace, on their own terms.</w:t>
            </w:r>
          </w:p>
        </w:tc>
      </w:tr>
    </w:tbl>
    <w:p>
      <w:pPr>
        <w:spacing w:before="0" w:after="60"/>
      </w:pPr>
    </w:p>
    <w:p>
      <w:pPr>
        <w:spacing w:before="0" w:after="160"/>
      </w:pPr>
      <w:r>
        <w:rPr>
          <w:rFonts w:ascii="Georgia" w:cs="Georgia" w:eastAsia="Georgia" w:hAnsi="Georgia"/>
          <w:b w:val="false"/>
          <w:bCs w:val="false"/>
          <w:i w:val="false"/>
          <w:iCs w:val="false"/>
          <w:color w:val="2D2926"/>
          <w:sz w:val="22"/>
          <w:szCs w:val="22"/>
        </w:rPr>
        <w:t xml:space="preserve">This line does two things. It describes what actually happened — this person learned something real, under real constraints, in their own time. And it signals to any employer or institution reading it that pace is not a measure of ability.</w:t>
      </w:r>
    </w:p>
    <w:p>
      <w:pPr>
        <w:spacing w:before="0" w:after="80"/>
      </w:pPr>
    </w:p>
    <w:p>
      <w:pPr>
        <w:pStyle w:val="Heading2"/>
        <w:spacing w:before="320" w:after="80"/>
      </w:pPr>
      <w:r>
        <w:rPr>
          <w:rFonts w:ascii="Georgia" w:cs="Georgia" w:eastAsia="Georgia" w:hAnsi="Georgia"/>
          <w:b/>
          <w:bCs/>
          <w:color w:val="2D2926"/>
          <w:sz w:val="26"/>
          <w:szCs w:val="26"/>
        </w:rPr>
        <w:t xml:space="preserve">Email tone rules</w:t>
      </w:r>
    </w:p>
    <w:p>
      <w:pPr>
        <w:pStyle w:val="ListParagraph"/>
        <w:numPr>
          <w:ilvl w:val="0"/>
          <w:numId w:val="2"/>
        </w:numPr>
        <w:spacing w:before="0" w:after="100"/>
      </w:pPr>
      <w:r>
        <w:rPr>
          <w:rFonts w:ascii="Georgia" w:cs="Georgia" w:eastAsia="Georgia" w:hAnsi="Georgia"/>
          <w:b w:val="false"/>
          <w:bCs w:val="false"/>
          <w:color w:val="2D2926"/>
          <w:sz w:val="22"/>
          <w:szCs w:val="22"/>
        </w:rPr>
        <w:t xml:space="preserve">No urgency language in any subject line</w:t>
      </w:r>
    </w:p>
    <w:p>
      <w:pPr>
        <w:pStyle w:val="ListParagraph"/>
        <w:numPr>
          <w:ilvl w:val="0"/>
          <w:numId w:val="2"/>
        </w:numPr>
        <w:spacing w:before="0" w:after="100"/>
      </w:pPr>
      <w:r>
        <w:rPr>
          <w:rFonts w:ascii="Georgia" w:cs="Georgia" w:eastAsia="Georgia" w:hAnsi="Georgia"/>
          <w:b w:val="false"/>
          <w:bCs w:val="false"/>
          <w:color w:val="2D2926"/>
          <w:sz w:val="22"/>
          <w:szCs w:val="22"/>
        </w:rPr>
        <w:t xml:space="preserve">No shame language at any point in re-engagement emails</w:t>
      </w:r>
    </w:p>
    <w:p>
      <w:pPr>
        <w:pStyle w:val="ListParagraph"/>
        <w:numPr>
          <w:ilvl w:val="0"/>
          <w:numId w:val="2"/>
        </w:numPr>
        <w:spacing w:before="0" w:after="100"/>
      </w:pPr>
      <w:r>
        <w:rPr>
          <w:rFonts w:ascii="Georgia" w:cs="Georgia" w:eastAsia="Georgia" w:hAnsi="Georgia"/>
          <w:b w:val="false"/>
          <w:bCs w:val="false"/>
          <w:color w:val="2D2926"/>
          <w:sz w:val="22"/>
          <w:szCs w:val="22"/>
        </w:rPr>
        <w:t xml:space="preserve">Re-engagement email (14 days inactive): "We’re here when you’re ready." Full stop.</w:t>
      </w:r>
    </w:p>
    <w:p>
      <w:pPr>
        <w:pStyle w:val="ListParagraph"/>
        <w:numPr>
          <w:ilvl w:val="0"/>
          <w:numId w:val="2"/>
        </w:numPr>
        <w:spacing w:before="0" w:after="100"/>
      </w:pPr>
      <w:r>
        <w:rPr>
          <w:rFonts w:ascii="Georgia" w:cs="Georgia" w:eastAsia="Georgia" w:hAnsi="Georgia"/>
          <w:b w:val="false"/>
          <w:bCs w:val="false"/>
          <w:color w:val="2D2926"/>
          <w:sz w:val="22"/>
          <w:szCs w:val="22"/>
        </w:rPr>
        <w:t xml:space="preserve">Gift received email: "Someone who cares about you bought you a Bed Coders certificate. It’s yours whenever you’re ready. No expiry."</w:t>
      </w:r>
    </w:p>
    <w:p>
      <w:pPr>
        <w:pStyle w:val="ListParagraph"/>
        <w:numPr>
          <w:ilvl w:val="0"/>
          <w:numId w:val="2"/>
        </w:numPr>
        <w:spacing w:before="0" w:after="100"/>
      </w:pPr>
      <w:r>
        <w:rPr>
          <w:rFonts w:ascii="Georgia" w:cs="Georgia" w:eastAsia="Georgia" w:hAnsi="Georgia"/>
          <w:b w:val="false"/>
          <w:bCs w:val="false"/>
          <w:color w:val="2D2926"/>
          <w:sz w:val="22"/>
          <w:szCs w:val="22"/>
        </w:rPr>
        <w:t xml:space="preserve">No exclamation marks in subject lines</w:t>
      </w:r>
    </w:p>
    <w:p>
      <w:pPr>
        <w:pStyle w:val="ListParagraph"/>
        <w:numPr>
          <w:ilvl w:val="0"/>
          <w:numId w:val="2"/>
        </w:numPr>
        <w:spacing w:before="0" w:after="100"/>
      </w:pPr>
      <w:r>
        <w:rPr>
          <w:rFonts w:ascii="Georgia" w:cs="Georgia" w:eastAsia="Georgia" w:hAnsi="Georgia"/>
          <w:b w:val="false"/>
          <w:bCs w:val="false"/>
          <w:color w:val="2D2926"/>
          <w:sz w:val="22"/>
          <w:szCs w:val="22"/>
        </w:rPr>
        <w:t xml:space="preserve">Never thank a learner for "reaching out" or "being part of the community" — this is hollow</w:t>
      </w:r>
    </w:p>
    <w:p>
      <w:pPr>
        <w:spacing w:before="0" w:after="160"/>
      </w:pPr>
    </w:p>
    <w:p>
      <w:pPr>
        <w:pStyle w:val="Heading1"/>
        <w:spacing w:before="480" w:after="120"/>
      </w:pPr>
      <w:r>
        <w:rPr>
          <w:rFonts w:ascii="Arial" w:cs="Arial" w:eastAsia="Arial" w:hAnsi="Arial"/>
          <w:b/>
          <w:bCs/>
          <w:color w:val="C96A3A"/>
          <w:spacing w:val="80"/>
          <w:sz w:val="24"/>
          <w:szCs w:val="24"/>
        </w:rPr>
        <w:t xml:space="preserve">07  THE CREDENTIAL</w:t>
      </w:r>
    </w:p>
    <w:p>
      <w:pPr>
        <w:pBdr>
          <w:bottom w:val="single" w:color="C96A3A" w:sz="8" w:space="1"/>
        </w:pBdr>
        <w:spacing w:before="0" w:after="320"/>
      </w:pPr>
    </w:p>
    <w:p>
      <w:pPr>
        <w:spacing w:before="0" w:after="160"/>
      </w:pPr>
      <w:r>
        <w:rPr>
          <w:rFonts w:ascii="Georgia" w:cs="Georgia" w:eastAsia="Georgia" w:hAnsi="Georgia"/>
          <w:b w:val="false"/>
          <w:bCs w:val="false"/>
          <w:i w:val="false"/>
          <w:iCs w:val="false"/>
          <w:color w:val="2D2926"/>
          <w:sz w:val="22"/>
          <w:szCs w:val="22"/>
        </w:rPr>
        <w:t xml:space="preserve">The certificate is not a reward for completing lessons. It is a verifiable professional credential issued after an assessment is passed. It lives at a permanent public URL. It links to LinkedIn. An employer can verify it without contacting us.</w:t>
      </w:r>
    </w:p>
    <w:p>
      <w:pPr>
        <w:spacing w:before="0" w:after="80"/>
      </w:pPr>
    </w:p>
    <w:p>
      <w:pPr>
        <w:pStyle w:val="Heading2"/>
        <w:spacing w:before="320" w:after="80"/>
      </w:pPr>
      <w:r>
        <w:rPr>
          <w:rFonts w:ascii="Georgia" w:cs="Georgia" w:eastAsia="Georgia" w:hAnsi="Georgia"/>
          <w:b/>
          <w:bCs/>
          <w:color w:val="2D2926"/>
          <w:sz w:val="26"/>
          <w:szCs w:val="26"/>
        </w:rPr>
        <w:t xml:space="preserve">Why €49</w:t>
      </w:r>
    </w:p>
    <w:p>
      <w:pPr>
        <w:spacing w:before="0" w:after="160"/>
      </w:pPr>
      <w:r>
        <w:rPr>
          <w:rFonts w:ascii="Georgia" w:cs="Georgia" w:eastAsia="Georgia" w:hAnsi="Georgia"/>
          <w:b w:val="false"/>
          <w:bCs w:val="false"/>
          <w:i w:val="false"/>
          <w:iCs w:val="false"/>
          <w:color w:val="2D2926"/>
          <w:sz w:val="22"/>
          <w:szCs w:val="22"/>
        </w:rPr>
        <w:t xml:space="preserve">Below €29, a certificate reads as participation. Above €99, it becomes inaccessible as a one-time purchase without instalment complexity. €49 is the floor of credibility for a self-contained professional credential. The comparison is not other edtech platforms — it is the cost of one professional development hour, one workshop registration, one LinkedIn Learning month.</w:t>
      </w:r>
    </w:p>
    <w:p>
      <w:pPr>
        <w:spacing w:before="0" w:after="80"/>
      </w:pPr>
    </w:p>
    <w:p>
      <w:pPr>
        <w:pStyle w:val="Heading2"/>
        <w:spacing w:before="320" w:after="80"/>
      </w:pPr>
      <w:r>
        <w:rPr>
          <w:rFonts w:ascii="Georgia" w:cs="Georgia" w:eastAsia="Georgia" w:hAnsi="Georgia"/>
          <w:b/>
          <w:bCs/>
          <w:color w:val="2D2926"/>
          <w:sz w:val="26"/>
          <w:szCs w:val="26"/>
        </w:rPr>
        <w:t xml:space="preserve">The scholarship mechanic</w:t>
      </w:r>
    </w:p>
    <w:p>
      <w:pPr>
        <w:spacing w:before="0" w:after="160"/>
      </w:pPr>
      <w:r>
        <w:rPr>
          <w:rFonts w:ascii="Georgia" w:cs="Georgia" w:eastAsia="Georgia" w:hAnsi="Georgia"/>
          <w:b w:val="false"/>
          <w:bCs w:val="false"/>
          <w:i w:val="false"/>
          <w:iCs w:val="false"/>
          <w:color w:val="2D2926"/>
          <w:sz w:val="22"/>
          <w:szCs w:val="22"/>
        </w:rPr>
        <w:t xml:space="preserve">When a learner pays €54 instead of €49, the extra €5 enters a pool. When the pool reaches €49, a scholarship seat opens. Another learner claims it with one button — no form, no income verification, no questions. First come, first served.</w:t>
      </w:r>
    </w:p>
    <w:p>
      <w:pPr>
        <w:spacing w:before="0" w:after="160"/>
      </w:pPr>
      <w:r>
        <w:rPr>
          <w:rFonts w:ascii="Georgia" w:cs="Georgia" w:eastAsia="Georgia" w:hAnsi="Georgia"/>
          <w:b w:val="false"/>
          <w:bCs w:val="false"/>
          <w:i w:val="false"/>
          <w:iCs w:val="false"/>
          <w:color w:val="2D2926"/>
          <w:sz w:val="22"/>
          <w:szCs w:val="22"/>
        </w:rPr>
        <w:t xml:space="preserve">This is launched with a feature flag (off by default). An empty counter is worse than no counter. It activates when the platform has enough users to make the pool meaningful.</w:t>
      </w:r>
    </w:p>
    <w:p>
      <w:pPr>
        <w:spacing w:before="0" w:after="80"/>
      </w:pPr>
    </w:p>
    <w:p>
      <w:pPr>
        <w:pStyle w:val="Heading2"/>
        <w:spacing w:before="320" w:after="80"/>
      </w:pPr>
      <w:r>
        <w:rPr>
          <w:rFonts w:ascii="Georgia" w:cs="Georgia" w:eastAsia="Georgia" w:hAnsi="Georgia"/>
          <w:b/>
          <w:bCs/>
          <w:color w:val="2D2926"/>
          <w:sz w:val="26"/>
          <w:szCs w:val="26"/>
        </w:rPr>
        <w:t xml:space="preserve">What the credential signals</w:t>
      </w:r>
    </w:p>
    <w:p>
      <w:pPr>
        <w:spacing w:before="0" w:after="160"/>
      </w:pPr>
      <w:r>
        <w:rPr>
          <w:rFonts w:ascii="Georgia" w:cs="Georgia" w:eastAsia="Georgia" w:hAnsi="Georgia"/>
          <w:b w:val="false"/>
          <w:bCs w:val="false"/>
          <w:i w:val="false"/>
          <w:iCs w:val="false"/>
          <w:color w:val="2D2926"/>
          <w:sz w:val="22"/>
          <w:szCs w:val="22"/>
        </w:rPr>
        <w:t xml:space="preserve">To an employer: this person completed a structured technical curriculum, passed an assessment, and did it without institutional support or fixed deadlines. That is evidence of self-direction, persistence, and the specific technical skills covered.</w:t>
      </w:r>
    </w:p>
    <w:p>
      <w:pPr>
        <w:spacing w:before="0" w:after="160"/>
      </w:pPr>
      <w:r>
        <w:rPr>
          <w:rFonts w:ascii="Georgia" w:cs="Georgia" w:eastAsia="Georgia" w:hAnsi="Georgia"/>
          <w:b w:val="false"/>
          <w:bCs w:val="false"/>
          <w:i w:val="false"/>
          <w:iCs w:val="false"/>
          <w:color w:val="2D2926"/>
          <w:sz w:val="22"/>
          <w:szCs w:val="22"/>
        </w:rPr>
        <w:t xml:space="preserve">To the learner: this is something that happened. It is on record. It has a URL. It existed before the good day ended.</w:t>
      </w:r>
    </w:p>
    <w:p>
      <w:pPr>
        <w:spacing w:before="0" w:after="160"/>
      </w:pPr>
    </w:p>
    <w:p>
      <w:pPr>
        <w:pStyle w:val="Heading1"/>
        <w:spacing w:before="480" w:after="120"/>
      </w:pPr>
      <w:r>
        <w:rPr>
          <w:rFonts w:ascii="Arial" w:cs="Arial" w:eastAsia="Arial" w:hAnsi="Arial"/>
          <w:b/>
          <w:bCs/>
          <w:color w:val="C96A3A"/>
          <w:spacing w:val="80"/>
          <w:sz w:val="24"/>
          <w:szCs w:val="24"/>
        </w:rPr>
        <w:t xml:space="preserve">08  DESIGN PRINCIPLES</w:t>
      </w:r>
    </w:p>
    <w:p>
      <w:pPr>
        <w:pBdr>
          <w:bottom w:val="single" w:color="C96A3A" w:sz="8" w:space="1"/>
        </w:pBdr>
        <w:spacing w:before="0" w:after="320"/>
      </w:pPr>
    </w:p>
    <w:p>
      <w:pPr>
        <w:spacing w:before="0" w:after="160"/>
      </w:pPr>
      <w:r>
        <w:rPr>
          <w:rFonts w:ascii="Georgia" w:cs="Georgia" w:eastAsia="Georgia" w:hAnsi="Georgia"/>
          <w:b w:val="false"/>
          <w:bCs w:val="false"/>
          <w:i w:val="false"/>
          <w:iCs w:val="false"/>
          <w:color w:val="2D2926"/>
          <w:sz w:val="22"/>
          <w:szCs w:val="22"/>
        </w:rPr>
        <w:t xml:space="preserve">The visual design serves the same goals as everything else: low sensory load, warmth without distraction, legibility without effort.</w:t>
      </w:r>
    </w:p>
    <w:p>
      <w:pPr>
        <w:spacing w:before="0" w:after="80"/>
      </w:pPr>
    </w:p>
    <w:p>
      <w:pPr>
        <w:spacing w:before="0" w:after="120"/>
      </w:pPr>
      <w:r>
        <w:rPr>
          <w:rFonts w:ascii="Arial" w:cs="Arial" w:eastAsia="Arial" w:hAnsi="Arial"/>
          <w:b/>
          <w:bCs/>
          <w:color w:val="C96A3A"/>
          <w:sz w:val="20"/>
          <w:szCs w:val="20"/>
        </w:rPr>
        <w:t xml:space="preserve">Backgrounds  </w:t>
      </w:r>
      <w:r>
        <w:rPr>
          <w:rFonts w:ascii="Georgia" w:cs="Georgia" w:eastAsia="Georgia" w:hAnsi="Georgia"/>
          <w:color w:val="2D2926"/>
          <w:sz w:val="22"/>
          <w:szCs w:val="22"/>
        </w:rPr>
        <w:t xml:space="preserve">Warm off-white (#F7F5F2) and soft dark (#1A1814). Never pure white. Never pure black.</w:t>
      </w:r>
    </w:p>
    <w:p>
      <w:pPr>
        <w:spacing w:before="0" w:after="120"/>
      </w:pPr>
      <w:r>
        <w:rPr>
          <w:rFonts w:ascii="Arial" w:cs="Arial" w:eastAsia="Arial" w:hAnsi="Arial"/>
          <w:b/>
          <w:bCs/>
          <w:color w:val="C96A3A"/>
          <w:sz w:val="20"/>
          <w:szCs w:val="20"/>
        </w:rPr>
        <w:t xml:space="preserve">Accent  </w:t>
      </w:r>
      <w:r>
        <w:rPr>
          <w:rFonts w:ascii="Georgia" w:cs="Georgia" w:eastAsia="Georgia" w:hAnsi="Georgia"/>
          <w:color w:val="2D2926"/>
          <w:sz w:val="22"/>
          <w:szCs w:val="22"/>
        </w:rPr>
        <w:t xml:space="preserve">Terracotta (#C96A3A). One accent. Used for interactive elements and structural markers.</w:t>
      </w:r>
    </w:p>
    <w:p>
      <w:pPr>
        <w:spacing w:before="0" w:after="120"/>
      </w:pPr>
      <w:r>
        <w:rPr>
          <w:rFonts w:ascii="Arial" w:cs="Arial" w:eastAsia="Arial" w:hAnsi="Arial"/>
          <w:b/>
          <w:bCs/>
          <w:color w:val="C96A3A"/>
          <w:sz w:val="20"/>
          <w:szCs w:val="20"/>
        </w:rPr>
        <w:t xml:space="preserve">Typography  </w:t>
      </w:r>
      <w:r>
        <w:rPr>
          <w:rFonts w:ascii="Georgia" w:cs="Georgia" w:eastAsia="Georgia" w:hAnsi="Georgia"/>
          <w:color w:val="2D2926"/>
          <w:sz w:val="22"/>
          <w:szCs w:val="22"/>
        </w:rPr>
        <w:t xml:space="preserve">Lora (lesson content, headers) / DM Sans (UI, labels) / JetBrains Mono (code). Minimum 18px lesson content. Line height 1.7+.</w:t>
      </w:r>
    </w:p>
    <w:p>
      <w:pPr>
        <w:spacing w:before="0" w:after="120"/>
      </w:pPr>
      <w:r>
        <w:rPr>
          <w:rFonts w:ascii="Arial" w:cs="Arial" w:eastAsia="Arial" w:hAnsi="Arial"/>
          <w:b/>
          <w:bCs/>
          <w:color w:val="C96A3A"/>
          <w:sz w:val="20"/>
          <w:szCs w:val="20"/>
        </w:rPr>
        <w:t xml:space="preserve">Motion  </w:t>
      </w:r>
      <w:r>
        <w:rPr>
          <w:rFonts w:ascii="Georgia" w:cs="Georgia" w:eastAsia="Georgia" w:hAnsi="Georgia"/>
          <w:color w:val="2D2926"/>
          <w:sz w:val="22"/>
          <w:szCs w:val="22"/>
        </w:rPr>
        <w:t xml:space="preserve">Nothing faster than 200ms. Reduce motion setting disables all transitions. No decorative animation.</w:t>
      </w:r>
    </w:p>
    <w:p>
      <w:pPr>
        <w:spacing w:before="0" w:after="120"/>
      </w:pPr>
      <w:r>
        <w:rPr>
          <w:rFonts w:ascii="Arial" w:cs="Arial" w:eastAsia="Arial" w:hAnsi="Arial"/>
          <w:b/>
          <w:bCs/>
          <w:color w:val="C96A3A"/>
          <w:sz w:val="20"/>
          <w:szCs w:val="20"/>
        </w:rPr>
        <w:t xml:space="preserve">Tap targets  </w:t>
      </w:r>
      <w:r>
        <w:rPr>
          <w:rFonts w:ascii="Georgia" w:cs="Georgia" w:eastAsia="Georgia" w:hAnsi="Georgia"/>
          <w:color w:val="2D2926"/>
          <w:sz w:val="22"/>
          <w:szCs w:val="22"/>
        </w:rPr>
        <w:t xml:space="preserve">Minimum 48px. The platform is used one-handed, in bed, possibly in the dark.</w:t>
      </w:r>
    </w:p>
    <w:p>
      <w:pPr>
        <w:spacing w:before="0" w:after="120"/>
      </w:pPr>
      <w:r>
        <w:rPr>
          <w:rFonts w:ascii="Arial" w:cs="Arial" w:eastAsia="Arial" w:hAnsi="Arial"/>
          <w:b/>
          <w:bCs/>
          <w:color w:val="C96A3A"/>
          <w:sz w:val="20"/>
          <w:szCs w:val="20"/>
        </w:rPr>
        <w:t xml:space="preserve">Flare mode  </w:t>
      </w:r>
      <w:r>
        <w:rPr>
          <w:rFonts w:ascii="Georgia" w:cs="Georgia" w:eastAsia="Georgia" w:hAnsi="Georgia"/>
          <w:color w:val="2D2926"/>
          <w:sz w:val="22"/>
          <w:szCs w:val="22"/>
        </w:rPr>
        <w:t xml:space="preserve">One tap. Filters to LOW energy content. Hides progress percentages. Hides energy picker. Bumps font size. Persists across sessions. Exit prompt on next login — not automatic.</w:t>
      </w:r>
    </w:p>
    <w:p>
      <w:pPr>
        <w:spacing w:before="0" w:after="80"/>
      </w:pPr>
    </w:p>
    <w:p>
      <w:pPr>
        <w:pStyle w:val="Heading2"/>
        <w:spacing w:before="320" w:after="80"/>
      </w:pPr>
      <w:r>
        <w:rPr>
          <w:rFonts w:ascii="Georgia" w:cs="Georgia" w:eastAsia="Georgia" w:hAnsi="Georgia"/>
          <w:b/>
          <w:bCs/>
          <w:color w:val="2D2926"/>
          <w:sz w:val="26"/>
          <w:szCs w:val="26"/>
        </w:rPr>
        <w:t xml:space="preserve">What the interface never shows</w:t>
      </w:r>
    </w:p>
    <w:p>
      <w:pPr>
        <w:pStyle w:val="ListParagraph"/>
        <w:numPr>
          <w:ilvl w:val="0"/>
          <w:numId w:val="2"/>
        </w:numPr>
        <w:spacing w:before="0" w:after="100"/>
      </w:pPr>
      <w:r>
        <w:rPr>
          <w:rFonts w:ascii="Georgia" w:cs="Georgia" w:eastAsia="Georgia" w:hAnsi="Georgia"/>
          <w:b w:val="false"/>
          <w:bCs w:val="false"/>
          <w:color w:val="2D2926"/>
          <w:sz w:val="22"/>
          <w:szCs w:val="22"/>
        </w:rPr>
        <w:t xml:space="preserve">Last active date</w:t>
      </w:r>
    </w:p>
    <w:p>
      <w:pPr>
        <w:pStyle w:val="ListParagraph"/>
        <w:numPr>
          <w:ilvl w:val="0"/>
          <w:numId w:val="2"/>
        </w:numPr>
        <w:spacing w:before="0" w:after="100"/>
      </w:pPr>
      <w:r>
        <w:rPr>
          <w:rFonts w:ascii="Georgia" w:cs="Georgia" w:eastAsia="Georgia" w:hAnsi="Georgia"/>
          <w:b w:val="false"/>
          <w:bCs w:val="false"/>
          <w:color w:val="2D2926"/>
          <w:sz w:val="22"/>
          <w:szCs w:val="22"/>
        </w:rPr>
        <w:t xml:space="preserve">Days since last login</w:t>
      </w:r>
    </w:p>
    <w:p>
      <w:pPr>
        <w:pStyle w:val="ListParagraph"/>
        <w:numPr>
          <w:ilvl w:val="0"/>
          <w:numId w:val="2"/>
        </w:numPr>
        <w:spacing w:before="0" w:after="100"/>
      </w:pPr>
      <w:r>
        <w:rPr>
          <w:rFonts w:ascii="Georgia" w:cs="Georgia" w:eastAsia="Georgia" w:hAnsi="Georgia"/>
          <w:b w:val="false"/>
          <w:bCs w:val="false"/>
          <w:color w:val="2D2926"/>
          <w:sz w:val="22"/>
          <w:szCs w:val="22"/>
        </w:rPr>
        <w:t xml:space="preserve">Streak count of any kind</w:t>
      </w:r>
    </w:p>
    <w:p>
      <w:pPr>
        <w:pStyle w:val="ListParagraph"/>
        <w:numPr>
          <w:ilvl w:val="0"/>
          <w:numId w:val="2"/>
        </w:numPr>
        <w:spacing w:before="0" w:after="100"/>
      </w:pPr>
      <w:r>
        <w:rPr>
          <w:rFonts w:ascii="Georgia" w:cs="Georgia" w:eastAsia="Georgia" w:hAnsi="Georgia"/>
          <w:b w:val="false"/>
          <w:bCs w:val="false"/>
          <w:color w:val="2D2926"/>
          <w:sz w:val="22"/>
          <w:szCs w:val="22"/>
        </w:rPr>
        <w:t xml:space="preserve">Comparison to other learners</w:t>
      </w:r>
    </w:p>
    <w:p>
      <w:pPr>
        <w:pStyle w:val="ListParagraph"/>
        <w:numPr>
          <w:ilvl w:val="0"/>
          <w:numId w:val="2"/>
        </w:numPr>
        <w:spacing w:before="0" w:after="100"/>
      </w:pPr>
      <w:r>
        <w:rPr>
          <w:rFonts w:ascii="Georgia" w:cs="Georgia" w:eastAsia="Georgia" w:hAnsi="Georgia"/>
          <w:b w:val="false"/>
          <w:bCs w:val="false"/>
          <w:color w:val="2D2926"/>
          <w:sz w:val="22"/>
          <w:szCs w:val="22"/>
        </w:rPr>
        <w:t xml:space="preserve">Progress bars during a flare</w:t>
      </w:r>
    </w:p>
    <w:p>
      <w:pPr>
        <w:pStyle w:val="ListParagraph"/>
        <w:numPr>
          <w:ilvl w:val="0"/>
          <w:numId w:val="2"/>
        </w:numPr>
        <w:spacing w:before="0" w:after="100"/>
      </w:pPr>
      <w:r>
        <w:rPr>
          <w:rFonts w:ascii="Georgia" w:cs="Georgia" w:eastAsia="Georgia" w:hAnsi="Georgia"/>
          <w:b w:val="false"/>
          <w:bCs w:val="false"/>
          <w:color w:val="2D2926"/>
          <w:sz w:val="22"/>
          <w:szCs w:val="22"/>
        </w:rPr>
        <w:t xml:space="preserve">"Falling behind" in any form</w:t>
      </w:r>
    </w:p>
    <w:p>
      <w:pPr>
        <w:spacing w:before="0" w:after="160"/>
      </w:pPr>
    </w:p>
    <w:p>
      <w:pPr>
        <w:pStyle w:val="Heading1"/>
        <w:spacing w:before="480" w:after="120"/>
      </w:pPr>
      <w:r>
        <w:rPr>
          <w:rFonts w:ascii="Arial" w:cs="Arial" w:eastAsia="Arial" w:hAnsi="Arial"/>
          <w:b/>
          <w:bCs/>
          <w:color w:val="C96A3A"/>
          <w:spacing w:val="80"/>
          <w:sz w:val="24"/>
          <w:szCs w:val="24"/>
        </w:rPr>
        <w:t xml:space="preserve">09  DECISIONS ALREADY MADE</w:t>
      </w:r>
    </w:p>
    <w:p>
      <w:pPr>
        <w:pBdr>
          <w:bottom w:val="single" w:color="C96A3A" w:sz="8" w:space="1"/>
        </w:pBdr>
        <w:spacing w:before="0" w:after="320"/>
      </w:pPr>
    </w:p>
    <w:p>
      <w:pPr>
        <w:spacing w:before="0" w:after="160"/>
      </w:pPr>
      <w:r>
        <w:rPr>
          <w:rFonts w:ascii="Georgia" w:cs="Georgia" w:eastAsia="Georgia" w:hAnsi="Georgia"/>
          <w:b w:val="false"/>
          <w:bCs w:val="false"/>
          <w:i w:val="false"/>
          <w:iCs w:val="false"/>
          <w:color w:val="2D2926"/>
          <w:sz w:val="22"/>
          <w:szCs w:val="22"/>
        </w:rPr>
        <w:t xml:space="preserve">These are not open questions. They have been decided. This section exists so that future contributors — developers, content writers, designers — do not re-litigate them.</w:t>
      </w:r>
    </w:p>
    <w:p>
      <w:pPr>
        <w:spacing w:before="0" w:after="60"/>
      </w:pPr>
    </w:p>
    <w:p>
      <w:pPr>
        <w:pStyle w:val="ListParagraph"/>
        <w:numPr>
          <w:ilvl w:val="0"/>
          <w:numId w:val="2"/>
        </w:numPr>
        <w:spacing w:before="0" w:after="100"/>
      </w:pPr>
      <w:r>
        <w:rPr>
          <w:rFonts w:ascii="Georgia" w:cs="Georgia" w:eastAsia="Georgia" w:hAnsi="Georgia"/>
          <w:b w:val="false"/>
          <w:bCs w:val="false"/>
          <w:color w:val="2D2926"/>
          <w:sz w:val="22"/>
          <w:szCs w:val="22"/>
        </w:rPr>
        <w:t xml:space="preserve">No subscriptions. One-time certificate purchase only.</w:t>
      </w:r>
    </w:p>
    <w:p>
      <w:pPr>
        <w:pStyle w:val="ListParagraph"/>
        <w:numPr>
          <w:ilvl w:val="0"/>
          <w:numId w:val="2"/>
        </w:numPr>
        <w:spacing w:before="0" w:after="100"/>
      </w:pPr>
      <w:r>
        <w:rPr>
          <w:rFonts w:ascii="Georgia" w:cs="Georgia" w:eastAsia="Georgia" w:hAnsi="Georgia"/>
          <w:b w:val="false"/>
          <w:bCs w:val="false"/>
          <w:color w:val="2D2926"/>
          <w:sz w:val="22"/>
          <w:szCs w:val="22"/>
        </w:rPr>
        <w:t xml:space="preserve">No free tier with paywalled content. Everything is free to learn. Certificates cost money.</w:t>
      </w:r>
    </w:p>
    <w:p>
      <w:pPr>
        <w:pStyle w:val="ListParagraph"/>
        <w:numPr>
          <w:ilvl w:val="0"/>
          <w:numId w:val="2"/>
        </w:numPr>
        <w:spacing w:before="0" w:after="100"/>
      </w:pPr>
      <w:r>
        <w:rPr>
          <w:rFonts w:ascii="Georgia" w:cs="Georgia" w:eastAsia="Georgia" w:hAnsi="Georgia"/>
          <w:b w:val="false"/>
          <w:bCs w:val="false"/>
          <w:color w:val="2D2926"/>
          <w:sz w:val="22"/>
          <w:szCs w:val="22"/>
        </w:rPr>
        <w:t xml:space="preserve">No social login. Email and magic link only. No Google, no GitHub.</w:t>
      </w:r>
    </w:p>
    <w:p>
      <w:pPr>
        <w:pStyle w:val="ListParagraph"/>
        <w:numPr>
          <w:ilvl w:val="0"/>
          <w:numId w:val="2"/>
        </w:numPr>
        <w:spacing w:before="0" w:after="100"/>
      </w:pPr>
      <w:r>
        <w:rPr>
          <w:rFonts w:ascii="Georgia" w:cs="Georgia" w:eastAsia="Georgia" w:hAnsi="Georgia"/>
          <w:b w:val="false"/>
          <w:bCs w:val="false"/>
          <w:color w:val="2D2926"/>
          <w:sz w:val="22"/>
          <w:szCs w:val="22"/>
        </w:rPr>
        <w:t xml:space="preserve">No community features in MVP. Learning mechanics first, community later if ever.</w:t>
      </w:r>
    </w:p>
    <w:p>
      <w:pPr>
        <w:pStyle w:val="ListParagraph"/>
        <w:numPr>
          <w:ilvl w:val="0"/>
          <w:numId w:val="2"/>
        </w:numPr>
        <w:spacing w:before="0" w:after="100"/>
      </w:pPr>
      <w:r>
        <w:rPr>
          <w:rFonts w:ascii="Georgia" w:cs="Georgia" w:eastAsia="Georgia" w:hAnsi="Georgia"/>
          <w:b w:val="false"/>
          <w:bCs w:val="false"/>
          <w:color w:val="2D2926"/>
          <w:sz w:val="22"/>
          <w:szCs w:val="22"/>
        </w:rPr>
        <w:t xml:space="preserve">No video. Low bandwidth, low stimulation, offline tolerance matter more.</w:t>
      </w:r>
    </w:p>
    <w:p>
      <w:pPr>
        <w:pStyle w:val="ListParagraph"/>
        <w:numPr>
          <w:ilvl w:val="0"/>
          <w:numId w:val="2"/>
        </w:numPr>
        <w:spacing w:before="0" w:after="100"/>
      </w:pPr>
      <w:r>
        <w:rPr>
          <w:rFonts w:ascii="Georgia" w:cs="Georgia" w:eastAsia="Georgia" w:hAnsi="Georgia"/>
          <w:b w:val="false"/>
          <w:bCs w:val="false"/>
          <w:color w:val="2D2926"/>
          <w:sz w:val="22"/>
          <w:szCs w:val="22"/>
        </w:rPr>
        <w:t xml:space="preserve">No timed assessments. Not ever.</w:t>
      </w:r>
    </w:p>
    <w:p>
      <w:pPr>
        <w:pStyle w:val="ListParagraph"/>
        <w:numPr>
          <w:ilvl w:val="0"/>
          <w:numId w:val="2"/>
        </w:numPr>
        <w:spacing w:before="0" w:after="100"/>
      </w:pPr>
      <w:r>
        <w:rPr>
          <w:rFonts w:ascii="Georgia" w:cs="Georgia" w:eastAsia="Georgia" w:hAnsi="Georgia"/>
          <w:b w:val="false"/>
          <w:bCs w:val="false"/>
          <w:color w:val="2D2926"/>
          <w:sz w:val="22"/>
          <w:szCs w:val="22"/>
        </w:rPr>
        <w:t xml:space="preserve">No streaks. Not even opt-in ones.</w:t>
      </w:r>
    </w:p>
    <w:p>
      <w:pPr>
        <w:pStyle w:val="ListParagraph"/>
        <w:numPr>
          <w:ilvl w:val="0"/>
          <w:numId w:val="2"/>
        </w:numPr>
        <w:spacing w:before="0" w:after="100"/>
      </w:pPr>
      <w:r>
        <w:rPr>
          <w:rFonts w:ascii="Georgia" w:cs="Georgia" w:eastAsia="Georgia" w:hAnsi="Georgia"/>
          <w:b w:val="false"/>
          <w:bCs w:val="false"/>
          <w:color w:val="2D2926"/>
          <w:sz w:val="22"/>
          <w:szCs w:val="22"/>
        </w:rPr>
        <w:t xml:space="preserve">Working with Chronic Illness track is free, always. The certificate is free, always.</w:t>
      </w:r>
    </w:p>
    <w:p>
      <w:pPr>
        <w:pStyle w:val="ListParagraph"/>
        <w:numPr>
          <w:ilvl w:val="0"/>
          <w:numId w:val="2"/>
        </w:numPr>
        <w:spacing w:before="0" w:after="100"/>
      </w:pPr>
      <w:r>
        <w:rPr>
          <w:rFonts w:ascii="Georgia" w:cs="Georgia" w:eastAsia="Georgia" w:hAnsi="Georgia"/>
          <w:b w:val="false"/>
          <w:bCs w:val="false"/>
          <w:color w:val="2D2926"/>
          <w:sz w:val="22"/>
          <w:szCs w:val="22"/>
        </w:rPr>
        <w:t xml:space="preserve">Scholarship feature ships disabled. It enables when the platform has meaningful scale.</w:t>
      </w:r>
    </w:p>
    <w:p>
      <w:pPr>
        <w:pStyle w:val="ListParagraph"/>
        <w:numPr>
          <w:ilvl w:val="0"/>
          <w:numId w:val="2"/>
        </w:numPr>
        <w:spacing w:before="0" w:after="100"/>
      </w:pPr>
      <w:r>
        <w:rPr>
          <w:rFonts w:ascii="Georgia" w:cs="Georgia" w:eastAsia="Georgia" w:hAnsi="Georgia"/>
          <w:b w:val="false"/>
          <w:bCs w:val="false"/>
          <w:color w:val="2D2926"/>
          <w:sz w:val="22"/>
          <w:szCs w:val="22"/>
        </w:rPr>
        <w:t xml:space="preserve">Energy logs are private. Not visible to admin. Not exportable in aggregate. Not used for platform analytics.</w:t>
      </w:r>
    </w:p>
    <w:p>
      <w:pPr>
        <w:pStyle w:val="ListParagraph"/>
        <w:numPr>
          <w:ilvl w:val="0"/>
          <w:numId w:val="2"/>
        </w:numPr>
        <w:spacing w:before="0" w:after="100"/>
      </w:pPr>
      <w:r>
        <w:rPr>
          <w:rFonts w:ascii="Georgia" w:cs="Georgia" w:eastAsia="Georgia" w:hAnsi="Georgia"/>
          <w:b w:val="false"/>
          <w:bCs w:val="false"/>
          <w:color w:val="2D2926"/>
          <w:sz w:val="22"/>
          <w:szCs w:val="22"/>
        </w:rPr>
        <w:t xml:space="preserve">Certificate wording is not editable by learners. It is what it is.</w:t>
      </w:r>
    </w:p>
    <w:p>
      <w:pPr>
        <w:spacing w:before="0" w:after="160"/>
      </w:pPr>
    </w:p>
    <w:p>
      <w:pPr>
        <w:pStyle w:val="Heading1"/>
        <w:spacing w:before="480" w:after="120"/>
      </w:pPr>
      <w:r>
        <w:rPr>
          <w:rFonts w:ascii="Arial" w:cs="Arial" w:eastAsia="Arial" w:hAnsi="Arial"/>
          <w:b/>
          <w:bCs/>
          <w:color w:val="C96A3A"/>
          <w:spacing w:val="80"/>
          <w:sz w:val="24"/>
          <w:szCs w:val="24"/>
        </w:rPr>
        <w:t xml:space="preserve">10  THE THROUGH-LINE</w:t>
      </w:r>
    </w:p>
    <w:p>
      <w:pPr>
        <w:pBdr>
          <w:bottom w:val="single" w:color="C96A3A" w:sz="8" w:space="1"/>
        </w:pBdr>
        <w:spacing w:before="0" w:after="320"/>
      </w:pPr>
    </w:p>
    <w:p>
      <w:pPr>
        <w:spacing w:before="0" w:after="160"/>
      </w:pPr>
      <w:r>
        <w:rPr>
          <w:rFonts w:ascii="Georgia" w:cs="Georgia" w:eastAsia="Georgia" w:hAnsi="Georgia"/>
          <w:b w:val="false"/>
          <w:bCs w:val="false"/>
          <w:i w:val="false"/>
          <w:iCs w:val="false"/>
          <w:color w:val="2D2926"/>
          <w:sz w:val="22"/>
          <w:szCs w:val="22"/>
        </w:rPr>
        <w:t xml:space="preserve">Every decision on this platform traces back to a single idea:</w:t>
      </w:r>
    </w:p>
    <w:p>
      <w:pPr>
        <w:spacing w:before="0"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60"/>
          <w:bottom w:type="dxa" w:w="200"/>
        </w:tblCellMar>
      </w:tblPr>
      <w:tblGrid>
        <w:gridCol w:w="160"/>
        <w:gridCol w:w="9200"/>
      </w:tblGrid>
      <w:tr>
        <w:tc>
          <w:tcPr>
            <w:tcW w:type="dxa" w:w="160"/>
            <w:tcBorders>
              <w:top w:val="none" w:color="FFFFFF" w:sz="0"/>
              <w:left w:val="single" w:color="C96A3A" w:sz="12"/>
              <w:bottom w:val="none" w:color="FFFFFF" w:sz="0"/>
              <w:right w:val="none" w:color="FFFFFF" w:sz="0"/>
            </w:tcBorders>
            <w:tcMar>
              <w:top w:type="dxa" w:w="0"/>
              <w:left w:type="dxa" w:w="0"/>
              <w:bottom w:type="dxa" w:w="0"/>
              <w:right w:type="dxa" w:w="0"/>
            </w:tcMar>
          </w:tcPr>
          <w:p/>
        </w:tc>
        <w:tc>
          <w:tcPr>
            <w:tcW w:type="dxa" w:w="9200"/>
            <w:tcBorders>
              <w:top w:val="none" w:color="FFFFFF" w:sz="0"/>
              <w:left w:val="none" w:color="FFFFFF" w:sz="0"/>
              <w:bottom w:val="none" w:color="FFFFFF" w:sz="0"/>
              <w:right w:val="none" w:color="FFFFFF" w:sz="0"/>
            </w:tcBorders>
            <w:shd w:fill="F2EDE7" w:val="clear"/>
            <w:tcMar>
              <w:top w:type="dxa" w:w="80"/>
              <w:left w:type="dxa" w:w="240"/>
              <w:bottom w:type="dxa" w:w="80"/>
              <w:right w:type="dxa" w:w="0"/>
            </w:tcMar>
          </w:tcPr>
          <w:p>
            <w:pPr>
              <w:spacing w:before="0" w:after="0"/>
            </w:pPr>
            <w:r>
              <w:rPr>
                <w:rFonts w:ascii="Georgia" w:cs="Georgia" w:eastAsia="Georgia" w:hAnsi="Georgia"/>
                <w:i/>
                <w:iCs/>
                <w:color w:val="2D2926"/>
                <w:sz w:val="24"/>
                <w:szCs w:val="24"/>
              </w:rPr>
              <w:t xml:space="preserve">The learner’s body is a constraint to design around. It is not a problem to solve.</w:t>
            </w:r>
          </w:p>
        </w:tc>
      </w:tr>
    </w:tbl>
    <w:p>
      <w:pPr>
        <w:spacing w:before="0" w:after="60"/>
      </w:pPr>
    </w:p>
    <w:p>
      <w:pPr>
        <w:spacing w:before="0" w:after="160"/>
      </w:pPr>
      <w:r>
        <w:rPr>
          <w:rFonts w:ascii="Georgia" w:cs="Georgia" w:eastAsia="Georgia" w:hAnsi="Georgia"/>
          <w:b w:val="false"/>
          <w:bCs w:val="false"/>
          <w:i w:val="false"/>
          <w:iCs w:val="false"/>
          <w:color w:val="2D2926"/>
          <w:sz w:val="22"/>
          <w:szCs w:val="22"/>
        </w:rPr>
        <w:t xml:space="preserve">That idea has a history. It comes from Roi’s work as a patient advocate, from training 20,000 healthcare professionals across 27 countries, from building organisations for communities that medicine treats as edge cases. It comes from knowing that the people most likely to benefit from economic retraining are the people least served by the tools built to deliver it.</w:t>
      </w:r>
    </w:p>
    <w:p>
      <w:pPr>
        <w:spacing w:before="0" w:after="160"/>
      </w:pPr>
      <w:r>
        <w:rPr>
          <w:rFonts w:ascii="Georgia" w:cs="Georgia" w:eastAsia="Georgia" w:hAnsi="Georgia"/>
          <w:b w:val="false"/>
          <w:bCs w:val="false"/>
          <w:i w:val="false"/>
          <w:iCs w:val="false"/>
          <w:color w:val="2D2926"/>
          <w:sz w:val="22"/>
          <w:szCs w:val="22"/>
        </w:rPr>
        <w:t xml:space="preserve">Bed Coders is the platform that should have existed. It exists now. Build it as if the person using it is doing something that costs them something real. Because they are.</w:t>
      </w:r>
    </w:p>
    <w:p>
      <w:pPr>
        <w:spacing w:before="0" w:after="120"/>
      </w:pPr>
    </w:p>
    <w:p>
      <w:pPr>
        <w:pBdr>
          <w:bottom w:val="single" w:color="DDD8D2" w:sz="4" w:space="1"/>
        </w:pBdr>
        <w:spacing w:before="40" w:after="240"/>
      </w:pPr>
    </w:p>
    <w:p>
      <w:pPr>
        <w:spacing w:before="0" w:after="80"/>
      </w:pPr>
    </w:p>
    <w:p>
      <w:pPr>
        <w:spacing w:before="0" w:after="0"/>
        <w:jc w:val="right"/>
      </w:pPr>
      <w:r>
        <w:rPr>
          <w:rFonts w:ascii="Arial" w:cs="Arial" w:eastAsia="Arial" w:hAnsi="Arial"/>
          <w:color w:val="6B635C"/>
          <w:sz w:val="18"/>
          <w:szCs w:val="18"/>
        </w:rPr>
        <w:t xml:space="preserve">bedcoders.com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D29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Arial" w:cs="Arial" w:eastAsia="Arial" w:hAnsi="Arial"/>
      <w:b/>
      <w:bCs/>
      <w:caps/>
      <w:color w:val="C96A3A"/>
      <w:sz w:val="24"/>
      <w:szCs w:val="24"/>
    </w:rPr>
  </w:style>
  <w:style w:type="paragraph" w:styleId="Heading2">
    <w:name w:val="Heading 2"/>
    <w:basedOn w:val="Normal"/>
    <w:next w:val="Normal"/>
    <w:qFormat/>
    <w:pPr>
      <w:spacing w:before="320" w:after="80"/>
      <w:outlineLvl w:val="1"/>
    </w:pPr>
    <w:rPr>
      <w:rFonts w:ascii="Georgia" w:cs="Georgia" w:eastAsia="Georgia" w:hAnsi="Georgia"/>
      <w:b/>
      <w:bCs/>
      <w:color w:val="2D292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2026-03-13T09:08:09.018Z</dcterms:created>
  <dcterms:modified xsi:type="dcterms:W3CDTF">2026-03-13T09:08:09.019Z</dcterms:modified>
</cp:coreProperties>
</file>

<file path=docProps/custom.xml><?xml version="1.0" encoding="utf-8"?>
<Properties xmlns="http://schemas.openxmlformats.org/officeDocument/2006/custom-properties" xmlns:vt="http://schemas.openxmlformats.org/officeDocument/2006/docPropsVTypes"/>
</file>