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42C99" w14:textId="77777777" w:rsidR="000618D0" w:rsidRDefault="00000000" w:rsidP="00D11B3D">
      <w:pPr>
        <w:spacing w:after="200"/>
        <w:jc w:val="center"/>
      </w:pPr>
      <w:r>
        <w:rPr>
          <w:b/>
          <w:bCs/>
          <w:sz w:val="32"/>
          <w:szCs w:val="32"/>
        </w:rPr>
        <w:t>PROJECT SYNOPSIS</w:t>
      </w:r>
    </w:p>
    <w:p w14:paraId="3E4FAAB2" w14:textId="77777777" w:rsidR="000618D0" w:rsidRDefault="00000000" w:rsidP="00D11B3D">
      <w:pPr>
        <w:spacing w:after="100"/>
        <w:jc w:val="center"/>
      </w:pPr>
      <w:r>
        <w:rPr>
          <w:b/>
          <w:bCs/>
          <w:sz w:val="32"/>
          <w:szCs w:val="32"/>
        </w:rPr>
        <w:t>"AGILEGRAPH"</w:t>
      </w:r>
    </w:p>
    <w:p w14:paraId="688B38C0" w14:textId="77B4CE0C" w:rsidR="000618D0" w:rsidRDefault="00000000" w:rsidP="00B0146F">
      <w:pPr>
        <w:spacing w:after="100"/>
        <w:jc w:val="center"/>
      </w:pPr>
      <w:r>
        <w:rPr>
          <w:b/>
          <w:bCs/>
          <w:sz w:val="28"/>
          <w:szCs w:val="28"/>
        </w:rPr>
        <w:t>Graph-Learned Crypto-Agility Risk Scoring for Post-Quantum Migration</w:t>
      </w:r>
    </w:p>
    <w:p w14:paraId="4B66509D" w14:textId="77777777" w:rsidR="00B0146F" w:rsidRDefault="00B0146F" w:rsidP="00B0146F">
      <w:pPr>
        <w:spacing w:after="100"/>
        <w:jc w:val="center"/>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805"/>
        <w:gridCol w:w="6545"/>
      </w:tblGrid>
      <w:tr w:rsidR="000618D0" w14:paraId="07E39237" w14:textId="77777777">
        <w:tc>
          <w:tcPr>
            <w:tcW w:w="1500" w:type="pct"/>
            <w:tcMar>
              <w:top w:w="100" w:type="dxa"/>
              <w:left w:w="150" w:type="dxa"/>
              <w:bottom w:w="100" w:type="dxa"/>
              <w:right w:w="150" w:type="dxa"/>
            </w:tcMar>
            <w:vAlign w:val="center"/>
          </w:tcPr>
          <w:p w14:paraId="400D09CC" w14:textId="77777777" w:rsidR="000618D0" w:rsidRDefault="00000000" w:rsidP="00D11B3D">
            <w:pPr>
              <w:jc w:val="both"/>
            </w:pPr>
            <w:r>
              <w:rPr>
                <w:b/>
                <w:bCs/>
              </w:rPr>
              <w:t>Students</w:t>
            </w:r>
          </w:p>
        </w:tc>
        <w:tc>
          <w:tcPr>
            <w:tcW w:w="3500" w:type="pct"/>
            <w:tcMar>
              <w:top w:w="100" w:type="dxa"/>
              <w:left w:w="150" w:type="dxa"/>
              <w:bottom w:w="100" w:type="dxa"/>
              <w:right w:w="150" w:type="dxa"/>
            </w:tcMar>
            <w:vAlign w:val="center"/>
          </w:tcPr>
          <w:p w14:paraId="4F3DAE1A" w14:textId="77777777" w:rsidR="000618D0" w:rsidRDefault="00000000" w:rsidP="00D11B3D">
            <w:pPr>
              <w:spacing w:after="40"/>
              <w:jc w:val="both"/>
            </w:pPr>
            <w:r>
              <w:t>1. Spoorthi — NNM23CB058</w:t>
            </w:r>
          </w:p>
          <w:p w14:paraId="0C4CF0DE" w14:textId="77777777" w:rsidR="000618D0" w:rsidRDefault="00000000" w:rsidP="00D11B3D">
            <w:pPr>
              <w:spacing w:after="40"/>
              <w:jc w:val="both"/>
            </w:pPr>
            <w:r>
              <w:t xml:space="preserve">2. </w:t>
            </w:r>
            <w:proofErr w:type="spellStart"/>
            <w:r>
              <w:t>Sindhoora</w:t>
            </w:r>
            <w:proofErr w:type="spellEnd"/>
            <w:r>
              <w:t xml:space="preserve"> R — NNM23CB057</w:t>
            </w:r>
          </w:p>
          <w:p w14:paraId="7EC12AD1" w14:textId="77777777" w:rsidR="000618D0" w:rsidRDefault="00000000" w:rsidP="00D11B3D">
            <w:pPr>
              <w:spacing w:after="40"/>
              <w:jc w:val="both"/>
            </w:pPr>
            <w:r>
              <w:t>3. Nivedita V Shetty — NNM23CB033</w:t>
            </w:r>
          </w:p>
          <w:p w14:paraId="5394A0A4" w14:textId="77777777" w:rsidR="000618D0" w:rsidRDefault="00000000" w:rsidP="00D11B3D">
            <w:pPr>
              <w:spacing w:after="40"/>
              <w:jc w:val="both"/>
            </w:pPr>
            <w:r>
              <w:t>4. Sujan S — NNM23CB062</w:t>
            </w:r>
          </w:p>
        </w:tc>
      </w:tr>
      <w:tr w:rsidR="000618D0" w14:paraId="2A5FA3AB" w14:textId="77777777">
        <w:tc>
          <w:tcPr>
            <w:tcW w:w="1500" w:type="pct"/>
            <w:tcMar>
              <w:top w:w="100" w:type="dxa"/>
              <w:left w:w="150" w:type="dxa"/>
              <w:bottom w:w="100" w:type="dxa"/>
              <w:right w:w="150" w:type="dxa"/>
            </w:tcMar>
            <w:vAlign w:val="center"/>
          </w:tcPr>
          <w:p w14:paraId="406D0B44" w14:textId="77777777" w:rsidR="000618D0" w:rsidRDefault="00000000" w:rsidP="00D11B3D">
            <w:pPr>
              <w:jc w:val="both"/>
            </w:pPr>
            <w:r>
              <w:rPr>
                <w:b/>
                <w:bCs/>
              </w:rPr>
              <w:t>Guide Name</w:t>
            </w:r>
          </w:p>
        </w:tc>
        <w:tc>
          <w:tcPr>
            <w:tcW w:w="3500" w:type="pct"/>
            <w:tcMar>
              <w:top w:w="100" w:type="dxa"/>
              <w:left w:w="150" w:type="dxa"/>
              <w:bottom w:w="100" w:type="dxa"/>
              <w:right w:w="150" w:type="dxa"/>
            </w:tcMar>
            <w:vAlign w:val="center"/>
          </w:tcPr>
          <w:p w14:paraId="32560DE4" w14:textId="4912EFC3" w:rsidR="000618D0" w:rsidRDefault="00557D90" w:rsidP="00D11B3D">
            <w:pPr>
              <w:spacing w:after="40"/>
              <w:jc w:val="both"/>
            </w:pPr>
            <w:r>
              <w:t>Ms Madhushree</w:t>
            </w:r>
          </w:p>
        </w:tc>
      </w:tr>
      <w:tr w:rsidR="000618D0" w14:paraId="55B9D194" w14:textId="77777777">
        <w:tc>
          <w:tcPr>
            <w:tcW w:w="1500" w:type="pct"/>
            <w:tcMar>
              <w:top w:w="100" w:type="dxa"/>
              <w:left w:w="150" w:type="dxa"/>
              <w:bottom w:w="100" w:type="dxa"/>
              <w:right w:w="150" w:type="dxa"/>
            </w:tcMar>
            <w:vAlign w:val="center"/>
          </w:tcPr>
          <w:p w14:paraId="3216A7AC" w14:textId="77777777" w:rsidR="000618D0" w:rsidRDefault="00000000" w:rsidP="00D11B3D">
            <w:pPr>
              <w:jc w:val="both"/>
            </w:pPr>
            <w:r>
              <w:rPr>
                <w:b/>
                <w:bCs/>
              </w:rPr>
              <w:t>Department</w:t>
            </w:r>
          </w:p>
        </w:tc>
        <w:tc>
          <w:tcPr>
            <w:tcW w:w="3500" w:type="pct"/>
            <w:tcMar>
              <w:top w:w="100" w:type="dxa"/>
              <w:left w:w="150" w:type="dxa"/>
              <w:bottom w:w="100" w:type="dxa"/>
              <w:right w:w="150" w:type="dxa"/>
            </w:tcMar>
            <w:vAlign w:val="center"/>
          </w:tcPr>
          <w:p w14:paraId="2A2B2F14" w14:textId="77777777" w:rsidR="000618D0" w:rsidRDefault="00000000" w:rsidP="00D11B3D">
            <w:pPr>
              <w:spacing w:after="40"/>
              <w:jc w:val="both"/>
            </w:pPr>
            <w:r>
              <w:t>Department of Computer Science (Cyber Security)</w:t>
            </w:r>
          </w:p>
        </w:tc>
      </w:tr>
      <w:tr w:rsidR="000618D0" w14:paraId="11FE085A" w14:textId="77777777">
        <w:tc>
          <w:tcPr>
            <w:tcW w:w="1500" w:type="pct"/>
            <w:tcMar>
              <w:top w:w="100" w:type="dxa"/>
              <w:left w:w="150" w:type="dxa"/>
              <w:bottom w:w="100" w:type="dxa"/>
              <w:right w:w="150" w:type="dxa"/>
            </w:tcMar>
            <w:vAlign w:val="center"/>
          </w:tcPr>
          <w:p w14:paraId="54AA0743" w14:textId="77777777" w:rsidR="000618D0" w:rsidRDefault="00000000" w:rsidP="00D11B3D">
            <w:pPr>
              <w:jc w:val="both"/>
            </w:pPr>
            <w:r>
              <w:rPr>
                <w:b/>
                <w:bCs/>
              </w:rPr>
              <w:t>Institution</w:t>
            </w:r>
          </w:p>
        </w:tc>
        <w:tc>
          <w:tcPr>
            <w:tcW w:w="3500" w:type="pct"/>
            <w:tcMar>
              <w:top w:w="100" w:type="dxa"/>
              <w:left w:w="150" w:type="dxa"/>
              <w:bottom w:w="100" w:type="dxa"/>
              <w:right w:w="150" w:type="dxa"/>
            </w:tcMar>
            <w:vAlign w:val="center"/>
          </w:tcPr>
          <w:p w14:paraId="19E56FC8" w14:textId="77777777" w:rsidR="000618D0" w:rsidRDefault="00000000" w:rsidP="00D11B3D">
            <w:pPr>
              <w:spacing w:after="40"/>
              <w:jc w:val="both"/>
            </w:pPr>
            <w:r>
              <w:t>NMAM Institute of Technology (NMAMIT), Nitte (Deemed to be University), Karnataka</w:t>
            </w:r>
          </w:p>
        </w:tc>
      </w:tr>
      <w:tr w:rsidR="000618D0" w14:paraId="16265035" w14:textId="77777777">
        <w:tc>
          <w:tcPr>
            <w:tcW w:w="1500" w:type="pct"/>
            <w:tcMar>
              <w:top w:w="100" w:type="dxa"/>
              <w:left w:w="150" w:type="dxa"/>
              <w:bottom w:w="100" w:type="dxa"/>
              <w:right w:w="150" w:type="dxa"/>
            </w:tcMar>
            <w:vAlign w:val="center"/>
          </w:tcPr>
          <w:p w14:paraId="59931D1D" w14:textId="77777777" w:rsidR="000618D0" w:rsidRDefault="00000000" w:rsidP="00D11B3D">
            <w:pPr>
              <w:jc w:val="both"/>
            </w:pPr>
            <w:r>
              <w:rPr>
                <w:b/>
                <w:bCs/>
              </w:rPr>
              <w:t>Academic Year</w:t>
            </w:r>
          </w:p>
        </w:tc>
        <w:tc>
          <w:tcPr>
            <w:tcW w:w="3500" w:type="pct"/>
            <w:tcMar>
              <w:top w:w="100" w:type="dxa"/>
              <w:left w:w="150" w:type="dxa"/>
              <w:bottom w:w="100" w:type="dxa"/>
              <w:right w:w="150" w:type="dxa"/>
            </w:tcMar>
            <w:vAlign w:val="center"/>
          </w:tcPr>
          <w:p w14:paraId="7BD0D91E" w14:textId="634F572D" w:rsidR="000618D0" w:rsidRDefault="00000000" w:rsidP="00D11B3D">
            <w:pPr>
              <w:spacing w:after="40"/>
              <w:jc w:val="both"/>
            </w:pPr>
            <w:r>
              <w:t>202</w:t>
            </w:r>
            <w:r w:rsidR="00557D90">
              <w:t>3</w:t>
            </w:r>
            <w:r>
              <w:t xml:space="preserve"> – 27 (Final Year, </w:t>
            </w:r>
            <w:proofErr w:type="spellStart"/>
            <w:proofErr w:type="gramStart"/>
            <w:r>
              <w:t>B.Tech</w:t>
            </w:r>
            <w:proofErr w:type="spellEnd"/>
            <w:proofErr w:type="gramEnd"/>
            <w:r>
              <w:t>)</w:t>
            </w:r>
          </w:p>
        </w:tc>
      </w:tr>
    </w:tbl>
    <w:p w14:paraId="56DFC1EA" w14:textId="77777777" w:rsidR="000618D0" w:rsidRDefault="00000000" w:rsidP="00D11B3D">
      <w:pPr>
        <w:jc w:val="both"/>
      </w:pPr>
      <w:r>
        <w:br w:type="page"/>
      </w:r>
    </w:p>
    <w:p w14:paraId="611F24D8" w14:textId="77777777" w:rsidR="000618D0" w:rsidRDefault="00000000" w:rsidP="00D11B3D">
      <w:pPr>
        <w:spacing w:before="300" w:after="150" w:line="360" w:lineRule="auto"/>
        <w:jc w:val="both"/>
      </w:pPr>
      <w:r>
        <w:rPr>
          <w:b/>
          <w:bCs/>
          <w:sz w:val="28"/>
          <w:szCs w:val="28"/>
        </w:rPr>
        <w:lastRenderedPageBreak/>
        <w:t>1. Introduction</w:t>
      </w:r>
    </w:p>
    <w:p w14:paraId="02D54F75" w14:textId="77777777" w:rsidR="000618D0" w:rsidRDefault="00000000" w:rsidP="00D11B3D">
      <w:pPr>
        <w:spacing w:after="200" w:line="360" w:lineRule="auto"/>
        <w:jc w:val="both"/>
      </w:pPr>
      <w:r>
        <w:t>The security of nearly every digital system in use today — banking transactions, healthcare records, government communications, and everyday web traffic — rests on public-key cryptographic algorithms such as RSA and ECC. Large-scale, fault-tolerant quantum computers are expected to be capable of breaking these algorithms using Shor's algorithm, and while such machines do not yet exist at the required scale, the risk is not purely theoretical. Adversaries can already record encrypted traffic today and decrypt it once sufficiently powerful quantum computers become available, a strategy widely referred to as "harvest-now, decrypt-later." In response, the U.S. National Institute of Standards and Technology (NIST) finalized its first set of post-quantum cryptography (PQC) standards in August 2024 — ML-KEM (FIPS 203), ML-DSA (FIPS 204), and SLH-DSA (FIPS 205) — giving organizations quantum-resistant algorithms to migrate to [1], [2], [3].</w:t>
      </w:r>
    </w:p>
    <w:p w14:paraId="4C55FEF0" w14:textId="77777777" w:rsidR="000618D0" w:rsidRDefault="00000000" w:rsidP="00D11B3D">
      <w:pPr>
        <w:spacing w:after="200" w:line="360" w:lineRule="auto"/>
        <w:jc w:val="both"/>
      </w:pPr>
      <w:r>
        <w:t xml:space="preserve">However, having quantum-safe algorithms available does not solve the migration problem by itself. Most organizations do not have a reliable inventory of where cryptography is actually used across their code, certificates, libraries, and network endpoints, which makes planning a migration extremely difficult [4], [5]. This project, </w:t>
      </w:r>
      <w:proofErr w:type="spellStart"/>
      <w:r>
        <w:t>AgileGraph</w:t>
      </w:r>
      <w:proofErr w:type="spellEnd"/>
      <w:r>
        <w:t>, addresses that gap by combining automated cryptographic discovery with a graph-based AI model that scores and ranks cryptographic risk across an organization, producing a clear, explainable, and prioritized migration roadmap.</w:t>
      </w:r>
    </w:p>
    <w:p w14:paraId="1A222950" w14:textId="77777777" w:rsidR="000618D0" w:rsidRDefault="00000000" w:rsidP="00D11B3D">
      <w:pPr>
        <w:spacing w:before="300" w:after="150" w:line="360" w:lineRule="auto"/>
        <w:jc w:val="both"/>
      </w:pPr>
      <w:r>
        <w:rPr>
          <w:b/>
          <w:bCs/>
          <w:sz w:val="28"/>
          <w:szCs w:val="28"/>
        </w:rPr>
        <w:t>2. Problem Statement</w:t>
      </w:r>
    </w:p>
    <w:p w14:paraId="2B97B0AA" w14:textId="77777777" w:rsidR="000618D0" w:rsidRDefault="00000000" w:rsidP="00D11B3D">
      <w:pPr>
        <w:spacing w:after="200" w:line="360" w:lineRule="auto"/>
        <w:jc w:val="both"/>
      </w:pPr>
      <w:r>
        <w:t xml:space="preserve">Organizations urgently need to migrate to post-quantum cryptography, but most do not know where their vulnerable cryptography is located in the first place — it is scattered across old libraries, forgotten certificates, and code that has not been touched in years. Discovering this cryptography today is a largely manual process: security teams search codebases, check certificates, and inspect network traffic by hand, which is slow, error-prone, and does not scale. Even when weak cryptography is found, existing tools present it as a flat, unprioritized list — telling a team that "this certificate is outdated" but not that "fixing this certificate first will protect the most sensitive data with the least effort." There is currently no open, explainable system that models how cryptographic weaknesses propagate across an interconnected system of code, </w:t>
      </w:r>
      <w:r>
        <w:lastRenderedPageBreak/>
        <w:t>certificates, libraries, and sensitive data, and uses that model to produce a defensible, risk-ranked migration order.</w:t>
      </w:r>
    </w:p>
    <w:p w14:paraId="756131FC" w14:textId="77777777" w:rsidR="000618D0" w:rsidRDefault="00000000" w:rsidP="00D11B3D">
      <w:pPr>
        <w:spacing w:before="300" w:after="150" w:line="360" w:lineRule="auto"/>
        <w:jc w:val="both"/>
      </w:pPr>
      <w:r>
        <w:rPr>
          <w:b/>
          <w:bCs/>
          <w:sz w:val="28"/>
          <w:szCs w:val="28"/>
        </w:rPr>
        <w:t>3. Objectives</w:t>
      </w:r>
    </w:p>
    <w:p w14:paraId="2CC794A6" w14:textId="77777777" w:rsidR="000618D0" w:rsidRDefault="00000000" w:rsidP="00D11B3D">
      <w:pPr>
        <w:pStyle w:val="ListParagraph"/>
        <w:numPr>
          <w:ilvl w:val="0"/>
          <w:numId w:val="1"/>
        </w:numPr>
        <w:spacing w:after="100" w:line="360" w:lineRule="auto"/>
        <w:jc w:val="both"/>
      </w:pPr>
      <w:r>
        <w:t>To design and implement an automated, multi-source cryptographic discovery pipeline that scans source code, live network endpoints/certificates, and dependency manifests across Java, Python, and Go projects.</w:t>
      </w:r>
    </w:p>
    <w:p w14:paraId="7F9E60C5" w14:textId="77777777" w:rsidR="000618D0" w:rsidRDefault="00000000" w:rsidP="00D11B3D">
      <w:pPr>
        <w:pStyle w:val="ListParagraph"/>
        <w:numPr>
          <w:ilvl w:val="0"/>
          <w:numId w:val="1"/>
        </w:numPr>
        <w:spacing w:after="100" w:line="360" w:lineRule="auto"/>
        <w:jc w:val="both"/>
      </w:pPr>
      <w:r>
        <w:t>To construct a heterogeneous risk graph that models six categories of entities (code files, cryptographic usage, certificates, network endpoints, libraries, and sensitive data) connected through seven types of relationships.</w:t>
      </w:r>
    </w:p>
    <w:p w14:paraId="79F355CE" w14:textId="77777777" w:rsidR="000618D0" w:rsidRDefault="00000000" w:rsidP="00D11B3D">
      <w:pPr>
        <w:pStyle w:val="ListParagraph"/>
        <w:numPr>
          <w:ilvl w:val="0"/>
          <w:numId w:val="1"/>
        </w:numPr>
        <w:spacing w:after="100" w:line="360" w:lineRule="auto"/>
        <w:jc w:val="both"/>
      </w:pPr>
      <w:r>
        <w:t>To develop an open, published risk-scoring formula for each graph node based on data sensitivity, migration effort, and the projected quantum threat timeline.</w:t>
      </w:r>
    </w:p>
    <w:p w14:paraId="072FC3F0" w14:textId="77777777" w:rsidR="000618D0" w:rsidRDefault="00000000" w:rsidP="00D11B3D">
      <w:pPr>
        <w:pStyle w:val="ListParagraph"/>
        <w:numPr>
          <w:ilvl w:val="0"/>
          <w:numId w:val="1"/>
        </w:numPr>
        <w:spacing w:after="100" w:line="360" w:lineRule="auto"/>
        <w:jc w:val="both"/>
      </w:pPr>
      <w:r>
        <w:t>To train a Graph Neural Network (GATv2) that learns how cryptographic risk propagates across the graph and produces a ranked, plain-language migration to-do list.</w:t>
      </w:r>
    </w:p>
    <w:p w14:paraId="4E7C8AA7" w14:textId="77777777" w:rsidR="000618D0" w:rsidRDefault="00000000" w:rsidP="00D11B3D">
      <w:pPr>
        <w:pStyle w:val="ListParagraph"/>
        <w:numPr>
          <w:ilvl w:val="0"/>
          <w:numId w:val="1"/>
        </w:numPr>
        <w:spacing w:after="100" w:line="360" w:lineRule="auto"/>
        <w:jc w:val="both"/>
      </w:pPr>
      <w:r>
        <w:t>To benchmark the GNN-based ranking against simpler baseline methods (flat severity scoring, rule-based ranking) and validate results against expert human judgment.</w:t>
      </w:r>
    </w:p>
    <w:p w14:paraId="1AE018EA" w14:textId="77777777" w:rsidR="000618D0" w:rsidRDefault="00000000" w:rsidP="00D11B3D">
      <w:pPr>
        <w:pStyle w:val="ListParagraph"/>
        <w:numPr>
          <w:ilvl w:val="0"/>
          <w:numId w:val="1"/>
        </w:numPr>
        <w:spacing w:after="100" w:line="360" w:lineRule="auto"/>
        <w:jc w:val="both"/>
      </w:pPr>
      <w:r>
        <w:t>To build a web-based dashboard that presents the ranked migration list along with a plain-English explanation and estimated risk reduction for each item.</w:t>
      </w:r>
    </w:p>
    <w:p w14:paraId="2228803B" w14:textId="77777777" w:rsidR="000618D0" w:rsidRDefault="00000000" w:rsidP="00D11B3D">
      <w:pPr>
        <w:spacing w:before="300" w:after="150" w:line="360" w:lineRule="auto"/>
        <w:jc w:val="both"/>
      </w:pPr>
      <w:r>
        <w:rPr>
          <w:b/>
          <w:bCs/>
          <w:sz w:val="28"/>
          <w:szCs w:val="28"/>
        </w:rPr>
        <w:t>4. Literature Survey</w:t>
      </w:r>
    </w:p>
    <w:p w14:paraId="06CC2C42" w14:textId="77777777" w:rsidR="000618D0" w:rsidRDefault="00000000" w:rsidP="00D11B3D">
      <w:pPr>
        <w:spacing w:before="200" w:after="120" w:line="360" w:lineRule="auto"/>
        <w:jc w:val="both"/>
      </w:pPr>
      <w:r>
        <w:rPr>
          <w:b/>
          <w:bCs/>
        </w:rPr>
        <w:t>4.1 Existing System</w:t>
      </w:r>
    </w:p>
    <w:p w14:paraId="61CA84C4" w14:textId="77777777" w:rsidR="000618D0" w:rsidRDefault="00000000" w:rsidP="00D11B3D">
      <w:pPr>
        <w:spacing w:after="200" w:line="360" w:lineRule="auto"/>
        <w:jc w:val="both"/>
      </w:pPr>
      <w:r>
        <w:t xml:space="preserve">Cryptographic discovery today is largely handled through manual audits or commercial scanning/inventory tools such as </w:t>
      </w:r>
      <w:proofErr w:type="spellStart"/>
      <w:r>
        <w:t>Keyfactor</w:t>
      </w:r>
      <w:proofErr w:type="spellEnd"/>
      <w:r>
        <w:t xml:space="preserve"> and </w:t>
      </w:r>
      <w:proofErr w:type="spellStart"/>
      <w:r>
        <w:t>AppViewX</w:t>
      </w:r>
      <w:proofErr w:type="spellEnd"/>
      <w:r>
        <w:t xml:space="preserve">, which catalogue certificates and keys but stop short of modelling how a weakness in one component affects the rest of the system. The emerging Cryptography Bill of Materials (CBOM) concept, standardized as part of </w:t>
      </w:r>
      <w:proofErr w:type="spellStart"/>
      <w:r>
        <w:t>CycloneDX</w:t>
      </w:r>
      <w:proofErr w:type="spellEnd"/>
      <w:r>
        <w:t xml:space="preserve"> 1.6 in 2024 (published as ECMA-424), formalizes cryptographic inventory in a machine-readable format and is supported by open tools such as </w:t>
      </w:r>
      <w:proofErr w:type="spellStart"/>
      <w:r>
        <w:t>CBOMkit</w:t>
      </w:r>
      <w:proofErr w:type="spellEnd"/>
      <w:r>
        <w:t xml:space="preserve"> [9]. NIST's own National Cybersecurity </w:t>
      </w:r>
      <w:proofErr w:type="spellStart"/>
      <w:r>
        <w:t>Center</w:t>
      </w:r>
      <w:proofErr w:type="spellEnd"/>
      <w:r>
        <w:t xml:space="preserve"> of Excellence (</w:t>
      </w:r>
      <w:proofErr w:type="spellStart"/>
      <w:r>
        <w:t>NCCoE</w:t>
      </w:r>
      <w:proofErr w:type="spellEnd"/>
      <w:r>
        <w:t>) migration guidance similarly emphasizes cryptographic discovery and crypto-agility as first steps in PQC migration planning [4].</w:t>
      </w:r>
    </w:p>
    <w:p w14:paraId="31543429" w14:textId="77777777" w:rsidR="000618D0" w:rsidRDefault="00000000" w:rsidP="00D11B3D">
      <w:pPr>
        <w:spacing w:before="200" w:after="120" w:line="360" w:lineRule="auto"/>
        <w:jc w:val="both"/>
      </w:pPr>
      <w:r>
        <w:rPr>
          <w:b/>
          <w:bCs/>
        </w:rPr>
        <w:lastRenderedPageBreak/>
        <w:t>4.2 Limitations of Existing System</w:t>
      </w:r>
    </w:p>
    <w:p w14:paraId="0661E463" w14:textId="77777777" w:rsidR="000618D0" w:rsidRDefault="00000000" w:rsidP="00D11B3D">
      <w:pPr>
        <w:pStyle w:val="ListParagraph"/>
        <w:numPr>
          <w:ilvl w:val="0"/>
          <w:numId w:val="1"/>
        </w:numPr>
        <w:spacing w:after="100" w:line="360" w:lineRule="auto"/>
        <w:jc w:val="both"/>
      </w:pPr>
      <w:r>
        <w:t>Discovery tools identify cryptographic assets but produce flat, unprioritized lists with no understanding of downstream impact.</w:t>
      </w:r>
    </w:p>
    <w:p w14:paraId="7483551F" w14:textId="77777777" w:rsidR="000618D0" w:rsidRDefault="00000000" w:rsidP="00D11B3D">
      <w:pPr>
        <w:pStyle w:val="ListParagraph"/>
        <w:numPr>
          <w:ilvl w:val="0"/>
          <w:numId w:val="1"/>
        </w:numPr>
        <w:spacing w:after="100" w:line="360" w:lineRule="auto"/>
        <w:jc w:val="both"/>
      </w:pPr>
      <w:r>
        <w:t>Risk-scoring formulas in commercial tools are closed and vendor-specific, making them difficult to audit or trust.</w:t>
      </w:r>
    </w:p>
    <w:p w14:paraId="6D657813" w14:textId="77777777" w:rsidR="000618D0" w:rsidRDefault="00000000" w:rsidP="00D11B3D">
      <w:pPr>
        <w:pStyle w:val="ListParagraph"/>
        <w:numPr>
          <w:ilvl w:val="0"/>
          <w:numId w:val="1"/>
        </w:numPr>
        <w:spacing w:after="100" w:line="360" w:lineRule="auto"/>
        <w:jc w:val="both"/>
      </w:pPr>
      <w:r>
        <w:t>No existing tool models cross-system dependency — i.e., what breaks elsewhere if a given certificate, library, or key is not migrated.</w:t>
      </w:r>
    </w:p>
    <w:p w14:paraId="68BC6DCE" w14:textId="77777777" w:rsidR="000618D0" w:rsidRDefault="00000000" w:rsidP="00D11B3D">
      <w:pPr>
        <w:pStyle w:val="ListParagraph"/>
        <w:numPr>
          <w:ilvl w:val="0"/>
          <w:numId w:val="1"/>
        </w:numPr>
        <w:spacing w:after="100" w:line="360" w:lineRule="auto"/>
        <w:jc w:val="both"/>
      </w:pPr>
      <w:r>
        <w:t>Explanations for why an item is flagged as risky are rarely provided, resulting in a "black box" experience for security teams.</w:t>
      </w:r>
    </w:p>
    <w:p w14:paraId="1FCD703F" w14:textId="77777777" w:rsidR="000618D0" w:rsidRDefault="00000000" w:rsidP="00D11B3D">
      <w:pPr>
        <w:pStyle w:val="ListParagraph"/>
        <w:numPr>
          <w:ilvl w:val="0"/>
          <w:numId w:val="1"/>
        </w:numPr>
        <w:spacing w:after="100" w:line="360" w:lineRule="auto"/>
        <w:jc w:val="both"/>
      </w:pPr>
      <w:r>
        <w:t>Migration-order simulation (comparing outcomes of different fix sequences) is largely absent from current tooling.</w:t>
      </w:r>
    </w:p>
    <w:p w14:paraId="2757F6C2" w14:textId="77777777" w:rsidR="000618D0" w:rsidRDefault="00000000" w:rsidP="00D11B3D">
      <w:pPr>
        <w:spacing w:before="200" w:after="120" w:line="360" w:lineRule="auto"/>
        <w:jc w:val="both"/>
      </w:pPr>
      <w:r>
        <w:rPr>
          <w:b/>
          <w:bCs/>
        </w:rPr>
        <w:t>4.3 Related Research Papers</w:t>
      </w:r>
    </w:p>
    <w:p w14:paraId="74A22A18" w14:textId="77777777" w:rsidR="000618D0" w:rsidRDefault="00000000" w:rsidP="00D11B3D">
      <w:pPr>
        <w:spacing w:after="200" w:line="360" w:lineRule="auto"/>
        <w:jc w:val="both"/>
      </w:pPr>
      <w:r>
        <w:t xml:space="preserve">Hasan et al. propose a framework for migrating to post-quantum cryptography that performs security-dependency analysis and presents real-world case studies, motivating the need for dependency-aware migration planning [4]. </w:t>
      </w:r>
      <w:proofErr w:type="spellStart"/>
      <w:r>
        <w:t>Alnahawi</w:t>
      </w:r>
      <w:proofErr w:type="spellEnd"/>
      <w:r>
        <w:t xml:space="preserve"> et al. survey the current state of crypto-agility, characterizing how prepared organizations are to swap cryptographic primitives without large-scale rewrites [5]. </w:t>
      </w:r>
      <w:proofErr w:type="spellStart"/>
      <w:r>
        <w:t>Näther</w:t>
      </w:r>
      <w:proofErr w:type="spellEnd"/>
      <w:r>
        <w:t xml:space="preserve"> et al. conduct a systematic literature review of software migration approaches toward post-quantum cryptography, cataloguing existing tools and identifying open gaps in automated migration tooling [6]. On the AI side, Brody, Alon, and Yahav introduce GATv2, a dynamic graph-attention variant that is strictly more expressive than the original Graph Attention Network and forms the core learning architecture proposed in this project [7]. Motie and </w:t>
      </w:r>
      <w:proofErr w:type="spellStart"/>
      <w:r>
        <w:t>Raahemi</w:t>
      </w:r>
      <w:proofErr w:type="spellEnd"/>
      <w:r>
        <w:t xml:space="preserve"> systematically review the use of graph neural networks for financial fraud detection, illustrating how GNN-based risk propagation across heterogeneous graphs has proven effective in adjacent risk-scoring domains such as fraud and credit risk [8]. The OWASP </w:t>
      </w:r>
      <w:proofErr w:type="spellStart"/>
      <w:r>
        <w:t>CycloneDX</w:t>
      </w:r>
      <w:proofErr w:type="spellEnd"/>
      <w:r>
        <w:t xml:space="preserve"> project formalizes the Cryptography Bill of Materials as a machine-readable standard for cryptographic asset inventory, which this project extends with graph-based risk propagation rather than flat inventory alone [9]. Most directly related, recent work on quantum-safe code auditing combines static analysis with quantum-aware risk scoring for PQC migration, confirming both the novelty and the timeliness of combining automated discovery with learned risk ranking [10].</w:t>
      </w:r>
    </w:p>
    <w:p w14:paraId="0C35CEB6" w14:textId="77777777" w:rsidR="000618D0" w:rsidRDefault="00000000" w:rsidP="00D11B3D">
      <w:pPr>
        <w:spacing w:before="300" w:after="150" w:line="360" w:lineRule="auto"/>
        <w:jc w:val="both"/>
      </w:pPr>
      <w:r>
        <w:rPr>
          <w:b/>
          <w:bCs/>
          <w:sz w:val="28"/>
          <w:szCs w:val="28"/>
        </w:rPr>
        <w:lastRenderedPageBreak/>
        <w:t>5. Proposed System</w:t>
      </w:r>
    </w:p>
    <w:p w14:paraId="0747D67D" w14:textId="77777777" w:rsidR="000618D0" w:rsidRDefault="00000000" w:rsidP="00D11B3D">
      <w:pPr>
        <w:spacing w:after="200" w:line="360" w:lineRule="auto"/>
        <w:jc w:val="both"/>
      </w:pPr>
      <w:proofErr w:type="spellStart"/>
      <w:r>
        <w:t>AgileGraph</w:t>
      </w:r>
      <w:proofErr w:type="spellEnd"/>
      <w:r>
        <w:t xml:space="preserve"> is structured as four cooperating layers. The scanning and data-collection layer statically analyses source code to detect cryptographic primitives (RSA, ECDSA, AES, and others) across Java, Python, and Go projects, actively scans live servers for certificate and TLS configuration weaknesses, and parses dependency manifests to flag outdated or unsupported cryptographic libraries. The results are stored in a graph database so that relationships between all discovered assets can be queried and reasoned about.</w:t>
      </w:r>
    </w:p>
    <w:p w14:paraId="69FC3FFE" w14:textId="77777777" w:rsidR="000618D0" w:rsidRDefault="00000000" w:rsidP="00D11B3D">
      <w:pPr>
        <w:spacing w:after="200" w:line="360" w:lineRule="auto"/>
        <w:jc w:val="both"/>
      </w:pPr>
      <w:r>
        <w:t>The risk-graph construction layer maps six categories of nodes — code files, cryptographic usage sites, certificates, network endpoints, libraries, and sensitive data — connected by seven relationship types (for example, "this code uses this certificate" or "this certificate protects this data"). Each node receives a starting risk score from a published, checkable formula that weighs how long the underlying data must remain confidential against how long migration is expected to take and how soon quantum computers are projected to arrive.</w:t>
      </w:r>
    </w:p>
    <w:p w14:paraId="0D2FD129" w14:textId="77777777" w:rsidR="000618D0" w:rsidRDefault="00000000" w:rsidP="00D11B3D">
      <w:pPr>
        <w:spacing w:after="200" w:line="360" w:lineRule="auto"/>
        <w:jc w:val="both"/>
      </w:pPr>
      <w:r>
        <w:t>The AI ranking layer applies a GATv2-based Graph Neural Network [7] that learns how risk propagates across the graph, going beyond the static starting scores to capture ripple effects — for instance, a single outdated library used by many certificates being ranked more urgently than its individual severity would suggest. For every flagged item, the model generates a plain-language explanation of why it is risky, and its rankings are benchmarked against simpler baseline methods to demonstrate genuine added value rather than added complexity.</w:t>
      </w:r>
    </w:p>
    <w:p w14:paraId="7E77DC38" w14:textId="77777777" w:rsidR="000618D0" w:rsidRDefault="00000000" w:rsidP="00D11B3D">
      <w:pPr>
        <w:spacing w:after="200" w:line="360" w:lineRule="auto"/>
        <w:jc w:val="both"/>
      </w:pPr>
      <w:r>
        <w:t xml:space="preserve">Finally, the presentation layer is a </w:t>
      </w:r>
      <w:proofErr w:type="spellStart"/>
      <w:r>
        <w:t>FastAPI</w:t>
      </w:r>
      <w:proofErr w:type="spellEnd"/>
      <w:r>
        <w:t xml:space="preserve"> backend and a React-based web dashboard where a user scans a project and receives a ranked migration to-do list, each item annotated with a plain-English explanation and an estimate of how much overall risk is reduced by addressing it.</w:t>
      </w:r>
    </w:p>
    <w:p w14:paraId="574857BD" w14:textId="77777777" w:rsidR="000618D0" w:rsidRDefault="00000000" w:rsidP="00D11B3D">
      <w:pPr>
        <w:spacing w:before="300" w:after="150" w:line="360" w:lineRule="auto"/>
        <w:jc w:val="both"/>
      </w:pPr>
      <w:r>
        <w:rPr>
          <w:b/>
          <w:bCs/>
          <w:sz w:val="28"/>
          <w:szCs w:val="28"/>
        </w:rPr>
        <w:t>6. System Requirements</w:t>
      </w:r>
    </w:p>
    <w:p w14:paraId="0D5AD032" w14:textId="77777777" w:rsidR="000618D0" w:rsidRDefault="00000000" w:rsidP="00D11B3D">
      <w:pPr>
        <w:spacing w:before="200" w:after="120" w:line="360" w:lineRule="auto"/>
        <w:jc w:val="both"/>
      </w:pPr>
      <w:r>
        <w:rPr>
          <w:b/>
          <w:bCs/>
        </w:rPr>
        <w:t>6.1 Hardware Requirements</w:t>
      </w:r>
    </w:p>
    <w:p w14:paraId="6FF1BC2B" w14:textId="77777777" w:rsidR="000618D0" w:rsidRDefault="00000000" w:rsidP="00D11B3D">
      <w:pPr>
        <w:pStyle w:val="ListParagraph"/>
        <w:numPr>
          <w:ilvl w:val="0"/>
          <w:numId w:val="1"/>
        </w:numPr>
        <w:spacing w:after="100" w:line="360" w:lineRule="auto"/>
        <w:jc w:val="both"/>
      </w:pPr>
      <w:r>
        <w:t>Development workstation/laptop with a minimum of 16 GB RAM and a multi-core processor.</w:t>
      </w:r>
    </w:p>
    <w:p w14:paraId="27CCABB1" w14:textId="77777777" w:rsidR="000618D0" w:rsidRDefault="00000000" w:rsidP="00D11B3D">
      <w:pPr>
        <w:pStyle w:val="ListParagraph"/>
        <w:numPr>
          <w:ilvl w:val="0"/>
          <w:numId w:val="1"/>
        </w:numPr>
        <w:spacing w:after="100" w:line="360" w:lineRule="auto"/>
        <w:jc w:val="both"/>
      </w:pPr>
      <w:r>
        <w:lastRenderedPageBreak/>
        <w:t>GPU (NVIDIA, CUDA-compatible) recommended for accelerated GNN training, though not strictly required for the target dataset scale.</w:t>
      </w:r>
    </w:p>
    <w:p w14:paraId="71E378B1" w14:textId="77777777" w:rsidR="000618D0" w:rsidRDefault="00000000" w:rsidP="00D11B3D">
      <w:pPr>
        <w:pStyle w:val="ListParagraph"/>
        <w:numPr>
          <w:ilvl w:val="0"/>
          <w:numId w:val="1"/>
        </w:numPr>
        <w:spacing w:after="100" w:line="360" w:lineRule="auto"/>
        <w:jc w:val="both"/>
      </w:pPr>
      <w:r>
        <w:t>Stable internet connectivity for certificate/TLS scanning of live endpoints.</w:t>
      </w:r>
    </w:p>
    <w:p w14:paraId="3E9A24DF" w14:textId="77777777" w:rsidR="000618D0" w:rsidRDefault="00000000" w:rsidP="00D11B3D">
      <w:pPr>
        <w:spacing w:before="200" w:after="120" w:line="360" w:lineRule="auto"/>
        <w:jc w:val="both"/>
      </w:pPr>
      <w:r>
        <w:rPr>
          <w:b/>
          <w:bCs/>
        </w:rPr>
        <w:t>6.2 Software Requirements</w:t>
      </w:r>
    </w:p>
    <w:p w14:paraId="3A85618B" w14:textId="77777777" w:rsidR="000618D0" w:rsidRDefault="00000000" w:rsidP="00D11B3D">
      <w:pPr>
        <w:pStyle w:val="ListParagraph"/>
        <w:numPr>
          <w:ilvl w:val="0"/>
          <w:numId w:val="1"/>
        </w:numPr>
        <w:spacing w:after="100" w:line="360" w:lineRule="auto"/>
        <w:jc w:val="both"/>
      </w:pPr>
      <w:r>
        <w:t>Operating System: Linux / Windows with WSL2 / macOS</w:t>
      </w:r>
    </w:p>
    <w:p w14:paraId="29FBE5DE" w14:textId="77777777" w:rsidR="000618D0" w:rsidRDefault="00000000" w:rsidP="00D11B3D">
      <w:pPr>
        <w:pStyle w:val="ListParagraph"/>
        <w:numPr>
          <w:ilvl w:val="0"/>
          <w:numId w:val="1"/>
        </w:numPr>
        <w:spacing w:after="100" w:line="360" w:lineRule="auto"/>
        <w:jc w:val="both"/>
      </w:pPr>
      <w:r>
        <w:t>Programming Languages: Python 3.10+, JavaScript/TypeScript</w:t>
      </w:r>
    </w:p>
    <w:p w14:paraId="3FAE3D5B" w14:textId="77777777" w:rsidR="000618D0" w:rsidRDefault="00000000" w:rsidP="00D11B3D">
      <w:pPr>
        <w:pStyle w:val="ListParagraph"/>
        <w:numPr>
          <w:ilvl w:val="0"/>
          <w:numId w:val="1"/>
        </w:numPr>
        <w:spacing w:after="100" w:line="360" w:lineRule="auto"/>
        <w:jc w:val="both"/>
      </w:pPr>
      <w:r>
        <w:t xml:space="preserve">AI/ML Libraries: </w:t>
      </w:r>
      <w:proofErr w:type="spellStart"/>
      <w:r>
        <w:t>PyTorch</w:t>
      </w:r>
      <w:proofErr w:type="spellEnd"/>
      <w:r>
        <w:t xml:space="preserve">, </w:t>
      </w:r>
      <w:proofErr w:type="spellStart"/>
      <w:r>
        <w:t>PyTorch</w:t>
      </w:r>
      <w:proofErr w:type="spellEnd"/>
      <w:r>
        <w:t xml:space="preserve"> Geometric (GATv2Conv)</w:t>
      </w:r>
    </w:p>
    <w:p w14:paraId="1A749F62" w14:textId="77777777" w:rsidR="000618D0" w:rsidRDefault="00000000" w:rsidP="00D11B3D">
      <w:pPr>
        <w:pStyle w:val="ListParagraph"/>
        <w:numPr>
          <w:ilvl w:val="0"/>
          <w:numId w:val="1"/>
        </w:numPr>
        <w:spacing w:after="100" w:line="360" w:lineRule="auto"/>
        <w:jc w:val="both"/>
      </w:pPr>
      <w:r>
        <w:t xml:space="preserve">Code Scanning: </w:t>
      </w:r>
      <w:proofErr w:type="spellStart"/>
      <w:r>
        <w:t>Semgrep</w:t>
      </w:r>
      <w:proofErr w:type="spellEnd"/>
      <w:r>
        <w:t xml:space="preserve"> and custom analysis scripts</w:t>
      </w:r>
    </w:p>
    <w:p w14:paraId="0713257B" w14:textId="77777777" w:rsidR="000618D0" w:rsidRDefault="00000000" w:rsidP="00D11B3D">
      <w:pPr>
        <w:pStyle w:val="ListParagraph"/>
        <w:numPr>
          <w:ilvl w:val="0"/>
          <w:numId w:val="1"/>
        </w:numPr>
        <w:spacing w:after="100" w:line="360" w:lineRule="auto"/>
        <w:jc w:val="both"/>
      </w:pPr>
      <w:r>
        <w:t xml:space="preserve">Certificate/Network Scanning: </w:t>
      </w:r>
      <w:proofErr w:type="spellStart"/>
      <w:r>
        <w:t>tlsx</w:t>
      </w:r>
      <w:proofErr w:type="spellEnd"/>
      <w:r>
        <w:t xml:space="preserve">, testssl.sh, </w:t>
      </w:r>
      <w:proofErr w:type="spellStart"/>
      <w:r>
        <w:t>sslyze</w:t>
      </w:r>
      <w:proofErr w:type="spellEnd"/>
      <w:r>
        <w:t>, Certificate Transparency (CT) logs</w:t>
      </w:r>
    </w:p>
    <w:p w14:paraId="04919FFA" w14:textId="77777777" w:rsidR="000618D0" w:rsidRDefault="00000000" w:rsidP="00D11B3D">
      <w:pPr>
        <w:pStyle w:val="ListParagraph"/>
        <w:numPr>
          <w:ilvl w:val="0"/>
          <w:numId w:val="1"/>
        </w:numPr>
        <w:spacing w:after="100" w:line="360" w:lineRule="auto"/>
        <w:jc w:val="both"/>
      </w:pPr>
      <w:r>
        <w:t xml:space="preserve">Graph Storage: Neo4j or </w:t>
      </w:r>
      <w:proofErr w:type="spellStart"/>
      <w:r>
        <w:t>NetworkX</w:t>
      </w:r>
      <w:proofErr w:type="spellEnd"/>
    </w:p>
    <w:p w14:paraId="61B2E773" w14:textId="77777777" w:rsidR="000618D0" w:rsidRDefault="00000000" w:rsidP="00D11B3D">
      <w:pPr>
        <w:pStyle w:val="ListParagraph"/>
        <w:numPr>
          <w:ilvl w:val="0"/>
          <w:numId w:val="1"/>
        </w:numPr>
        <w:spacing w:after="100" w:line="360" w:lineRule="auto"/>
        <w:jc w:val="both"/>
      </w:pPr>
      <w:r>
        <w:t xml:space="preserve">Backend Framework: </w:t>
      </w:r>
      <w:proofErr w:type="spellStart"/>
      <w:r>
        <w:t>FastAPI</w:t>
      </w:r>
      <w:proofErr w:type="spellEnd"/>
    </w:p>
    <w:p w14:paraId="2766185F" w14:textId="77777777" w:rsidR="000618D0" w:rsidRDefault="00000000" w:rsidP="00D11B3D">
      <w:pPr>
        <w:pStyle w:val="ListParagraph"/>
        <w:numPr>
          <w:ilvl w:val="0"/>
          <w:numId w:val="1"/>
        </w:numPr>
        <w:spacing w:after="100" w:line="360" w:lineRule="auto"/>
        <w:jc w:val="both"/>
      </w:pPr>
      <w:r>
        <w:t>Frontend Framework: React with Tailwind CSS</w:t>
      </w:r>
    </w:p>
    <w:p w14:paraId="12C1B614" w14:textId="77777777" w:rsidR="000618D0" w:rsidRDefault="00000000" w:rsidP="00D11B3D">
      <w:pPr>
        <w:pStyle w:val="ListParagraph"/>
        <w:numPr>
          <w:ilvl w:val="0"/>
          <w:numId w:val="1"/>
        </w:numPr>
        <w:spacing w:after="100" w:line="360" w:lineRule="auto"/>
        <w:jc w:val="both"/>
      </w:pPr>
      <w:r>
        <w:t>Evaluation Tools: scikit-learn, SciPy, matplotlib</w:t>
      </w:r>
    </w:p>
    <w:p w14:paraId="2C72CE45" w14:textId="77777777" w:rsidR="000618D0" w:rsidRDefault="00000000" w:rsidP="00D11B3D">
      <w:pPr>
        <w:pStyle w:val="ListParagraph"/>
        <w:numPr>
          <w:ilvl w:val="0"/>
          <w:numId w:val="1"/>
        </w:numPr>
        <w:spacing w:after="100" w:line="360" w:lineRule="auto"/>
        <w:jc w:val="both"/>
      </w:pPr>
      <w:r>
        <w:t>Version Control: Git / GitHub</w:t>
      </w:r>
    </w:p>
    <w:p w14:paraId="4B5FFEF6" w14:textId="77777777" w:rsidR="000618D0" w:rsidRDefault="00000000" w:rsidP="00D11B3D">
      <w:pPr>
        <w:spacing w:before="300" w:after="150" w:line="360" w:lineRule="auto"/>
        <w:jc w:val="both"/>
      </w:pPr>
      <w:r>
        <w:rPr>
          <w:b/>
          <w:bCs/>
          <w:sz w:val="28"/>
          <w:szCs w:val="28"/>
        </w:rPr>
        <w:t>7. Expected Outcomes</w:t>
      </w:r>
    </w:p>
    <w:p w14:paraId="3CC511AA" w14:textId="77777777" w:rsidR="000618D0" w:rsidRDefault="00000000" w:rsidP="00D11B3D">
      <w:pPr>
        <w:pStyle w:val="ListParagraph"/>
        <w:numPr>
          <w:ilvl w:val="0"/>
          <w:numId w:val="1"/>
        </w:numPr>
        <w:spacing w:after="100" w:line="360" w:lineRule="auto"/>
        <w:jc w:val="both"/>
      </w:pPr>
      <w:r>
        <w:t>A working end-to-end prototype that scans a codebase and live infrastructure and produces a ranked, explainable PQC migration list.</w:t>
      </w:r>
    </w:p>
    <w:p w14:paraId="6F43689E" w14:textId="77777777" w:rsidR="000618D0" w:rsidRDefault="00000000" w:rsidP="00D11B3D">
      <w:pPr>
        <w:pStyle w:val="ListParagraph"/>
        <w:numPr>
          <w:ilvl w:val="0"/>
          <w:numId w:val="1"/>
        </w:numPr>
        <w:spacing w:after="100" w:line="360" w:lineRule="auto"/>
        <w:jc w:val="both"/>
      </w:pPr>
      <w:r>
        <w:t>An open, documented risk-scoring formula and a heterogeneous risk graph populated from 3–5 real open-source projects.</w:t>
      </w:r>
    </w:p>
    <w:p w14:paraId="081168A4" w14:textId="77777777" w:rsidR="000618D0" w:rsidRDefault="00000000" w:rsidP="00D11B3D">
      <w:pPr>
        <w:pStyle w:val="ListParagraph"/>
        <w:numPr>
          <w:ilvl w:val="0"/>
          <w:numId w:val="1"/>
        </w:numPr>
        <w:spacing w:after="100" w:line="360" w:lineRule="auto"/>
        <w:jc w:val="both"/>
      </w:pPr>
      <w:r>
        <w:t>A trained GATv2-based risk-propagation model with comparative evaluation against baseline scoring and ranking methods, including expert-reviewed validation of a sample of ~50–100 items.</w:t>
      </w:r>
    </w:p>
    <w:p w14:paraId="1EE81D25" w14:textId="77777777" w:rsidR="000618D0" w:rsidRDefault="00000000" w:rsidP="00D11B3D">
      <w:pPr>
        <w:pStyle w:val="ListParagraph"/>
        <w:numPr>
          <w:ilvl w:val="0"/>
          <w:numId w:val="1"/>
        </w:numPr>
        <w:spacing w:after="100" w:line="360" w:lineRule="auto"/>
        <w:jc w:val="both"/>
      </w:pPr>
      <w:r>
        <w:t>A functional web dashboard demonstrating the complete workflow from scan to prioritized migration output.</w:t>
      </w:r>
    </w:p>
    <w:p w14:paraId="49B2C572" w14:textId="77777777" w:rsidR="000618D0" w:rsidRDefault="00000000" w:rsidP="00D11B3D">
      <w:pPr>
        <w:pStyle w:val="ListParagraph"/>
        <w:numPr>
          <w:ilvl w:val="0"/>
          <w:numId w:val="1"/>
        </w:numPr>
        <w:spacing w:after="100" w:line="360" w:lineRule="auto"/>
        <w:jc w:val="both"/>
      </w:pPr>
      <w:r>
        <w:t>A draft research paper suitable for submission to a Q1 journal or security conference, documenting the graph model, risk formula, and evaluation results.</w:t>
      </w:r>
    </w:p>
    <w:p w14:paraId="6A4D784F" w14:textId="77777777" w:rsidR="000618D0" w:rsidRDefault="00000000" w:rsidP="00D11B3D">
      <w:pPr>
        <w:spacing w:before="300" w:after="150" w:line="360" w:lineRule="auto"/>
        <w:jc w:val="both"/>
      </w:pPr>
      <w:r>
        <w:rPr>
          <w:b/>
          <w:bCs/>
          <w:sz w:val="28"/>
          <w:szCs w:val="28"/>
        </w:rPr>
        <w:lastRenderedPageBreak/>
        <w:t>8. Applications</w:t>
      </w:r>
    </w:p>
    <w:p w14:paraId="390D5CFF" w14:textId="77777777" w:rsidR="000618D0" w:rsidRDefault="00000000" w:rsidP="00D11B3D">
      <w:pPr>
        <w:pStyle w:val="ListParagraph"/>
        <w:numPr>
          <w:ilvl w:val="0"/>
          <w:numId w:val="1"/>
        </w:numPr>
        <w:spacing w:after="100" w:line="360" w:lineRule="auto"/>
        <w:jc w:val="both"/>
      </w:pPr>
      <w:r>
        <w:t>Enterprise post-quantum cryptography migration planning across banking, healthcare, telecom, and government sectors.</w:t>
      </w:r>
    </w:p>
    <w:p w14:paraId="50B5647F" w14:textId="77777777" w:rsidR="000618D0" w:rsidRDefault="00000000" w:rsidP="00D11B3D">
      <w:pPr>
        <w:pStyle w:val="ListParagraph"/>
        <w:numPr>
          <w:ilvl w:val="0"/>
          <w:numId w:val="1"/>
        </w:numPr>
        <w:spacing w:after="100" w:line="360" w:lineRule="auto"/>
        <w:jc w:val="both"/>
      </w:pPr>
      <w:r>
        <w:t xml:space="preserve">Security operations </w:t>
      </w:r>
      <w:proofErr w:type="spellStart"/>
      <w:r>
        <w:t>center</w:t>
      </w:r>
      <w:proofErr w:type="spellEnd"/>
      <w:r>
        <w:t xml:space="preserve"> (SOC) and governance-risk-compliance (GRC) tooling for continuous cryptographic risk monitoring.</w:t>
      </w:r>
    </w:p>
    <w:p w14:paraId="59DD4F60" w14:textId="77777777" w:rsidR="000618D0" w:rsidRDefault="00000000" w:rsidP="00D11B3D">
      <w:pPr>
        <w:pStyle w:val="ListParagraph"/>
        <w:numPr>
          <w:ilvl w:val="0"/>
          <w:numId w:val="1"/>
        </w:numPr>
        <w:spacing w:after="100" w:line="360" w:lineRule="auto"/>
        <w:jc w:val="both"/>
      </w:pPr>
      <w:r>
        <w:t>Cybersecurity consulting engagements that require a defensible, explainable migration roadmap for clients.</w:t>
      </w:r>
    </w:p>
    <w:p w14:paraId="1A3AFDA7" w14:textId="77777777" w:rsidR="000618D0" w:rsidRDefault="00000000" w:rsidP="00D11B3D">
      <w:pPr>
        <w:pStyle w:val="ListParagraph"/>
        <w:numPr>
          <w:ilvl w:val="0"/>
          <w:numId w:val="1"/>
        </w:numPr>
        <w:spacing w:after="100" w:line="360" w:lineRule="auto"/>
        <w:jc w:val="both"/>
      </w:pPr>
      <w:r>
        <w:t>Academic and research use as an open, checkable alternative to closed vendor risk-scoring formulas.</w:t>
      </w:r>
    </w:p>
    <w:p w14:paraId="6421B919" w14:textId="77777777" w:rsidR="000618D0" w:rsidRDefault="00000000" w:rsidP="00D11B3D">
      <w:pPr>
        <w:pStyle w:val="ListParagraph"/>
        <w:numPr>
          <w:ilvl w:val="0"/>
          <w:numId w:val="1"/>
        </w:numPr>
        <w:spacing w:after="100" w:line="360" w:lineRule="auto"/>
        <w:jc w:val="both"/>
      </w:pPr>
      <w:r>
        <w:t>Supply-chain security, complementing existing Software Bill of Materials (SBOM) practices with a Cryptography Bill of Materials (CBOM)-aligned view [9].</w:t>
      </w:r>
    </w:p>
    <w:p w14:paraId="7CC6CE38" w14:textId="77777777" w:rsidR="000618D0" w:rsidRDefault="00000000" w:rsidP="00D11B3D">
      <w:pPr>
        <w:spacing w:before="300" w:after="150" w:line="360" w:lineRule="auto"/>
        <w:jc w:val="both"/>
      </w:pPr>
      <w:r>
        <w:rPr>
          <w:b/>
          <w:bCs/>
          <w:sz w:val="28"/>
          <w:szCs w:val="28"/>
        </w:rPr>
        <w:t>9. Future Scope</w:t>
      </w:r>
    </w:p>
    <w:p w14:paraId="71E227E3" w14:textId="77777777" w:rsidR="000618D0" w:rsidRDefault="00000000" w:rsidP="00D11B3D">
      <w:pPr>
        <w:pStyle w:val="ListParagraph"/>
        <w:numPr>
          <w:ilvl w:val="0"/>
          <w:numId w:val="1"/>
        </w:numPr>
        <w:spacing w:after="100" w:line="360" w:lineRule="auto"/>
        <w:jc w:val="both"/>
      </w:pPr>
      <w:r>
        <w:t>Extending code-scanning coverage to additional languages (C/C++, Rust, JavaScript) and cloud-native/</w:t>
      </w:r>
      <w:proofErr w:type="spellStart"/>
      <w:r>
        <w:t>IaC</w:t>
      </w:r>
      <w:proofErr w:type="spellEnd"/>
      <w:r>
        <w:t xml:space="preserve"> configurations.</w:t>
      </w:r>
    </w:p>
    <w:p w14:paraId="0C211EE3" w14:textId="77777777" w:rsidR="000618D0" w:rsidRDefault="00000000" w:rsidP="00D11B3D">
      <w:pPr>
        <w:pStyle w:val="ListParagraph"/>
        <w:numPr>
          <w:ilvl w:val="0"/>
          <w:numId w:val="1"/>
        </w:numPr>
        <w:spacing w:after="100" w:line="360" w:lineRule="auto"/>
        <w:jc w:val="both"/>
      </w:pPr>
      <w:r>
        <w:t>Integrating continuous, real-time monitoring with SIEM/SOAR platforms rather than point-in-time scans.</w:t>
      </w:r>
    </w:p>
    <w:p w14:paraId="6DAAA1D6" w14:textId="77777777" w:rsidR="000618D0" w:rsidRDefault="00000000" w:rsidP="00D11B3D">
      <w:pPr>
        <w:pStyle w:val="ListParagraph"/>
        <w:numPr>
          <w:ilvl w:val="0"/>
          <w:numId w:val="1"/>
        </w:numPr>
        <w:spacing w:after="100" w:line="360" w:lineRule="auto"/>
        <w:jc w:val="both"/>
      </w:pPr>
      <w:r>
        <w:t>Incorporating newly standardized PQC algorithms (such as HQC) and updated NIST guidance as they are released.</w:t>
      </w:r>
    </w:p>
    <w:p w14:paraId="460F717F" w14:textId="77777777" w:rsidR="000618D0" w:rsidRDefault="00000000" w:rsidP="00D11B3D">
      <w:pPr>
        <w:pStyle w:val="ListParagraph"/>
        <w:numPr>
          <w:ilvl w:val="0"/>
          <w:numId w:val="1"/>
        </w:numPr>
        <w:spacing w:after="100" w:line="360" w:lineRule="auto"/>
        <w:jc w:val="both"/>
      </w:pPr>
      <w:r>
        <w:t>Simulating and comparing multiple migration-order strategies at organizational scale, including budget and staffing constraints.</w:t>
      </w:r>
    </w:p>
    <w:p w14:paraId="5981FE8F" w14:textId="77777777" w:rsidR="000618D0" w:rsidRDefault="00000000" w:rsidP="00D11B3D">
      <w:pPr>
        <w:pStyle w:val="ListParagraph"/>
        <w:numPr>
          <w:ilvl w:val="0"/>
          <w:numId w:val="1"/>
        </w:numPr>
        <w:spacing w:after="100" w:line="360" w:lineRule="auto"/>
        <w:jc w:val="both"/>
      </w:pPr>
      <w:r>
        <w:t>Piloting the system with an industry partner to validate the risk-scoring formula against real production incident data.</w:t>
      </w:r>
    </w:p>
    <w:p w14:paraId="6B0FA397" w14:textId="77777777" w:rsidR="000618D0" w:rsidRDefault="00000000" w:rsidP="00D11B3D">
      <w:pPr>
        <w:spacing w:before="300" w:after="150" w:line="360" w:lineRule="auto"/>
        <w:jc w:val="both"/>
      </w:pPr>
      <w:r>
        <w:rPr>
          <w:b/>
          <w:bCs/>
          <w:sz w:val="28"/>
          <w:szCs w:val="28"/>
        </w:rPr>
        <w:t>10. Project Timeline</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402"/>
        <w:gridCol w:w="2805"/>
        <w:gridCol w:w="5143"/>
      </w:tblGrid>
      <w:tr w:rsidR="000618D0" w14:paraId="4F6E90E1" w14:textId="77777777">
        <w:trPr>
          <w:tblHeader/>
        </w:trPr>
        <w:tc>
          <w:tcPr>
            <w:tcW w:w="750" w:type="pct"/>
            <w:shd w:val="clear" w:color="auto" w:fill="D9D9D9"/>
            <w:tcMar>
              <w:top w:w="100" w:type="dxa"/>
              <w:left w:w="120" w:type="dxa"/>
              <w:bottom w:w="100" w:type="dxa"/>
              <w:right w:w="120" w:type="dxa"/>
            </w:tcMar>
          </w:tcPr>
          <w:p w14:paraId="5203CA6C" w14:textId="77777777" w:rsidR="000618D0" w:rsidRDefault="00000000" w:rsidP="00D11B3D">
            <w:pPr>
              <w:jc w:val="both"/>
            </w:pPr>
            <w:r>
              <w:rPr>
                <w:b/>
                <w:bCs/>
              </w:rPr>
              <w:t>Month</w:t>
            </w:r>
          </w:p>
        </w:tc>
        <w:tc>
          <w:tcPr>
            <w:tcW w:w="1500" w:type="pct"/>
            <w:shd w:val="clear" w:color="auto" w:fill="D9D9D9"/>
            <w:tcMar>
              <w:top w:w="100" w:type="dxa"/>
              <w:left w:w="120" w:type="dxa"/>
              <w:bottom w:w="100" w:type="dxa"/>
              <w:right w:w="120" w:type="dxa"/>
            </w:tcMar>
          </w:tcPr>
          <w:p w14:paraId="767960BB" w14:textId="77777777" w:rsidR="000618D0" w:rsidRDefault="00000000" w:rsidP="00D11B3D">
            <w:pPr>
              <w:jc w:val="both"/>
            </w:pPr>
            <w:r>
              <w:rPr>
                <w:b/>
                <w:bCs/>
              </w:rPr>
              <w:t>Phase</w:t>
            </w:r>
          </w:p>
        </w:tc>
        <w:tc>
          <w:tcPr>
            <w:tcW w:w="2750" w:type="pct"/>
            <w:shd w:val="clear" w:color="auto" w:fill="D9D9D9"/>
            <w:tcMar>
              <w:top w:w="100" w:type="dxa"/>
              <w:left w:w="120" w:type="dxa"/>
              <w:bottom w:w="100" w:type="dxa"/>
              <w:right w:w="120" w:type="dxa"/>
            </w:tcMar>
          </w:tcPr>
          <w:p w14:paraId="2980DB6C" w14:textId="77777777" w:rsidR="000618D0" w:rsidRDefault="00000000" w:rsidP="00D11B3D">
            <w:pPr>
              <w:jc w:val="both"/>
            </w:pPr>
            <w:r>
              <w:rPr>
                <w:b/>
                <w:bCs/>
              </w:rPr>
              <w:t>Deliverable</w:t>
            </w:r>
          </w:p>
        </w:tc>
      </w:tr>
      <w:tr w:rsidR="000618D0" w14:paraId="505D57C9" w14:textId="77777777">
        <w:tc>
          <w:tcPr>
            <w:tcW w:w="750" w:type="pct"/>
            <w:tcMar>
              <w:top w:w="100" w:type="dxa"/>
              <w:left w:w="120" w:type="dxa"/>
              <w:bottom w:w="100" w:type="dxa"/>
              <w:right w:w="120" w:type="dxa"/>
            </w:tcMar>
          </w:tcPr>
          <w:p w14:paraId="5FB8EEFD" w14:textId="77777777" w:rsidR="000618D0" w:rsidRDefault="00000000" w:rsidP="00D11B3D">
            <w:pPr>
              <w:jc w:val="both"/>
            </w:pPr>
            <w:r>
              <w:t>Month 1</w:t>
            </w:r>
          </w:p>
        </w:tc>
        <w:tc>
          <w:tcPr>
            <w:tcW w:w="1500" w:type="pct"/>
            <w:tcMar>
              <w:top w:w="100" w:type="dxa"/>
              <w:left w:w="120" w:type="dxa"/>
              <w:bottom w:w="100" w:type="dxa"/>
              <w:right w:w="120" w:type="dxa"/>
            </w:tcMar>
          </w:tcPr>
          <w:p w14:paraId="54B5454A" w14:textId="77777777" w:rsidR="000618D0" w:rsidRDefault="00000000" w:rsidP="00D11B3D">
            <w:pPr>
              <w:jc w:val="both"/>
            </w:pPr>
            <w:r>
              <w:t>Planning + Design</w:t>
            </w:r>
          </w:p>
        </w:tc>
        <w:tc>
          <w:tcPr>
            <w:tcW w:w="2750" w:type="pct"/>
            <w:tcMar>
              <w:top w:w="100" w:type="dxa"/>
              <w:left w:w="120" w:type="dxa"/>
              <w:bottom w:w="100" w:type="dxa"/>
              <w:right w:w="120" w:type="dxa"/>
            </w:tcMar>
          </w:tcPr>
          <w:p w14:paraId="492FF881" w14:textId="77777777" w:rsidR="000618D0" w:rsidRDefault="00000000" w:rsidP="00D11B3D">
            <w:pPr>
              <w:jc w:val="both"/>
            </w:pPr>
            <w:r>
              <w:t>Graph layout finalized; risk-scoring formula agreed with advisor</w:t>
            </w:r>
          </w:p>
        </w:tc>
      </w:tr>
      <w:tr w:rsidR="000618D0" w14:paraId="3BAD43C8" w14:textId="77777777">
        <w:tc>
          <w:tcPr>
            <w:tcW w:w="750" w:type="pct"/>
            <w:tcMar>
              <w:top w:w="100" w:type="dxa"/>
              <w:left w:w="120" w:type="dxa"/>
              <w:bottom w:w="100" w:type="dxa"/>
              <w:right w:w="120" w:type="dxa"/>
            </w:tcMar>
          </w:tcPr>
          <w:p w14:paraId="27FD9B94" w14:textId="77777777" w:rsidR="000618D0" w:rsidRDefault="00000000" w:rsidP="00D11B3D">
            <w:pPr>
              <w:jc w:val="both"/>
            </w:pPr>
            <w:r>
              <w:lastRenderedPageBreak/>
              <w:t>Month 2</w:t>
            </w:r>
          </w:p>
        </w:tc>
        <w:tc>
          <w:tcPr>
            <w:tcW w:w="1500" w:type="pct"/>
            <w:tcMar>
              <w:top w:w="100" w:type="dxa"/>
              <w:left w:w="120" w:type="dxa"/>
              <w:bottom w:w="100" w:type="dxa"/>
              <w:right w:w="120" w:type="dxa"/>
            </w:tcMar>
          </w:tcPr>
          <w:p w14:paraId="47464346" w14:textId="77777777" w:rsidR="000618D0" w:rsidRDefault="00000000" w:rsidP="00D11B3D">
            <w:pPr>
              <w:jc w:val="both"/>
            </w:pPr>
            <w:r>
              <w:t>Building the Scanners</w:t>
            </w:r>
          </w:p>
        </w:tc>
        <w:tc>
          <w:tcPr>
            <w:tcW w:w="2750" w:type="pct"/>
            <w:tcMar>
              <w:top w:w="100" w:type="dxa"/>
              <w:left w:w="120" w:type="dxa"/>
              <w:bottom w:w="100" w:type="dxa"/>
              <w:right w:w="120" w:type="dxa"/>
            </w:tcMar>
          </w:tcPr>
          <w:p w14:paraId="6D8FAB58" w14:textId="77777777" w:rsidR="000618D0" w:rsidRDefault="00000000" w:rsidP="00D11B3D">
            <w:pPr>
              <w:jc w:val="both"/>
            </w:pPr>
            <w:r>
              <w:t>Code, certificate, and dependency scanners built; graph populated from 3–5 real projects</w:t>
            </w:r>
          </w:p>
        </w:tc>
      </w:tr>
      <w:tr w:rsidR="000618D0" w14:paraId="42F9213D" w14:textId="77777777">
        <w:tc>
          <w:tcPr>
            <w:tcW w:w="750" w:type="pct"/>
            <w:tcMar>
              <w:top w:w="100" w:type="dxa"/>
              <w:left w:w="120" w:type="dxa"/>
              <w:bottom w:w="100" w:type="dxa"/>
              <w:right w:w="120" w:type="dxa"/>
            </w:tcMar>
          </w:tcPr>
          <w:p w14:paraId="010E3065" w14:textId="77777777" w:rsidR="000618D0" w:rsidRDefault="00000000" w:rsidP="00D11B3D">
            <w:pPr>
              <w:jc w:val="both"/>
            </w:pPr>
            <w:r>
              <w:t>Month 3</w:t>
            </w:r>
          </w:p>
        </w:tc>
        <w:tc>
          <w:tcPr>
            <w:tcW w:w="1500" w:type="pct"/>
            <w:tcMar>
              <w:top w:w="100" w:type="dxa"/>
              <w:left w:w="120" w:type="dxa"/>
              <w:bottom w:w="100" w:type="dxa"/>
              <w:right w:w="120" w:type="dxa"/>
            </w:tcMar>
          </w:tcPr>
          <w:p w14:paraId="186332EA" w14:textId="77777777" w:rsidR="000618D0" w:rsidRDefault="00000000" w:rsidP="00D11B3D">
            <w:pPr>
              <w:jc w:val="both"/>
            </w:pPr>
            <w:r>
              <w:t>Training the AI Model</w:t>
            </w:r>
          </w:p>
        </w:tc>
        <w:tc>
          <w:tcPr>
            <w:tcW w:w="2750" w:type="pct"/>
            <w:tcMar>
              <w:top w:w="100" w:type="dxa"/>
              <w:left w:w="120" w:type="dxa"/>
              <w:bottom w:w="100" w:type="dxa"/>
              <w:right w:w="120" w:type="dxa"/>
            </w:tcMar>
          </w:tcPr>
          <w:p w14:paraId="30A4F288" w14:textId="77777777" w:rsidR="000618D0" w:rsidRDefault="00000000" w:rsidP="00D11B3D">
            <w:pPr>
              <w:jc w:val="both"/>
            </w:pPr>
            <w:r>
              <w:t>GATv2 model trained; baseline comparison methods built alongside it</w:t>
            </w:r>
          </w:p>
        </w:tc>
      </w:tr>
      <w:tr w:rsidR="000618D0" w14:paraId="0F9E42D7" w14:textId="77777777">
        <w:tc>
          <w:tcPr>
            <w:tcW w:w="750" w:type="pct"/>
            <w:tcMar>
              <w:top w:w="100" w:type="dxa"/>
              <w:left w:w="120" w:type="dxa"/>
              <w:bottom w:w="100" w:type="dxa"/>
              <w:right w:w="120" w:type="dxa"/>
            </w:tcMar>
          </w:tcPr>
          <w:p w14:paraId="6A7CEA7A" w14:textId="77777777" w:rsidR="000618D0" w:rsidRDefault="00000000" w:rsidP="00D11B3D">
            <w:pPr>
              <w:jc w:val="both"/>
            </w:pPr>
            <w:r>
              <w:t>Month 4</w:t>
            </w:r>
          </w:p>
        </w:tc>
        <w:tc>
          <w:tcPr>
            <w:tcW w:w="1500" w:type="pct"/>
            <w:tcMar>
              <w:top w:w="100" w:type="dxa"/>
              <w:left w:w="120" w:type="dxa"/>
              <w:bottom w:w="100" w:type="dxa"/>
              <w:right w:w="120" w:type="dxa"/>
            </w:tcMar>
          </w:tcPr>
          <w:p w14:paraId="553C2D3A" w14:textId="77777777" w:rsidR="000618D0" w:rsidRDefault="00000000" w:rsidP="00D11B3D">
            <w:pPr>
              <w:jc w:val="both"/>
            </w:pPr>
            <w:r>
              <w:t>Testing + Validation</w:t>
            </w:r>
          </w:p>
        </w:tc>
        <w:tc>
          <w:tcPr>
            <w:tcW w:w="2750" w:type="pct"/>
            <w:tcMar>
              <w:top w:w="100" w:type="dxa"/>
              <w:left w:w="120" w:type="dxa"/>
              <w:bottom w:w="100" w:type="dxa"/>
              <w:right w:w="120" w:type="dxa"/>
            </w:tcMar>
          </w:tcPr>
          <w:p w14:paraId="009FDAEC" w14:textId="77777777" w:rsidR="000618D0" w:rsidRDefault="00000000" w:rsidP="00D11B3D">
            <w:pPr>
              <w:jc w:val="both"/>
            </w:pPr>
            <w:r>
              <w:t>Expert-reviewed sample collected; results compared against simpler methods</w:t>
            </w:r>
          </w:p>
        </w:tc>
      </w:tr>
      <w:tr w:rsidR="000618D0" w14:paraId="1D66C15F" w14:textId="77777777">
        <w:tc>
          <w:tcPr>
            <w:tcW w:w="750" w:type="pct"/>
            <w:tcMar>
              <w:top w:w="100" w:type="dxa"/>
              <w:left w:w="120" w:type="dxa"/>
              <w:bottom w:w="100" w:type="dxa"/>
              <w:right w:w="120" w:type="dxa"/>
            </w:tcMar>
          </w:tcPr>
          <w:p w14:paraId="4576E0F0" w14:textId="77777777" w:rsidR="000618D0" w:rsidRDefault="00000000" w:rsidP="00D11B3D">
            <w:pPr>
              <w:jc w:val="both"/>
            </w:pPr>
            <w:r>
              <w:t>Month 5</w:t>
            </w:r>
          </w:p>
        </w:tc>
        <w:tc>
          <w:tcPr>
            <w:tcW w:w="1500" w:type="pct"/>
            <w:tcMar>
              <w:top w:w="100" w:type="dxa"/>
              <w:left w:w="120" w:type="dxa"/>
              <w:bottom w:w="100" w:type="dxa"/>
              <w:right w:w="120" w:type="dxa"/>
            </w:tcMar>
          </w:tcPr>
          <w:p w14:paraId="7CA02A51" w14:textId="77777777" w:rsidR="000618D0" w:rsidRDefault="00000000" w:rsidP="00D11B3D">
            <w:pPr>
              <w:jc w:val="both"/>
            </w:pPr>
            <w:r>
              <w:t>Dashboard</w:t>
            </w:r>
          </w:p>
        </w:tc>
        <w:tc>
          <w:tcPr>
            <w:tcW w:w="2750" w:type="pct"/>
            <w:tcMar>
              <w:top w:w="100" w:type="dxa"/>
              <w:left w:w="120" w:type="dxa"/>
              <w:bottom w:w="100" w:type="dxa"/>
              <w:right w:w="120" w:type="dxa"/>
            </w:tcMar>
          </w:tcPr>
          <w:p w14:paraId="278466C1" w14:textId="77777777" w:rsidR="000618D0" w:rsidRDefault="00000000" w:rsidP="00D11B3D">
            <w:pPr>
              <w:jc w:val="both"/>
            </w:pPr>
            <w:r>
              <w:t>Web dashboard built showing the ranked migration list with explanations</w:t>
            </w:r>
          </w:p>
        </w:tc>
      </w:tr>
      <w:tr w:rsidR="000618D0" w14:paraId="6D3DE163" w14:textId="77777777">
        <w:tc>
          <w:tcPr>
            <w:tcW w:w="750" w:type="pct"/>
            <w:tcMar>
              <w:top w:w="100" w:type="dxa"/>
              <w:left w:w="120" w:type="dxa"/>
              <w:bottom w:w="100" w:type="dxa"/>
              <w:right w:w="120" w:type="dxa"/>
            </w:tcMar>
          </w:tcPr>
          <w:p w14:paraId="0A152964" w14:textId="77777777" w:rsidR="000618D0" w:rsidRDefault="00000000" w:rsidP="00D11B3D">
            <w:pPr>
              <w:jc w:val="both"/>
            </w:pPr>
            <w:r>
              <w:t>Month 6</w:t>
            </w:r>
          </w:p>
        </w:tc>
        <w:tc>
          <w:tcPr>
            <w:tcW w:w="1500" w:type="pct"/>
            <w:tcMar>
              <w:top w:w="100" w:type="dxa"/>
              <w:left w:w="120" w:type="dxa"/>
              <w:bottom w:w="100" w:type="dxa"/>
              <w:right w:w="120" w:type="dxa"/>
            </w:tcMar>
          </w:tcPr>
          <w:p w14:paraId="68E18691" w14:textId="77777777" w:rsidR="000618D0" w:rsidRDefault="00000000" w:rsidP="00D11B3D">
            <w:pPr>
              <w:jc w:val="both"/>
            </w:pPr>
            <w:r>
              <w:t>Writeup</w:t>
            </w:r>
          </w:p>
        </w:tc>
        <w:tc>
          <w:tcPr>
            <w:tcW w:w="2750" w:type="pct"/>
            <w:tcMar>
              <w:top w:w="100" w:type="dxa"/>
              <w:left w:w="120" w:type="dxa"/>
              <w:bottom w:w="100" w:type="dxa"/>
              <w:right w:w="120" w:type="dxa"/>
            </w:tcMar>
          </w:tcPr>
          <w:p w14:paraId="2EF44D15" w14:textId="77777777" w:rsidR="000618D0" w:rsidRDefault="00000000" w:rsidP="00D11B3D">
            <w:pPr>
              <w:jc w:val="both"/>
            </w:pPr>
            <w:r>
              <w:t>Final results, examples, and report/paper draft completed</w:t>
            </w:r>
          </w:p>
        </w:tc>
      </w:tr>
    </w:tbl>
    <w:p w14:paraId="79FC8D18" w14:textId="77777777" w:rsidR="000618D0" w:rsidRDefault="000618D0" w:rsidP="00D11B3D">
      <w:pPr>
        <w:spacing w:after="200"/>
        <w:jc w:val="both"/>
      </w:pPr>
    </w:p>
    <w:p w14:paraId="68BDD4EB" w14:textId="77777777" w:rsidR="000618D0" w:rsidRDefault="00000000" w:rsidP="00D11B3D">
      <w:pPr>
        <w:spacing w:before="300" w:after="150" w:line="360" w:lineRule="auto"/>
        <w:jc w:val="both"/>
      </w:pPr>
      <w:r>
        <w:rPr>
          <w:b/>
          <w:bCs/>
          <w:sz w:val="28"/>
          <w:szCs w:val="28"/>
        </w:rPr>
        <w:t>11. References</w:t>
      </w:r>
    </w:p>
    <w:p w14:paraId="559E174F" w14:textId="77777777" w:rsidR="000618D0" w:rsidRDefault="00000000" w:rsidP="00D11B3D">
      <w:pPr>
        <w:spacing w:after="120" w:line="360" w:lineRule="auto"/>
        <w:ind w:left="400" w:hanging="400"/>
        <w:jc w:val="both"/>
      </w:pPr>
      <w:r>
        <w:t>[1] NIST, "Module-Lattice-Based Key-Encapsulation Mechanism Standard," Federal Information Processing Standards Publication FIPS 203, National Institute of Standards and Technology, Gaithersburg, MD, USA, Aug. 2024.</w:t>
      </w:r>
    </w:p>
    <w:p w14:paraId="2CF106AB" w14:textId="77777777" w:rsidR="000618D0" w:rsidRDefault="00000000" w:rsidP="00D11B3D">
      <w:pPr>
        <w:spacing w:after="120" w:line="360" w:lineRule="auto"/>
        <w:ind w:left="400" w:hanging="400"/>
        <w:jc w:val="both"/>
      </w:pPr>
      <w:r>
        <w:t>[2] NIST, "Module-Lattice-Based Digital Signature Standard," Federal Information Processing Standards Publication FIPS 204, National Institute of Standards and Technology, Gaithersburg, MD, USA, Aug. 2024.</w:t>
      </w:r>
    </w:p>
    <w:p w14:paraId="3599A736" w14:textId="77777777" w:rsidR="000618D0" w:rsidRDefault="00000000" w:rsidP="00D11B3D">
      <w:pPr>
        <w:spacing w:after="120" w:line="360" w:lineRule="auto"/>
        <w:ind w:left="400" w:hanging="400"/>
        <w:jc w:val="both"/>
      </w:pPr>
      <w:r>
        <w:t>[3] NIST, "Stateless Hash-Based Digital Signature Standard," Federal Information Processing Standards Publication FIPS 205, National Institute of Standards and Technology, Gaithersburg, MD, USA, Aug. 2024.</w:t>
      </w:r>
    </w:p>
    <w:p w14:paraId="3AD74CDD" w14:textId="77777777" w:rsidR="00557D90" w:rsidRDefault="00557D90" w:rsidP="00D11B3D">
      <w:pPr>
        <w:spacing w:after="120" w:line="360" w:lineRule="auto"/>
        <w:ind w:left="400" w:hanging="400"/>
        <w:jc w:val="both"/>
      </w:pPr>
      <w:r w:rsidRPr="00557D90">
        <w:t xml:space="preserve">[4] K. F. Hasan, L. Simpson, M. A. R. </w:t>
      </w:r>
      <w:proofErr w:type="spellStart"/>
      <w:r w:rsidRPr="00557D90">
        <w:t>Baee</w:t>
      </w:r>
      <w:proofErr w:type="spellEnd"/>
      <w:r w:rsidRPr="00557D90">
        <w:t xml:space="preserve">, C. Islam, Z. Rahman, W. Armstrong, P. </w:t>
      </w:r>
      <w:proofErr w:type="spellStart"/>
      <w:r w:rsidRPr="00557D90">
        <w:t>Gauravaram</w:t>
      </w:r>
      <w:proofErr w:type="spellEnd"/>
      <w:r w:rsidRPr="00557D90">
        <w:t xml:space="preserve">, and M. McKague, "A framework for migrating to post-quantum cryptography: Security dependency analysis and case studies," </w:t>
      </w:r>
      <w:r w:rsidRPr="00557D90">
        <w:rPr>
          <w:i/>
          <w:iCs/>
        </w:rPr>
        <w:t>IEEE Access</w:t>
      </w:r>
      <w:r w:rsidRPr="00557D90">
        <w:t xml:space="preserve">, vol. 12, pp. 23427–23450, 2024, </w:t>
      </w:r>
      <w:proofErr w:type="spellStart"/>
      <w:r w:rsidRPr="00557D90">
        <w:t>doi</w:t>
      </w:r>
      <w:proofErr w:type="spellEnd"/>
      <w:r w:rsidRPr="00557D90">
        <w:t xml:space="preserve">: 10.1109/ACCESS.2024.3360412. </w:t>
      </w:r>
    </w:p>
    <w:p w14:paraId="2C43E81E" w14:textId="3688D81B" w:rsidR="000618D0" w:rsidRDefault="00000000" w:rsidP="00D11B3D">
      <w:pPr>
        <w:spacing w:after="120" w:line="360" w:lineRule="auto"/>
        <w:ind w:left="400" w:hanging="400"/>
        <w:jc w:val="both"/>
      </w:pPr>
      <w:r>
        <w:t xml:space="preserve">[5] N. </w:t>
      </w:r>
      <w:proofErr w:type="spellStart"/>
      <w:r>
        <w:t>Alnahawi</w:t>
      </w:r>
      <w:proofErr w:type="spellEnd"/>
      <w:r>
        <w:t xml:space="preserve">, N. Schmitt, A. </w:t>
      </w:r>
      <w:proofErr w:type="spellStart"/>
      <w:r>
        <w:t>Wiesmaier</w:t>
      </w:r>
      <w:proofErr w:type="spellEnd"/>
      <w:r>
        <w:t xml:space="preserve">, and A. Heinemann, "On the state of crypto-agility," Cryptology </w:t>
      </w:r>
      <w:proofErr w:type="spellStart"/>
      <w:r>
        <w:t>ePrint</w:t>
      </w:r>
      <w:proofErr w:type="spellEnd"/>
      <w:r>
        <w:t xml:space="preserve"> Archive, 2023.</w:t>
      </w:r>
    </w:p>
    <w:p w14:paraId="442C9161" w14:textId="77777777" w:rsidR="000618D0" w:rsidRDefault="00000000" w:rsidP="00D11B3D">
      <w:pPr>
        <w:spacing w:after="120" w:line="360" w:lineRule="auto"/>
        <w:ind w:left="400" w:hanging="400"/>
        <w:jc w:val="both"/>
      </w:pPr>
      <w:r>
        <w:lastRenderedPageBreak/>
        <w:t xml:space="preserve">[6] C. </w:t>
      </w:r>
      <w:proofErr w:type="spellStart"/>
      <w:r>
        <w:t>Näther</w:t>
      </w:r>
      <w:proofErr w:type="spellEnd"/>
      <w:r>
        <w:t xml:space="preserve">, D. Herzinger, S.-L. Gazdag, J.-P. Steghöfer, S. Daum, and D. Loebenberger, "Migrating software systems towards post-quantum cryptography — a systematic literature review," </w:t>
      </w:r>
      <w:proofErr w:type="spellStart"/>
      <w:r>
        <w:t>arXiv</w:t>
      </w:r>
      <w:proofErr w:type="spellEnd"/>
      <w:r>
        <w:t xml:space="preserve"> preprint arXiv:2404.12854, 2024.</w:t>
      </w:r>
    </w:p>
    <w:p w14:paraId="7CD1FED7" w14:textId="77777777" w:rsidR="000618D0" w:rsidRDefault="00000000" w:rsidP="00D11B3D">
      <w:pPr>
        <w:spacing w:after="120" w:line="360" w:lineRule="auto"/>
        <w:ind w:left="400" w:hanging="400"/>
        <w:jc w:val="both"/>
      </w:pPr>
      <w:r>
        <w:t xml:space="preserve">[7] S. Brody, U. Alon, and E. Yahav, "How attentive are graph attention </w:t>
      </w:r>
      <w:proofErr w:type="gramStart"/>
      <w:r>
        <w:t>networks?,</w:t>
      </w:r>
      <w:proofErr w:type="gramEnd"/>
      <w:r>
        <w:t>" in Proc. Int. Conf. Learning Representations (ICLR), 2022.</w:t>
      </w:r>
    </w:p>
    <w:p w14:paraId="1F2A7EAF" w14:textId="77777777" w:rsidR="000618D0" w:rsidRDefault="00000000" w:rsidP="00D11B3D">
      <w:pPr>
        <w:spacing w:after="120" w:line="360" w:lineRule="auto"/>
        <w:ind w:left="400" w:hanging="400"/>
        <w:jc w:val="both"/>
      </w:pPr>
      <w:r>
        <w:t>[8] S. Motie and B. Raahemi, "Financial fraud detection using graph neural networks: A systematic review," Applied Soft Computing, vol. 149, p. 110984, 2023.</w:t>
      </w:r>
    </w:p>
    <w:p w14:paraId="3C4ACDBA" w14:textId="77777777" w:rsidR="000618D0" w:rsidRDefault="00000000" w:rsidP="00D11B3D">
      <w:pPr>
        <w:spacing w:after="120" w:line="360" w:lineRule="auto"/>
        <w:ind w:left="400" w:hanging="400"/>
        <w:jc w:val="both"/>
      </w:pPr>
      <w:r>
        <w:t xml:space="preserve">[9] OWASP Foundation, "Authoritative Guide to Cryptography Bill of Materials (CBOM)," </w:t>
      </w:r>
      <w:proofErr w:type="spellStart"/>
      <w:r>
        <w:t>CycloneDX</w:t>
      </w:r>
      <w:proofErr w:type="spellEnd"/>
      <w:r>
        <w:t xml:space="preserve"> Project, 2024.</w:t>
      </w:r>
    </w:p>
    <w:p w14:paraId="1CC31D5B" w14:textId="77777777" w:rsidR="000618D0" w:rsidRDefault="00000000" w:rsidP="00D11B3D">
      <w:pPr>
        <w:spacing w:after="120" w:line="360" w:lineRule="auto"/>
        <w:ind w:left="400" w:hanging="400"/>
        <w:jc w:val="both"/>
      </w:pPr>
      <w:r>
        <w:t xml:space="preserve">[10] "Quantum-Safe Code Auditing: LLM-Assisted Static Analysis and Quantum-Aware Risk Scoring for Post-Quantum Cryptography Migration," </w:t>
      </w:r>
      <w:proofErr w:type="spellStart"/>
      <w:r>
        <w:t>arXiv</w:t>
      </w:r>
      <w:proofErr w:type="spellEnd"/>
      <w:r>
        <w:t xml:space="preserve"> preprint arXiv:2604.00560, 2026.</w:t>
      </w:r>
    </w:p>
    <w:sectPr w:rsidR="000618D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EC7B1B"/>
    <w:multiLevelType w:val="hybridMultilevel"/>
    <w:tmpl w:val="5BC87924"/>
    <w:lvl w:ilvl="0" w:tplc="F1CCD1FA">
      <w:start w:val="1"/>
      <w:numFmt w:val="bullet"/>
      <w:lvlText w:val="●"/>
      <w:lvlJc w:val="left"/>
      <w:pPr>
        <w:ind w:left="720" w:hanging="360"/>
      </w:pPr>
    </w:lvl>
    <w:lvl w:ilvl="1" w:tplc="162C12E2">
      <w:start w:val="1"/>
      <w:numFmt w:val="bullet"/>
      <w:lvlText w:val="○"/>
      <w:lvlJc w:val="left"/>
      <w:pPr>
        <w:ind w:left="1440" w:hanging="360"/>
      </w:pPr>
    </w:lvl>
    <w:lvl w:ilvl="2" w:tplc="C7AEE790">
      <w:start w:val="1"/>
      <w:numFmt w:val="bullet"/>
      <w:lvlText w:val="■"/>
      <w:lvlJc w:val="left"/>
      <w:pPr>
        <w:ind w:left="2160" w:hanging="360"/>
      </w:pPr>
    </w:lvl>
    <w:lvl w:ilvl="3" w:tplc="FCD2CE18">
      <w:start w:val="1"/>
      <w:numFmt w:val="bullet"/>
      <w:lvlText w:val="●"/>
      <w:lvlJc w:val="left"/>
      <w:pPr>
        <w:ind w:left="2880" w:hanging="360"/>
      </w:pPr>
    </w:lvl>
    <w:lvl w:ilvl="4" w:tplc="ED2E85BC">
      <w:start w:val="1"/>
      <w:numFmt w:val="bullet"/>
      <w:lvlText w:val="○"/>
      <w:lvlJc w:val="left"/>
      <w:pPr>
        <w:ind w:left="3600" w:hanging="360"/>
      </w:pPr>
    </w:lvl>
    <w:lvl w:ilvl="5" w:tplc="F4B431FE">
      <w:start w:val="1"/>
      <w:numFmt w:val="bullet"/>
      <w:lvlText w:val="■"/>
      <w:lvlJc w:val="left"/>
      <w:pPr>
        <w:ind w:left="4320" w:hanging="360"/>
      </w:pPr>
    </w:lvl>
    <w:lvl w:ilvl="6" w:tplc="57D04DF2">
      <w:start w:val="1"/>
      <w:numFmt w:val="bullet"/>
      <w:lvlText w:val="●"/>
      <w:lvlJc w:val="left"/>
      <w:pPr>
        <w:ind w:left="5040" w:hanging="360"/>
      </w:pPr>
    </w:lvl>
    <w:lvl w:ilvl="7" w:tplc="9E62BF4E">
      <w:start w:val="1"/>
      <w:numFmt w:val="bullet"/>
      <w:lvlText w:val="●"/>
      <w:lvlJc w:val="left"/>
      <w:pPr>
        <w:ind w:left="5760" w:hanging="360"/>
      </w:pPr>
    </w:lvl>
    <w:lvl w:ilvl="8" w:tplc="AA46AF94">
      <w:start w:val="1"/>
      <w:numFmt w:val="bullet"/>
      <w:lvlText w:val="●"/>
      <w:lvlJc w:val="left"/>
      <w:pPr>
        <w:ind w:left="6480" w:hanging="360"/>
      </w:pPr>
    </w:lvl>
  </w:abstractNum>
  <w:num w:numId="1" w16cid:durableId="11254629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8D0"/>
    <w:rsid w:val="000618D0"/>
    <w:rsid w:val="00390710"/>
    <w:rsid w:val="003B5A58"/>
    <w:rsid w:val="00557D90"/>
    <w:rsid w:val="00597D13"/>
    <w:rsid w:val="00B0146F"/>
    <w:rsid w:val="00CC330D"/>
    <w:rsid w:val="00D11B3D"/>
    <w:rsid w:val="00EB7C0E"/>
    <w:rsid w:val="00F119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C4EBC"/>
  <w15:docId w15:val="{07EDD46D-0DE0-487B-B957-C972354D9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642</TotalTime>
  <Pages>1</Pages>
  <Words>2137</Words>
  <Characters>12185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SPOORTHI YADAV</cp:lastModifiedBy>
  <cp:revision>6</cp:revision>
  <cp:lastPrinted>2026-07-15T16:12:00Z</cp:lastPrinted>
  <dcterms:created xsi:type="dcterms:W3CDTF">2026-07-14T14:26:00Z</dcterms:created>
  <dcterms:modified xsi:type="dcterms:W3CDTF">2026-07-20T16:07:00Z</dcterms:modified>
</cp:coreProperties>
</file>