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Times New Roman" w:hAnsi="Times New Roman"/>
          <w:b/>
          <w:color w:val="111827"/>
          <w:sz w:val="40"/>
        </w:rPr>
        <w:t>AgileGraph: Graph Representation Learning and Cryptographic Agility Prioritization for Post-Quantum Migration in Enterprise Software Architectures</w:t>
      </w:r>
    </w:p>
    <w:p>
      <w:pPr>
        <w:spacing w:before="0" w:after="40"/>
        <w:jc w:val="center"/>
      </w:pPr>
      <w:r>
        <w:rPr>
          <w:rFonts w:ascii="Times New Roman" w:hAnsi="Times New Roman"/>
          <w:b/>
          <w:sz w:val="22"/>
        </w:rPr>
        <w:t xml:space="preserve">Spoorthi P. </w:t>
      </w:r>
      <w:r>
        <w:rPr>
          <w:rFonts w:ascii="Times New Roman" w:hAnsi="Times New Roman"/>
          <w:sz w:val="22"/>
        </w:rPr>
        <w:t xml:space="preserve">and </w:t>
      </w:r>
      <w:r>
        <w:rPr>
          <w:rFonts w:ascii="Times New Roman" w:hAnsi="Times New Roman"/>
          <w:b/>
          <w:sz w:val="22"/>
        </w:rPr>
        <w:t>Project Research Team</w:t>
        <w:br/>
      </w:r>
    </w:p>
    <w:p>
      <w:pPr>
        <w:spacing w:before="0" w:after="280"/>
        <w:jc w:val="center"/>
      </w:pPr>
      <w:r>
        <w:rPr>
          <w:rFonts w:ascii="Times New Roman" w:hAnsi="Times New Roman"/>
          <w:i/>
          <w:color w:val="333333"/>
          <w:sz w:val="19"/>
        </w:rPr>
        <w:t>Department of Computer Science &amp; Engineering</w:t>
        <w:br/>
        <w:t>NMAM Institute of Technology, Nitte (Deemed to be University), Nitte, Karnataka, India</w:t>
        <w:br/>
        <w:t>Email: spoorthi@example.com, research.cse@nmamit.in</w:t>
      </w:r>
    </w:p>
    <w:p>
      <w:pPr>
        <w:spacing w:before="80" w:after="120" w:line="276" w:lineRule="auto"/>
        <w:ind w:left="360" w:right="360"/>
        <w:jc w:val="both"/>
      </w:pPr>
      <w:r>
        <w:rPr>
          <w:rFonts w:ascii="Times New Roman" w:hAnsi="Times New Roman"/>
          <w:b/>
          <w:sz w:val="18"/>
        </w:rPr>
        <w:t>Abstract—</w:t>
      </w:r>
      <w:r>
        <w:rPr>
          <w:rFonts w:ascii="Times New Roman" w:hAnsi="Times New Roman"/>
          <w:b/>
          <w:sz w:val="18"/>
        </w:rPr>
        <w:t>The impending emergence of Cryptanalytically Relevant Quantum Computers (CRQCs) poses an existential threat to the foundations of modern digital security. Quantum algorithms, most notably Shor's polynomial-time integer factorization and discrete logarithm formulation, render ubiquitous asymmetric cryptographic schemes—including RSA, DSA, ECDSA, and Diffie-Hellman key exchange—entirely obsolete. While the National Institute of Standards and Technology (NIST) has finalized its initial post-quantum cryptography standards (FIPS 203, FIPS 204, and FIPS 205), enterprise software architectures face a critical governance and operational crisis: pervasive 'cryptographic debt' characterized by hardcoded keys, obsolete cipher suites, implicit library dependencies, and an acute lack of cryptographic visibility. Furthermore, adversaries are actively executing 'Harvest-Now-Decrypt-Later' (HNDL) attacks, exfiltrating encrypted enterprise data today for retrospective decryption once quantum computing matures. To address this paradigm shift, we present AgileGraph, a comprehensive, end-to-end cryptographic agility and post-quantum migration framework designed for enterprise software ecosystems. AgileGraph introduces a multi-language AST-based discovery engine spanning seven ecosystems (Python, JavaScript/TypeScript, Java/Kotlin, Go, Rust, C/C++, and Infrastructure-as-Code configurations), mapping codebases into a heterogeneous property graph consisting of six node entity types and six semantic edge relations. We formulate a deterministic, multi-factor heuristic risk scoring model integrating seven orthogonal parameters (algorithm vulnerability, key size weakness, exposure tier, architectural centrality, CVE history, migration friction, and data shelf-life), coupled with an operationalized formulation of Mosca's theorem to construct a two-dimensional migration triage matrix. To capture non-local architectural risk propagation, AgileGraph employs a Graph Attention Network v2 (GATv2) architecture with dynamic attention mechanics over 14-dimensional node feature vectors, framed rigorously as a weak-supervision knowledge distillation regularizer over code topologies. Rigorous empirical validation across an 8-repository pinned open-source enterprise corpus (4,558 files, 520 cross-validated nodes) demonstrates that AgileGraph achieves an 83.08% pooled accuracy and 89.38% unweighted mean accuracy under Leave-One-Project-Out (LOPO) cross-validation, outperforming edge-shuffled randomized controls by +8.27% accuracy and +0.0547 Macro-F1 (p &lt; 0.01), confirming genuine topological learning. Under stratified 5-fold cross-validation, AgileGraph achieves 84.81% accuracy, 0.8005 Macro-F1, and 74.76% high-risk recall, successfully mitigating extreme cross-project class imbalance. One-at-a-time (OAT) parameter sensitivity analysis reveals exceptional rank stability (Spearman rho &gt; 0.94 under +-20% perturbations). Finally, AgileGraph integrates CycloneDX v1.6 Cryptographic Bill of Materials (CBOM) generation with append-only SQLite audit trails and SHA-256 provenance hashing, delivering an enterprise-ready, mathematically grounded substrate for modern cryptographic governance.</w:t>
      </w:r>
    </w:p>
    <w:p>
      <w:pPr>
        <w:spacing w:before="40" w:after="280" w:line="276" w:lineRule="auto"/>
        <w:ind w:left="360" w:right="360"/>
        <w:jc w:val="both"/>
      </w:pPr>
      <w:r>
        <w:rPr>
          <w:rFonts w:ascii="Times New Roman" w:hAnsi="Times New Roman"/>
          <w:b/>
          <w:sz w:val="18"/>
        </w:rPr>
        <w:t>Index Terms—</w:t>
      </w:r>
      <w:r>
        <w:rPr>
          <w:rFonts w:ascii="Times New Roman" w:hAnsi="Times New Roman"/>
          <w:i/>
          <w:sz w:val="18"/>
        </w:rPr>
        <w:t>Post-Quantum Cryptography (PQC), Cryptographic Agility, Graph Attention Networks (GATv2), Code Property Graphs, Cryptographic Bill of Materials (CBOM), Harvest-Now-Decrypt-Later (HNDL), Mosca's Theorem, Vulnerability Prioritization, Software Supply Chain Security.</w:t>
      </w:r>
    </w:p>
    <w:p>
      <w:pPr>
        <w:spacing w:before="0" w:after="160"/>
        <w:jc w:val="center"/>
      </w:pPr>
      <w:r>
        <w:rPr>
          <w:color w:val="999999"/>
          <w:sz w:val="16"/>
        </w:rPr>
        <w:t>―――――――――――――――――――――――――――――――――――――――――――――――――――――――</w:t>
      </w:r>
    </w:p>
    <w:p>
      <w:pPr>
        <w:sectPr>
          <w:headerReference w:type="default" r:id="rId9"/>
          <w:pgSz w:w="12240" w:h="15840"/>
          <w:pgMar w:top="1080" w:right="900" w:bottom="1224" w:left="900" w:header="720" w:footer="720" w:gutter="0"/>
          <w:cols w:space="720"/>
          <w:docGrid w:linePitch="360"/>
        </w:sectPr>
      </w:pPr>
    </w:p>
    <w:p>
      <w:pPr>
        <w:keepNext/>
        <w:spacing w:before="240" w:after="100"/>
        <w:jc w:val="center"/>
      </w:pPr>
      <w:r>
        <w:rPr>
          <w:rFonts w:ascii="Times New Roman" w:hAnsi="Times New Roman"/>
          <w:b/>
          <w:color w:val="0F172A"/>
          <w:sz w:val="20"/>
        </w:rPr>
        <w:t>I.  INTRODUCTION</w:t>
      </w:r>
    </w:p>
    <w:p>
      <w:pPr>
        <w:spacing w:before="0" w:after="80" w:line="269" w:lineRule="auto"/>
        <w:ind w:firstLine="216"/>
        <w:jc w:val="both"/>
      </w:pPr>
      <w:r>
        <w:rPr>
          <w:rFonts w:ascii="Times New Roman" w:hAnsi="Times New Roman"/>
          <w:color w:val="1F2937"/>
          <w:sz w:val="19"/>
        </w:rPr>
        <w:t>For over four decades, public-key cryptography has served as the foundational bedrock of modern digital security, underpinning global financial networks, electronic commerce, confidential telecommunications, national critical infrastructure, and distributed computing systems. The security of ubiquitous asymmetric primitives—such as RSA [1], DSA, the Digital Signature Algorithm, the Diffie-Hellman (DH) key exchange protocol [2], and Elliptic Curve Cryptography (ECC, including ECDSA and ECDH) [3]—is predicated on the conjectured computational intractability of two classical mathematical problems: integer factorization and the discrete logarithm problem over finite fields and elliptic curve groups. However, the theoretical establishment of quantum computing architectures introduces an existential inflection point for this security paradigm.</w:t>
      </w:r>
    </w:p>
    <w:p>
      <w:pPr>
        <w:keepNext/>
        <w:spacing w:before="180" w:after="60"/>
        <w:jc w:val="left"/>
      </w:pPr>
      <w:r>
        <w:rPr>
          <w:rFonts w:ascii="Times New Roman" w:hAnsi="Times New Roman"/>
          <w:b/>
          <w:i/>
          <w:color w:val="1E293B"/>
          <w:sz w:val="19"/>
        </w:rPr>
        <w:t>A. The Quantum Computing Paradigm Shift and Shor's Algorithm</w:t>
      </w:r>
    </w:p>
    <w:p>
      <w:pPr>
        <w:spacing w:before="0" w:after="80" w:line="269" w:lineRule="auto"/>
        <w:ind w:firstLine="216"/>
        <w:jc w:val="both"/>
      </w:pPr>
      <w:r>
        <w:rPr>
          <w:rFonts w:ascii="Times New Roman" w:hAnsi="Times New Roman"/>
          <w:color w:val="1F2937"/>
          <w:sz w:val="19"/>
        </w:rPr>
        <w:t>In 1994, Peter Shor formulated a polynomial-time quantum algorithm that solves both prime factorization and discrete logarithms in $O((\log N)^3)$ operations on a quantum computer [4]. While the fastest known classical algorithm for prime factorization—the General Number Field Sieve (GNFS)—exhibits sub-exponential time complexity $O(\exp((c + o(1)) (\ln N)^{1/3} (\ln \ln N)^{2/3}))$, Shor's algorithm provides an exponential speedup that completely breaks all deployed public-key cryptographic mechanisms. Concurrently, Grover's quantum search algorithm provides a quadratic speedup for unstructured database searches, reducing the effective security strength of symmetric cryptographic primitives (e.g., AES-128, SHA-256) by half (from $k$ bits to $k/2$ bits of security) [5]. While symmetric schemes can theoretically regain their security margins by doubling key lengths (e.g., migrating from AES-128 to AES-256 and from SHA-256 to SHA-384/512), asymmetric algorithms possess no such asymptotic resilience; increasing key sizes for RSA or ECC merely delays cryptanalysis by marginal quantum polynomial factors.</w:t>
      </w:r>
    </w:p>
    <w:p>
      <w:pPr>
        <w:keepNext/>
        <w:spacing w:before="180" w:after="60"/>
        <w:jc w:val="left"/>
      </w:pPr>
      <w:r>
        <w:rPr>
          <w:rFonts w:ascii="Times New Roman" w:hAnsi="Times New Roman"/>
          <w:b/>
          <w:i/>
          <w:color w:val="1E293B"/>
          <w:sz w:val="19"/>
        </w:rPr>
        <w:t>B. The Harvest-Now-Decrypt-Later (HNDL) Threat Model</w:t>
      </w:r>
    </w:p>
    <w:p>
      <w:pPr>
        <w:spacing w:before="0" w:after="80" w:line="269" w:lineRule="auto"/>
        <w:ind w:firstLine="216"/>
        <w:jc w:val="both"/>
      </w:pPr>
      <w:r>
        <w:rPr>
          <w:rFonts w:ascii="Times New Roman" w:hAnsi="Times New Roman"/>
          <w:color w:val="1F2937"/>
          <w:sz w:val="19"/>
        </w:rPr>
        <w:t>A prevalent misconception within software engineering organizations is that the quantum threat is a distant speculative concern, actionable only when physical Cryptanalytically Relevant Quantum Computers (CRQCs) become commercially operational. This assumption is invalidated by the 'Harvest-Now-Decrypt-Later' (HNDL) adversarial attack vector (alternatively designated as 'Store-Now-Decrypt-Later' or retro-active quantum exploitation) [6]. Under the HNDL model, nation-state intelligence agencies, advanced persistent threat (APT) groups, and sophisticated criminal syndicates are actively intercepting, harvesting, and archiving massive volumes of encrypted network traffic, proprietary intellectual property, state secrets, and sensitive healthcare records traversing public and enterprise backbones.</w:t>
      </w:r>
    </w:p>
    <w:p>
      <w:pPr>
        <w:spacing w:before="0" w:after="80" w:line="269" w:lineRule="auto"/>
        <w:ind w:firstLine="216"/>
        <w:jc w:val="both"/>
      </w:pPr>
      <w:r>
        <w:rPr>
          <w:rFonts w:ascii="Times New Roman" w:hAnsi="Times New Roman"/>
          <w:color w:val="1F2937"/>
          <w:sz w:val="19"/>
        </w:rPr>
        <w:t>Because the shelf-life requirement of sensitive data (denoted $\mathcal{S}_{life}$, often spanning 10 to 30 years for classified defense intelligence, genomic databases, and enterprise financial records) frequently exceeds the projected arrival timeline of a CRQC (denoted $\mathcal{T}_{quantum}$), data intercepted today under classical RSA-2048 or ECDH-P256 will be retroactively decrypted the moment a CRQC is brought online. Consequently, software architectures protecting long-lived sensitive assets are already compromised at the point of transmission if their cryptographic envelope is quantum-vulnerable.</w:t>
      </w:r>
    </w:p>
    <w:p>
      <w:pPr>
        <w:keepNext/>
        <w:spacing w:before="180" w:after="60"/>
        <w:jc w:val="left"/>
      </w:pPr>
      <w:r>
        <w:rPr>
          <w:rFonts w:ascii="Times New Roman" w:hAnsi="Times New Roman"/>
          <w:b/>
          <w:i/>
          <w:color w:val="1E293B"/>
          <w:sz w:val="19"/>
        </w:rPr>
        <w:t>C. Standardization and the Post-Quantum Mandate</w:t>
      </w:r>
    </w:p>
    <w:p>
      <w:pPr>
        <w:spacing w:before="0" w:after="80" w:line="269" w:lineRule="auto"/>
        <w:ind w:firstLine="216"/>
        <w:jc w:val="both"/>
      </w:pPr>
      <w:r>
        <w:rPr>
          <w:rFonts w:ascii="Times New Roman" w:hAnsi="Times New Roman"/>
          <w:color w:val="1F2937"/>
          <w:sz w:val="19"/>
        </w:rPr>
        <w:t>In response to this impending crisis, the National Institute of Standards and Technology (NIST) initiated an international Post-Quantum Cryptography (PQC) standardization process in 2016. In August 2024, NIST officially published the initial suite of finalized Federal Information Processing Standards (FIPS): FIPS 203 (Module-Lattice-Based Key-Encapsulation Mechanism, ML-KEM, derived from CRYSTALS-Kyber) [7], FIPS 204 (Module-Lattice-Based Digital Signature Algorithm, ML-DSA, derived from CRYSTALS-Dilithium) [8], and FIPS 205 (Stateless Hash-Based Digital Signature Algorithm, SLH-DSA, derived from SPHINCS+) [9]. Furthermore, executive governmental directives—including White House National Security Memorandum 10 (NSM-10) [10], Office of Management and Budget (OMB) Memorandum M-23-02 [11], and the Commercial National Security Algorithm Suite 2.0 (CNSA 2.0) guidelines published by the National Security Agency (NSA) [12]—mandate that all federal agencies, defense industrial base contractors, and critical commercial vendors inventory, prioritize, and fully deprecate quantum-vulnerable cryptography between 2030 and 2035.</w:t>
      </w:r>
    </w:p>
    <w:p>
      <w:pPr>
        <w:keepNext/>
        <w:spacing w:before="180" w:after="60"/>
        <w:jc w:val="left"/>
      </w:pPr>
      <w:r>
        <w:rPr>
          <w:rFonts w:ascii="Times New Roman" w:hAnsi="Times New Roman"/>
          <w:b/>
          <w:i/>
          <w:color w:val="1E293B"/>
          <w:sz w:val="19"/>
        </w:rPr>
        <w:t>D. Enterprise Cryptographic Debt and the Discovery Bottleneck</w:t>
      </w:r>
    </w:p>
    <w:p>
      <w:pPr>
        <w:spacing w:before="0" w:after="80" w:line="269" w:lineRule="auto"/>
        <w:ind w:firstLine="216"/>
        <w:jc w:val="both"/>
      </w:pPr>
      <w:r>
        <w:rPr>
          <w:rFonts w:ascii="Times New Roman" w:hAnsi="Times New Roman"/>
          <w:color w:val="1F2937"/>
          <w:sz w:val="19"/>
        </w:rPr>
        <w:t>Despite authoritative standardization, modern enterprise software architectures suffer from profound systemic vulnerabilities collectively termed 'cryptographic debt'. Over decades of rapid agile feature iteration, cryptographic primitives have been haphazardly embedded across polyglot microservices, legacy monolithic backends, third-party libraries, container images, and continuous integration/continuous deployment (CI/CD) pipelines. This debt manifests through multiple operational failure modes: hardcoded cryptographic keys and initialization vectors, dynamic runtime cipher negotiation, deprecated algorithm usage (e.g., MD5, SHA-1, DES, 3DES, RSA-1024), unpinned transitive dependencies, and hardwired cryptographic assumptions deeply coupled to application logic [13].</w:t>
      </w:r>
    </w:p>
    <w:p>
      <w:pPr>
        <w:spacing w:before="0" w:after="80" w:line="269" w:lineRule="auto"/>
        <w:ind w:firstLine="216"/>
        <w:jc w:val="both"/>
      </w:pPr>
      <w:r>
        <w:rPr>
          <w:rFonts w:ascii="Times New Roman" w:hAnsi="Times New Roman"/>
          <w:color w:val="1F2937"/>
          <w:sz w:val="19"/>
        </w:rPr>
        <w:t>Traditional Software Composition Analysis (SCA) and Static Application Security Testing (SAST) tools prove fundamentally inadequate for post-quantum migration planning. First, conventional AST scanners operate in isolation, treating cryptographic assets as disconnected point-in-time tokens rather than nodes embedded in complex architectural call and dependency networks. Second, naive regex or string-matching tools generate massive false-positive rates by failing to distinguish active cryptographic instantiation from commented-out code, documentation strings, or inactive test stubs. Third, no existing commercial or open-source tooling provides a formal mathematical framework to quantify migration priority by unifying topological centrality, parameter vulnerability, and timing urgency.</w:t>
      </w:r>
    </w:p>
    <w:p>
      <w:pPr>
        <w:keepNext/>
        <w:spacing w:before="180" w:after="60"/>
        <w:jc w:val="left"/>
      </w:pPr>
      <w:r>
        <w:rPr>
          <w:rFonts w:ascii="Times New Roman" w:hAnsi="Times New Roman"/>
          <w:b/>
          <w:i/>
          <w:color w:val="1E293B"/>
          <w:sz w:val="19"/>
        </w:rPr>
        <w:t>E. Cryptographic Agility: Definition and Architectural Requirements</w:t>
      </w:r>
    </w:p>
    <w:p>
      <w:pPr>
        <w:spacing w:before="0" w:after="80" w:line="269" w:lineRule="auto"/>
        <w:ind w:firstLine="216"/>
        <w:jc w:val="both"/>
      </w:pPr>
      <w:r>
        <w:rPr>
          <w:rFonts w:ascii="Times New Roman" w:hAnsi="Times New Roman"/>
          <w:color w:val="1F2937"/>
          <w:sz w:val="19"/>
        </w:rPr>
        <w:t>To survive the quantum transition—as well as future algorithmic breaks—software architectures must transition from static cryptographic implementations to 'Cryptographic Agility' [14]. As formally defined in NIST SP 1800-38B [15], cryptographic agility represents the capacity of an information system to rapidly evolve its underlying cryptographic algorithms, primitives, key lengths, and certificate structures without requiring disruptive code refactoring, breaking backward compatibility, or invalidating system-wide operational assumptions. Achieving cryptographic agility necessitates complete, automated discovery of all cryptographic assets, unified dependency modeling, algorithmic encapsulation, and data-driven migration roadmapping.</w:t>
      </w:r>
    </w:p>
    <w:p>
      <w:pPr>
        <w:keepNext/>
        <w:spacing w:before="180" w:after="60"/>
        <w:jc w:val="left"/>
      </w:pPr>
      <w:r>
        <w:rPr>
          <w:rFonts w:ascii="Times New Roman" w:hAnsi="Times New Roman"/>
          <w:b/>
          <w:i/>
          <w:color w:val="1E293B"/>
          <w:sz w:val="19"/>
        </w:rPr>
        <w:t>F. Key Contributions of This Work</w:t>
      </w:r>
    </w:p>
    <w:p>
      <w:pPr>
        <w:spacing w:before="0" w:after="80" w:line="269" w:lineRule="auto"/>
        <w:ind w:firstLine="216"/>
        <w:jc w:val="both"/>
      </w:pPr>
      <w:r>
        <w:rPr>
          <w:rFonts w:ascii="Times New Roman" w:hAnsi="Times New Roman"/>
          <w:color w:val="1F2937"/>
          <w:sz w:val="19"/>
        </w:rPr>
        <w:t>To address the urgent challenge of enterprise post-quantum transition, this paper introduces AgileGraph, an end-to-end cryptographic agility and migration prioritization framework. Specifically, this paper makes the following five core scientific and engineering contributions:</w:t>
      </w:r>
    </w:p>
    <w:p>
      <w:pPr>
        <w:spacing w:before="0" w:after="60" w:line="264" w:lineRule="auto"/>
        <w:ind w:left="259"/>
        <w:jc w:val="both"/>
      </w:pPr>
      <w:r>
        <w:rPr>
          <w:rFonts w:ascii="Times New Roman" w:hAnsi="Times New Roman"/>
          <w:color w:val="1F2937"/>
          <w:sz w:val="18"/>
        </w:rPr>
        <w:t>•  1) Multi-Language Static Discovery Engine: We design and implement a polyglot, AST-driven cryptographic discovery engine spanning seven distinct programming languages and configuration ecosystems (Python, JavaScript/TypeScript, Java/Kotlin, Go, Rust, C/C++, and Infrastructure-as-Code configurations), accurately parsing cryptographic declarations, key sizes, cipher modes, and library invocations while systematically eliminating comment-induced false positives.</w:t>
      </w:r>
    </w:p>
    <w:p>
      <w:pPr>
        <w:spacing w:before="0" w:after="60" w:line="264" w:lineRule="auto"/>
        <w:ind w:left="259"/>
        <w:jc w:val="both"/>
      </w:pPr>
      <w:r>
        <w:rPr>
          <w:rFonts w:ascii="Times New Roman" w:hAnsi="Times New Roman"/>
          <w:color w:val="1F2937"/>
          <w:sz w:val="18"/>
        </w:rPr>
        <w:t>•  2) Heterogeneous Code Property Graph Ontology: We introduce a formal mathematical graph ontology consisting of six distinct node entity types (Repository, File, CryptoAsset, Function, Dependency, Infrastructure) interconnected by six semantic directed edge relations (CONTAINS, IMPORTS, CALLS, DEFINES, USES, CONFIGURES), mapping disconnected source codebases into a unified architectural knowledge substrate.</w:t>
      </w:r>
    </w:p>
    <w:p>
      <w:pPr>
        <w:spacing w:before="0" w:after="60" w:line="264" w:lineRule="auto"/>
        <w:ind w:left="259"/>
        <w:jc w:val="both"/>
      </w:pPr>
      <w:r>
        <w:rPr>
          <w:rFonts w:ascii="Times New Roman" w:hAnsi="Times New Roman"/>
          <w:color w:val="1F2937"/>
          <w:sz w:val="18"/>
        </w:rPr>
        <w:t>•  3) Deterministic Multi-Factor Risk &amp; Mosca Engine: We formulate a mathematically bounded, 7-factor deterministic heuristic risk model integrating algorithmic vulnerability, key size weakness, exposure tier, architectural centrality, historical CVE associations, migration friction, and data sensitivity. We operationalize Mosca's Theorem (X + Y &gt; Z) into a continuous Quantum Exposure Timeline Index (QETI) to establish a 2D migration triage matrix.</w:t>
      </w:r>
    </w:p>
    <w:p>
      <w:pPr>
        <w:spacing w:before="0" w:after="60" w:line="264" w:lineRule="auto"/>
        <w:ind w:left="259"/>
        <w:jc w:val="both"/>
      </w:pPr>
      <w:r>
        <w:rPr>
          <w:rFonts w:ascii="Times New Roman" w:hAnsi="Times New Roman"/>
          <w:color w:val="1F2937"/>
          <w:sz w:val="18"/>
        </w:rPr>
        <w:t>•  4) Topological Representation Distillation via GATv2: We formulate a dynamic Graph Attention Network v2 (GATv2) architecture operating over 14-dimensional node feature vectors. We provide a rigorous scientific framing of GATv2 as a weak-supervision knowledge distillation regularizer that propagates structural risk across dependency topologies without making ungrounded empirical break claims.</w:t>
      </w:r>
    </w:p>
    <w:p>
      <w:pPr>
        <w:spacing w:before="0" w:after="60" w:line="264" w:lineRule="auto"/>
        <w:ind w:left="259"/>
        <w:jc w:val="both"/>
      </w:pPr>
      <w:r>
        <w:rPr>
          <w:rFonts w:ascii="Times New Roman" w:hAnsi="Times New Roman"/>
          <w:color w:val="1F2937"/>
          <w:sz w:val="18"/>
        </w:rPr>
        <w:t>•  5) Exhaustive Empirical Validation &amp; Enterprise Platform: We conduct exhaustive Leave-One-Project-Out (LOPO) cross-validation across an 8-repository pinned open-source enterprise benchmark (4,558 files, 520 cross-validated nodes), demonstrating an 83.08% pooled accuracy and 89.38% unweighted mean accuracy, outperforming edge-shuffled controls by +8.27% accuracy and +0.0547 Macro-F1 (p &lt; 0.01). We further establish rank robustness (Spearman rho &gt; 0.94 under +-20% OAT perturbation) and provide native CycloneDX v1.6 CBOM generation with append-only SQLite audit logging.</w:t>
      </w:r>
    </w:p>
    <w:p>
      <w:pPr>
        <w:keepNext/>
        <w:spacing w:before="240" w:after="100"/>
        <w:jc w:val="center"/>
      </w:pPr>
      <w:r>
        <w:rPr>
          <w:rFonts w:ascii="Times New Roman" w:hAnsi="Times New Roman"/>
          <w:b/>
          <w:color w:val="0F172A"/>
          <w:sz w:val="20"/>
        </w:rPr>
        <w:t>II.  RELATED WORK AND BACKGROUND</w:t>
      </w:r>
    </w:p>
    <w:p>
      <w:pPr>
        <w:spacing w:before="0" w:after="80" w:line="269" w:lineRule="auto"/>
        <w:ind w:firstLine="216"/>
        <w:jc w:val="both"/>
      </w:pPr>
      <w:r>
        <w:rPr>
          <w:rFonts w:ascii="Times New Roman" w:hAnsi="Times New Roman"/>
          <w:color w:val="1F2937"/>
          <w:sz w:val="19"/>
        </w:rPr>
        <w:t>The research literature intersecting static program analysis, software supply chain security, graph neural networks, and post-quantum migration forms the conceptual foundation of this investigation. In this section, we review relevant prior work across these four domains and identify the critical research gaps that AgileGraph resolves.</w:t>
      </w:r>
    </w:p>
    <w:p>
      <w:pPr>
        <w:keepNext/>
        <w:spacing w:before="180" w:after="60"/>
        <w:jc w:val="left"/>
      </w:pPr>
      <w:r>
        <w:rPr>
          <w:rFonts w:ascii="Times New Roman" w:hAnsi="Times New Roman"/>
          <w:b/>
          <w:i/>
          <w:color w:val="1E293B"/>
          <w:sz w:val="19"/>
        </w:rPr>
        <w:t>A. Static Analysis for Cryptographic Misuse</w:t>
      </w:r>
    </w:p>
    <w:p>
      <w:pPr>
        <w:spacing w:before="0" w:after="80" w:line="269" w:lineRule="auto"/>
        <w:ind w:firstLine="216"/>
        <w:jc w:val="both"/>
      </w:pPr>
      <w:r>
        <w:rPr>
          <w:rFonts w:ascii="Times New Roman" w:hAnsi="Times New Roman"/>
          <w:color w:val="1F2937"/>
          <w:sz w:val="19"/>
        </w:rPr>
        <w:t>Automated detection of cryptographic vulnerabilities has long been an active domain in static program analysis. In their seminal work, Egele et al. developed CryptoLint [16], an automated static analysis tool based on control-flow and data-flow analysis designed to identify cryptographic rule violations in Android applications. CryptoLint defined six foundational rules for cryptographic hygiene: avoiding constant encryption keys, using secure cryptographic pseudorandom number generators (CSPRNG), enforcing authenticated symmetric encryption modes over Electronic Codebook (ECB), choosing iteration counts greater than 1,000 for Password-Based Key Derivation Functions (PBKDF2), avoiding static salt values, and deprecating broken hash functions.</w:t>
      </w:r>
    </w:p>
    <w:p>
      <w:pPr>
        <w:spacing w:before="0" w:after="80" w:line="269" w:lineRule="auto"/>
        <w:ind w:firstLine="216"/>
        <w:jc w:val="both"/>
      </w:pPr>
      <w:r>
        <w:rPr>
          <w:rFonts w:ascii="Times New Roman" w:hAnsi="Times New Roman"/>
          <w:color w:val="1F2937"/>
          <w:sz w:val="19"/>
        </w:rPr>
        <w:t>Building upon this foundation, Krüger et al. introduced CogniCrypt [17], an Eclipse-based static analysis framework that formalizes cryptographic use-cases into CrySL, a domain-specific specification language. CogniCrypt checks whether developer API calls adhere to constraints governing object instantiation, parameter ranges, and typestate predicates. Similarly, CogniCrypt_AST extended these rules into compiler intermediate representations. While CryptoLint and CogniCrypt achieved impressive detection accuracy within isolated Java and Android components, their techniques suffer from significant limitations when applied to enterprise post-quantum migration: (1) they lack multi-language polyglot parsing across modern polyglot microservice stacks; (2) they evaluate cryptographic usage purely as localized API calls without modeling how architectural centrality or dependency depth amplifies operational risk; and (3) their binary rule checking provides no continuous migration prioritization or timeline alignment.</w:t>
      </w:r>
    </w:p>
    <w:p>
      <w:pPr>
        <w:keepNext/>
        <w:spacing w:before="180" w:after="60"/>
        <w:jc w:val="left"/>
      </w:pPr>
      <w:r>
        <w:rPr>
          <w:rFonts w:ascii="Times New Roman" w:hAnsi="Times New Roman"/>
          <w:b/>
          <w:i/>
          <w:color w:val="1E293B"/>
          <w:sz w:val="19"/>
        </w:rPr>
        <w:t>B. Software Bill of Materials (SBOM) and Cryptographic BOM (CBOM)</w:t>
      </w:r>
    </w:p>
    <w:p>
      <w:pPr>
        <w:spacing w:before="0" w:after="80" w:line="269" w:lineRule="auto"/>
        <w:ind w:firstLine="216"/>
        <w:jc w:val="both"/>
      </w:pPr>
      <w:r>
        <w:rPr>
          <w:rFonts w:ascii="Times New Roman" w:hAnsi="Times New Roman"/>
          <w:color w:val="1F2937"/>
          <w:sz w:val="19"/>
        </w:rPr>
        <w:t>In response to software supply chain compromises (such as the SolarWinds build pipeline injection and the Apache Log4j Log4Shell vulnerability [18]), industry standards bodies developed Software Bill of Materials (SBOM) specifications, predominantly SPDX (ISO/IEC 5962:2021) [19] and OWASP CycloneDX [20]. However, conventional SBOM specifications describe package-level dependencies, licenses, and file hashes, providing zero visibility into cryptographic algorithms, parameter lengths, key management schemes, or certificate chains.</w:t>
      </w:r>
    </w:p>
    <w:p>
      <w:pPr>
        <w:spacing w:before="0" w:after="80" w:line="269" w:lineRule="auto"/>
        <w:ind w:firstLine="216"/>
        <w:jc w:val="both"/>
      </w:pPr>
      <w:r>
        <w:rPr>
          <w:rFonts w:ascii="Times New Roman" w:hAnsi="Times New Roman"/>
          <w:color w:val="1F2937"/>
          <w:sz w:val="19"/>
        </w:rPr>
        <w:t>To bridge this gap, OWASP released the CycloneDX v1.6 specification in early 2024, introducing the formal Cryptographic Bill of Materials (CBOM) taxonomy [20]. CycloneDX v1.6 defines structured schemas for cryptographic assets, including algorithm identifiers, cryptographic primitives, key length parameters, curves, padding schemes, execution environments, and post-quantum security levels. In parallel, NIST National Cybersecurity Center of Excellence (NCCoE) initiated the 'Migration to Post-Quantum Cryptography' consortium, issuing NIST SP 1800-38B (Preliminary Draft) [15] to guide enterprise discovery and CBOM compilation. While these standards define standard serialization formats, neither specification provides automated algorithms for AST-level extraction across polyglot source trees, nor do they define algorithmic mechanisms for triaging remediation backlogs.</w:t>
      </w:r>
    </w:p>
    <w:p>
      <w:pPr>
        <w:keepNext/>
        <w:spacing w:before="180" w:after="60"/>
        <w:jc w:val="left"/>
      </w:pPr>
      <w:r>
        <w:rPr>
          <w:rFonts w:ascii="Times New Roman" w:hAnsi="Times New Roman"/>
          <w:b/>
          <w:i/>
          <w:color w:val="1E293B"/>
          <w:sz w:val="19"/>
        </w:rPr>
        <w:t>C. Graph Neural Networks for Code Vulnerability Detection</w:t>
      </w:r>
    </w:p>
    <w:p>
      <w:pPr>
        <w:spacing w:before="0" w:after="80" w:line="269" w:lineRule="auto"/>
        <w:ind w:firstLine="216"/>
        <w:jc w:val="both"/>
      </w:pPr>
      <w:r>
        <w:rPr>
          <w:rFonts w:ascii="Times New Roman" w:hAnsi="Times New Roman"/>
          <w:color w:val="1F2937"/>
          <w:sz w:val="19"/>
        </w:rPr>
        <w:t>In recent years, the application of deep learning over graphs has revolutionized automated vulnerability detection and software engineering. Yamaguchi et al. formulated the concept of the Code Property Graph (CPG) [21], which unifies Abstract Syntax Trees (AST), Control Flow Graphs (CFG), and Program Dependence Graphs (PDG) into a single joint data structure, enabling vulnerability hunting via graph database queries. Zhou et al. pioneered Devign [22], a Graph Neural Network (GNN) framework combining gated graph recurrent layers with convolutional feature aggregation to classify vulnerable functions directly from CPGs.</w:t>
      </w:r>
    </w:p>
    <w:p>
      <w:pPr>
        <w:spacing w:before="0" w:after="80" w:line="269" w:lineRule="auto"/>
        <w:ind w:firstLine="216"/>
        <w:jc w:val="both"/>
      </w:pPr>
      <w:r>
        <w:rPr>
          <w:rFonts w:ascii="Times New Roman" w:hAnsi="Times New Roman"/>
          <w:color w:val="1F2937"/>
          <w:sz w:val="19"/>
        </w:rPr>
        <w:t>In the graph representation domain, Veličković et al. introduced Graph Attention Networks (GAT) [23], which compute anisotropic attention weights over graph neighborhoods using multi-head self-attention. However, Brody et al. revealed a fundamental mathematical limitation in standard GAT: because the attention score computation applies the non-linear activation before the query-key projection, standard GAT suffers from 'static attention', wherein the ranking of attention scores is independent of the query node [24]. To overcome this bottleneck, Brody et al. formulated GATv2, which applies the non-linearity to the concatenated representation prior to linear projection, achieving strictly expressive dynamic attention. While GNNs have been applied to general code defect prediction, their application to cryptographic agility, post-quantum vulnerability propagation, and heterogeneous code-dependency networks remains largely unexplored.</w:t>
      </w:r>
    </w:p>
    <w:p>
      <w:pPr>
        <w:keepNext/>
        <w:spacing w:before="180" w:after="60"/>
        <w:jc w:val="left"/>
      </w:pPr>
      <w:r>
        <w:rPr>
          <w:rFonts w:ascii="Times New Roman" w:hAnsi="Times New Roman"/>
          <w:b/>
          <w:i/>
          <w:color w:val="1E293B"/>
          <w:sz w:val="19"/>
        </w:rPr>
        <w:t>D. Post-Quantum Migration Planning and Mosca's Theorem</w:t>
      </w:r>
    </w:p>
    <w:p>
      <w:pPr>
        <w:spacing w:before="0" w:after="80" w:line="269" w:lineRule="auto"/>
        <w:ind w:firstLine="216"/>
        <w:jc w:val="both"/>
      </w:pPr>
      <w:r>
        <w:rPr>
          <w:rFonts w:ascii="Times New Roman" w:hAnsi="Times New Roman"/>
          <w:color w:val="1F2937"/>
          <w:sz w:val="19"/>
        </w:rPr>
        <w:t>Theoretical timing frameworks for post-quantum planning originated with Michele Mosca's theorem [6], [25], which articulates the mathematical condition under which an organization will suffer catastrophic data exposure prior to completing post-quantum migration. Let $X$ represent the shelf-life requirement of sensitive data (the duration for which confidentiality must be maintained); let $Y$ represent the migration time required to identify, refactor, and deploy quantum-resistant algorithms; and let $Z$ represent the collapse time (the number of years until a physical CRQC is operational). Mosca's theorem establishes the fundamental inequality:</w:t>
      </w:r>
    </w:p>
    <w:p>
      <w:pPr>
        <w:spacing w:before="80" w:after="80"/>
        <w:jc w:val="right"/>
      </w:pPr>
      <w:r>
        <w:rPr>
          <w:rFonts w:ascii="Times New Roman" w:hAnsi="Times New Roman"/>
          <w:i/>
          <w:sz w:val="19"/>
        </w:rPr>
        <w:t xml:space="preserve">    X + Y &gt; Z implies Catastrophic Security Failure    </w:t>
      </w:r>
      <w:r>
        <w:rPr>
          <w:rFonts w:ascii="Times New Roman" w:hAnsi="Times New Roman"/>
          <w:b/>
          <w:sz w:val="19"/>
        </w:rPr>
        <w:t>(1)</w:t>
      </w:r>
    </w:p>
    <w:p>
      <w:pPr>
        <w:spacing w:before="0" w:after="80" w:line="269" w:lineRule="auto"/>
        <w:ind w:firstLine="216"/>
        <w:jc w:val="both"/>
      </w:pPr>
      <w:r>
        <w:rPr>
          <w:rFonts w:ascii="Times New Roman" w:hAnsi="Times New Roman"/>
          <w:color w:val="1F2937"/>
          <w:sz w:val="19"/>
        </w:rPr>
        <w:t>If $X + Y &gt; Z$, classical encryption will fail while sensitive data is still within its required secrecy lifespan, rendering migration efforts too late to prevent retroactive exposure. Sullivan extended Mosca's theorem into an enterprise risk analysis model incorporating financial impact and asset criticality [26]. However, in existing enterprise security literature, parameters $X, Y, Z$ are invariably treated as coarse, speculative organizational scalars. Prior work has failed to operationalize Mosca's theorem at the individual software component or code asset level, leaving software architects without granular guidance on which specific modules require immediate remediation.</w:t>
      </w:r>
    </w:p>
    <w:p>
      <w:pPr>
        <w:keepNext/>
        <w:spacing w:before="180" w:after="60"/>
        <w:jc w:val="left"/>
      </w:pPr>
      <w:r>
        <w:rPr>
          <w:rFonts w:ascii="Times New Roman" w:hAnsi="Times New Roman"/>
          <w:b/>
          <w:i/>
          <w:color w:val="1E293B"/>
          <w:sz w:val="19"/>
        </w:rPr>
        <w:t>E. Literature Gap Analysis</w:t>
      </w:r>
    </w:p>
    <w:p>
      <w:pPr>
        <w:spacing w:before="0" w:after="80" w:line="269" w:lineRule="auto"/>
        <w:ind w:firstLine="216"/>
        <w:jc w:val="both"/>
      </w:pPr>
      <w:r>
        <w:rPr>
          <w:rFonts w:ascii="Times New Roman" w:hAnsi="Times New Roman"/>
          <w:color w:val="1F2937"/>
          <w:sz w:val="19"/>
        </w:rPr>
        <w:t>Table I presents an exhaustive comparative analysis of AgileGraph against leading state-of-the-art static analysis tools, vulnerability scanners, and cryptographic inventory solutions. As demonstrated, AgileGraph is the first framework to concurrently satisfy multi-language polyglot AST parsing, heterogeneous property graph modeling, continuous multi-factor risk quantification, dynamic GATv2 topological learning, and automated CycloneDX v1.6 CBOM generation with cryptographic audit provenance.</w:t>
      </w:r>
    </w:p>
    <w:p>
      <w:pPr>
        <w:keepNext/>
        <w:spacing w:before="160" w:after="20"/>
        <w:jc w:val="center"/>
      </w:pPr>
      <w:r>
        <w:rPr>
          <w:rFonts w:ascii="Times New Roman" w:hAnsi="Times New Roman"/>
          <w:b/>
          <w:sz w:val="17"/>
        </w:rPr>
        <w:t>TABLE I</w:t>
      </w:r>
    </w:p>
    <w:p>
      <w:pPr>
        <w:keepNext/>
        <w:spacing w:before="0" w:after="80"/>
        <w:jc w:val="center"/>
      </w:pPr>
      <w:r>
        <w:rPr>
          <w:rFonts w:ascii="Times New Roman" w:hAnsi="Times New Roman"/>
          <w:b/>
          <w:sz w:val="15"/>
        </w:rPr>
        <w:t>COMPARATIVE ANALYSIS: AGILEGRAPH VERSUS EXISTING STATIC ANALYSIS AND CRYPTOGRAPHIC GOVERNANCE TOOLS</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Tool / Framework</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Target Languages</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Structural Modeling</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Risk Scoring Model</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ML / GNN Architecture</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CBOM &amp; Audit Export</w:t>
            </w:r>
          </w:p>
        </w:tc>
      </w:tr>
      <w:tr>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CryptoLint [16]</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Java / Android</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Call graph (local)</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Binary Rule Violations</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None (Rule-based)</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None</w:t>
            </w:r>
          </w:p>
        </w:tc>
      </w:tr>
      <w:tr>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CogniCrypt [17]</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Java (CrySL)</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Control / Data Flow</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Constraint Satisfaction</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None (Rule-based)</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None</w:t>
            </w:r>
          </w:p>
        </w:tc>
      </w:tr>
      <w:tr>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Devign [22]</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C / C++</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Code Property Graph</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Binary Defect Classifier</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Gated Graph Conv (GGNN)</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None</w:t>
            </w:r>
          </w:p>
        </w:tc>
      </w:tr>
      <w:tr>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Syft / Trivy [18]</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Polyglot (Packages)</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Package Tree</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CVSS Vulnerability Matching</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None</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SPDX / CycloneDX SBOM</w:t>
            </w:r>
          </w:p>
        </w:tc>
      </w:tr>
      <w:tr>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IBM CBOM Scanner [15]</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Java, Python</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AST / Symbol Matching</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Static Vulnerability Lookup</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None</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Early Draft CBOM</w:t>
            </w:r>
          </w:p>
        </w:tc>
      </w:tr>
      <w:tr>
        <w:tc>
          <w:tcPr>
            <w:tcW w:type="dxa" w:w="1740"/>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AgileGraph (This Work)</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Polyglot (7 Ecosystems)</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6-Node / 6-Edge HetGraph</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7-Factor Heuristic + Mosca</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Dynamic GATv2 (14-dim)</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CycloneDX v1.6 + Append SQLite</w:t>
            </w:r>
          </w:p>
        </w:tc>
      </w:tr>
    </w:tbl>
    <w:p>
      <w:pPr>
        <w:spacing w:before="0" w:after="120"/>
      </w:pPr>
    </w:p>
    <w:p>
      <w:pPr>
        <w:keepNext/>
        <w:spacing w:before="240" w:after="100"/>
        <w:jc w:val="center"/>
      </w:pPr>
      <w:r>
        <w:rPr>
          <w:rFonts w:ascii="Times New Roman" w:hAnsi="Times New Roman"/>
          <w:b/>
          <w:color w:val="0F172A"/>
          <w:sz w:val="20"/>
        </w:rPr>
        <w:t>III.  PROBLEM FORMULATION AND SYSTEM OBJECTIVES</w:t>
      </w:r>
    </w:p>
    <w:p>
      <w:pPr>
        <w:spacing w:before="0" w:after="80" w:line="269" w:lineRule="auto"/>
        <w:ind w:firstLine="216"/>
        <w:jc w:val="both"/>
      </w:pPr>
      <w:r>
        <w:rPr>
          <w:rFonts w:ascii="Times New Roman" w:hAnsi="Times New Roman"/>
          <w:color w:val="1F2937"/>
          <w:sz w:val="19"/>
        </w:rPr>
        <w:t>In this section, we establish the formal mathematical problem formulation governing post-quantum cryptographic discovery and prioritization, articulate our adversarial threat model, and define the specific research objectives guiding AgileGraph's system design.</w:t>
      </w:r>
    </w:p>
    <w:p>
      <w:pPr>
        <w:keepNext/>
        <w:spacing w:before="180" w:after="60"/>
        <w:jc w:val="left"/>
      </w:pPr>
      <w:r>
        <w:rPr>
          <w:rFonts w:ascii="Times New Roman" w:hAnsi="Times New Roman"/>
          <w:b/>
          <w:i/>
          <w:color w:val="1E293B"/>
          <w:sz w:val="19"/>
        </w:rPr>
        <w:t>A. Mathematical Problem Formulation</w:t>
      </w:r>
    </w:p>
    <w:p>
      <w:pPr>
        <w:spacing w:before="0" w:after="80" w:line="269" w:lineRule="auto"/>
        <w:ind w:firstLine="216"/>
        <w:jc w:val="both"/>
      </w:pPr>
      <w:r>
        <w:rPr>
          <w:rFonts w:ascii="Times New Roman" w:hAnsi="Times New Roman"/>
          <w:color w:val="1F2937"/>
          <w:sz w:val="19"/>
        </w:rPr>
        <w:t>Let an enterprise software codebase be modeled as a heterogeneous directed property graph $\mathcal{G} = (\mathcal{V}, \mathcal{E}, \phi, \psi)$, where $\mathcal{V}$ denotes the set of vertices, $\mathcal{E} \subseteq \mathcal{V} \times \mathcal{V}$ denotes the set of directed edges, $\phi: \mathcal{V} \to \mathcal{T}_v$ is a node-type mapping function, and $\psi: \mathcal{E} \to \mathcal{T}_e$ is an edge-type mapping function. The vertex type set $\mathcal{T}_v$ comprises six distinct structural and cryptographic entities: $\mathcal{T}_v = \{\text{Repository}, \text{File}, \text{CryptoAsset}, \text{Function}, \text{Dependency}, \text{Infrastructure}\}$. The edge relation type set $\mathcal{T}_e$ comprises six semantic relationships: $\mathcal{T}_e = \{\text{CONTAINS}, \text{IMPORTS}, \text{CALLS}, \text{DEFINES}, \text{USES}, \text{CONFIGURES}\}$.</w:t>
      </w:r>
    </w:p>
    <w:p>
      <w:pPr>
        <w:spacing w:before="0" w:after="80" w:line="269" w:lineRule="auto"/>
        <w:ind w:firstLine="216"/>
        <w:jc w:val="both"/>
      </w:pPr>
      <w:r>
        <w:rPr>
          <w:rFonts w:ascii="Times New Roman" w:hAnsi="Times New Roman"/>
          <w:color w:val="1F2937"/>
          <w:sz w:val="19"/>
        </w:rPr>
        <w:t>Each file node $v_i \in \mathcal{V}_{file}$ is characterized by a localized attribute vector $\mathbf{x}_i \in \mathbb{R}^{d}$ derived from static AST extraction and topological graph metrics (where $d = 14$ in our canonical implementation). The primary objective of the cryptographic agility engine is to learn a mapping function $f: \mathcal{V}_{file} \to \mathbb{R}$ that assigns a continuous risk score $R(v_i) \in [0, 1]$ to each file node, reflecting its aggregate post-quantum vulnerability, architectural exposure, and migration urgency. Subsequently, a discretization operator $\Gamma: [0, 1] \to \{\text{LOW}, \text{MEDIUM}, \text{HIGH}\}$ partitions the codebase into prioritized triage tiers based on predefined governance thresholds $\theta_{low}$ and $\theta_{high}$:</w:t>
      </w:r>
    </w:p>
    <w:p>
      <w:pPr>
        <w:spacing w:before="80" w:after="80"/>
        <w:jc w:val="right"/>
      </w:pPr>
      <w:r>
        <w:rPr>
          <w:rFonts w:ascii="Times New Roman" w:hAnsi="Times New Roman"/>
          <w:i/>
          <w:sz w:val="19"/>
        </w:rPr>
        <w:t xml:space="preserve">    Gamma(R(v_i)) = begincases LOW, &amp; 0.0 le R(v_i) &lt; 0.35  MEDIUM, &amp; 0.35 le R(v_i) &lt; 0.70  HIGH, &amp; 0.70 le R(v_i) le 1.0 endcases    </w:t>
      </w:r>
      <w:r>
        <w:rPr>
          <w:rFonts w:ascii="Times New Roman" w:hAnsi="Times New Roman"/>
          <w:b/>
          <w:sz w:val="19"/>
        </w:rPr>
        <w:t>(2)</w:t>
      </w:r>
    </w:p>
    <w:p>
      <w:pPr>
        <w:keepNext/>
        <w:spacing w:before="180" w:after="60"/>
        <w:jc w:val="left"/>
      </w:pPr>
      <w:r>
        <w:rPr>
          <w:rFonts w:ascii="Times New Roman" w:hAnsi="Times New Roman"/>
          <w:b/>
          <w:i/>
          <w:color w:val="1E293B"/>
          <w:sz w:val="19"/>
        </w:rPr>
        <w:t>B. Threat Model and Adversarial Assumptions</w:t>
      </w:r>
    </w:p>
    <w:p>
      <w:pPr>
        <w:spacing w:before="0" w:after="80" w:line="269" w:lineRule="auto"/>
        <w:ind w:firstLine="216"/>
        <w:jc w:val="both"/>
      </w:pPr>
      <w:r>
        <w:rPr>
          <w:rFonts w:ascii="Times New Roman" w:hAnsi="Times New Roman"/>
          <w:color w:val="1F2937"/>
          <w:sz w:val="19"/>
        </w:rPr>
        <w:t>We formulate our threat model around an external, passive or active adversary operating across the transition window from classical to quantum computing. We assume the following adversarial capabilities and system properties:</w:t>
      </w:r>
    </w:p>
    <w:p>
      <w:pPr>
        <w:spacing w:before="0" w:after="60" w:line="264" w:lineRule="auto"/>
        <w:ind w:left="259"/>
        <w:jc w:val="both"/>
      </w:pPr>
      <w:r>
        <w:rPr>
          <w:rFonts w:ascii="Times New Roman" w:hAnsi="Times New Roman"/>
          <w:color w:val="1F2937"/>
          <w:sz w:val="18"/>
        </w:rPr>
        <w:t>•  1) Passive Eavesdropping &amp; Data Exfiltration: The adversary has intercepted and stored encrypted communications, data-at-rest backups, and API payloads protected by classical public-key cryptography (RSA, ECDH, ECDSA). The adversary lacks current private keys but retains data whose confidentiality shelf-life spans decades (HNDL attack vector).</w:t>
      </w:r>
    </w:p>
    <w:p>
      <w:pPr>
        <w:spacing w:before="0" w:after="60" w:line="264" w:lineRule="auto"/>
        <w:ind w:left="259"/>
        <w:jc w:val="both"/>
      </w:pPr>
      <w:r>
        <w:rPr>
          <w:rFonts w:ascii="Times New Roman" w:hAnsi="Times New Roman"/>
          <w:color w:val="1F2937"/>
          <w:sz w:val="18"/>
        </w:rPr>
        <w:t>•  2) Quantum Capability Arrival: At an unannounced future collapse time Z (projected within 2030-2035), the adversary achieves access to a physical CRQC capable of executing Shor's algorithm with sufficient fault-tolerant logical qubits to factor 2048-bit to 4096-bit RSA moduli and compute discrete logarithms over standard NIST elliptic curves (e.g., P-256, P-384, Curve25519) in real time.</w:t>
      </w:r>
    </w:p>
    <w:p>
      <w:pPr>
        <w:spacing w:before="0" w:after="60" w:line="264" w:lineRule="auto"/>
        <w:ind w:left="259"/>
        <w:jc w:val="both"/>
      </w:pPr>
      <w:r>
        <w:rPr>
          <w:rFonts w:ascii="Times New Roman" w:hAnsi="Times New Roman"/>
          <w:color w:val="1F2937"/>
          <w:sz w:val="18"/>
        </w:rPr>
        <w:t>•  3) Software Supply Chain Vulnerabilities: Enterprise applications utilize external third-party dependencies, open-source libraries, and configuration files that contain deprecated or hardcoded cryptographic primitives unbeknownst to the application maintainers.</w:t>
      </w:r>
    </w:p>
    <w:p>
      <w:pPr>
        <w:spacing w:before="0" w:after="60" w:line="264" w:lineRule="auto"/>
        <w:ind w:left="259"/>
        <w:jc w:val="both"/>
      </w:pPr>
      <w:r>
        <w:rPr>
          <w:rFonts w:ascii="Times New Roman" w:hAnsi="Times New Roman"/>
          <w:color w:val="1F2937"/>
          <w:sz w:val="18"/>
        </w:rPr>
        <w:t>•  4) Benign Software Maintainers: Software developers and architects intend to achieve compliance with NIST PQC standards (FIPS 203, 204, 205) and NSA CNSA 2.0 mandates, but are severely constrained by refactoring engineering budgets, tight operational deadlines, and lack of visibility into transitive cryptographic dependencies.</w:t>
      </w:r>
    </w:p>
    <w:p>
      <w:pPr>
        <w:keepNext/>
        <w:spacing w:before="180" w:after="60"/>
        <w:jc w:val="left"/>
      </w:pPr>
      <w:r>
        <w:rPr>
          <w:rFonts w:ascii="Times New Roman" w:hAnsi="Times New Roman"/>
          <w:b/>
          <w:i/>
          <w:color w:val="1E293B"/>
          <w:sz w:val="19"/>
        </w:rPr>
        <w:t>C. Formal System Objectives</w:t>
      </w:r>
    </w:p>
    <w:p>
      <w:pPr>
        <w:spacing w:before="0" w:after="80" w:line="269" w:lineRule="auto"/>
        <w:ind w:firstLine="216"/>
        <w:jc w:val="both"/>
      </w:pPr>
      <w:r>
        <w:rPr>
          <w:rFonts w:ascii="Times New Roman" w:hAnsi="Times New Roman"/>
          <w:color w:val="1F2937"/>
          <w:sz w:val="19"/>
        </w:rPr>
        <w:t>To resolve the enterprise cryptographic migration bottleneck, AgileGraph establishes five rigorous, interconnected system objectives:</w:t>
      </w:r>
    </w:p>
    <w:p>
      <w:pPr>
        <w:spacing w:before="0" w:after="60" w:line="264" w:lineRule="auto"/>
        <w:ind w:left="259"/>
        <w:jc w:val="both"/>
      </w:pPr>
      <w:r>
        <w:rPr>
          <w:rFonts w:ascii="Times New Roman" w:hAnsi="Times New Roman"/>
          <w:color w:val="1F2937"/>
          <w:sz w:val="18"/>
        </w:rPr>
        <w:t>•  Objective 1: Multi-Language Polyglot Cryptographic Discovery. Develop a unified, extensible static analysis scanner capable of traversing enterprise repositories across seven ecosystems (Python, JS/TS, Java/Kotlin, Go, Rust, C/C++, and IaC configurations) to comprehensively detect cryptographic primitives, cipher modes, key lengths, and library invocations while systematically eliminating comment-induced false positives.</w:t>
      </w:r>
    </w:p>
    <w:p>
      <w:pPr>
        <w:spacing w:before="0" w:after="60" w:line="264" w:lineRule="auto"/>
        <w:ind w:left="259"/>
        <w:jc w:val="both"/>
      </w:pPr>
      <w:r>
        <w:rPr>
          <w:rFonts w:ascii="Times New Roman" w:hAnsi="Times New Roman"/>
          <w:color w:val="1F2937"/>
          <w:sz w:val="18"/>
        </w:rPr>
        <w:t>•  Objective 2: Heterogeneous Property Graph Construction. Construct a canonical code property graph modeling six node entity types and six semantic edge relations, enforcing structural invariants and cycle-handling to faithfully capture direct and indirect cryptographic dependency paths.</w:t>
      </w:r>
    </w:p>
    <w:p>
      <w:pPr>
        <w:spacing w:before="0" w:after="60" w:line="264" w:lineRule="auto"/>
        <w:ind w:left="259"/>
        <w:jc w:val="both"/>
      </w:pPr>
      <w:r>
        <w:rPr>
          <w:rFonts w:ascii="Times New Roman" w:hAnsi="Times New Roman"/>
          <w:color w:val="1F2937"/>
          <w:sz w:val="18"/>
        </w:rPr>
        <w:t>•  Objective 3: Deterministic Multi-Factor Risk &amp; Mosca Timeline Prioritization. Formulate a normalized 7-factor deterministic heuristic scoring engine integrating algorithm vulnerability, key size weakness, exposure tier, architectural centrality, CVE history, migration friction, and data sensitivity, coupled with an operationalized Mosca index to project urgency against quantum arrival timelines.</w:t>
      </w:r>
    </w:p>
    <w:p>
      <w:pPr>
        <w:spacing w:before="0" w:after="60" w:line="264" w:lineRule="auto"/>
        <w:ind w:left="259"/>
        <w:jc w:val="both"/>
      </w:pPr>
      <w:r>
        <w:rPr>
          <w:rFonts w:ascii="Times New Roman" w:hAnsi="Times New Roman"/>
          <w:color w:val="1F2937"/>
          <w:sz w:val="18"/>
        </w:rPr>
        <w:t>•  Objective 4: Graph Representation Learning &amp; Risk Distillation via GATv2. Train a dynamic Graph Attention Network v2 (GATv2) model over 14-dimensional node feature vectors to learn structural risk representations across complex dependency topologies, rigorously framed as weak-supervision knowledge distillation.</w:t>
      </w:r>
    </w:p>
    <w:p>
      <w:pPr>
        <w:spacing w:before="0" w:after="60" w:line="264" w:lineRule="auto"/>
        <w:ind w:left="259"/>
        <w:jc w:val="both"/>
      </w:pPr>
      <w:r>
        <w:rPr>
          <w:rFonts w:ascii="Times New Roman" w:hAnsi="Times New Roman"/>
          <w:color w:val="1F2937"/>
          <w:sz w:val="18"/>
        </w:rPr>
        <w:t>•  Objective 5: Enterprise Governance, CBOM Export, and Audit Provenance. Provide full lifecycle migration state management (6 states: Discovered to Quantum-Safe), native export of CycloneDX v1.6 Cryptographic Bill of Materials (CBOM) with NIST FIPS 203-205 mappings, and tamper-evident append-only SQLite audit logging with SHA-256 provenance hashes.</w:t>
      </w:r>
    </w:p>
    <w:p>
      <w:pPr>
        <w:keepNext/>
        <w:spacing w:before="180" w:after="60"/>
        <w:jc w:val="left"/>
      </w:pPr>
      <w:r>
        <w:rPr>
          <w:rFonts w:ascii="Times New Roman" w:hAnsi="Times New Roman"/>
          <w:b/>
          <w:i/>
          <w:color w:val="1E293B"/>
          <w:sz w:val="19"/>
        </w:rPr>
        <w:t>D. Research Questions</w:t>
      </w:r>
    </w:p>
    <w:p>
      <w:pPr>
        <w:spacing w:before="0" w:after="80" w:line="269" w:lineRule="auto"/>
        <w:ind w:firstLine="216"/>
        <w:jc w:val="both"/>
      </w:pPr>
      <w:r>
        <w:rPr>
          <w:rFonts w:ascii="Times New Roman" w:hAnsi="Times New Roman"/>
          <w:color w:val="1F2937"/>
          <w:sz w:val="19"/>
        </w:rPr>
        <w:t>Throughout the subsequent design, implementation, and empirical validation phases, we systematically evaluate AgileGraph against five primary Research Questions (RQs):</w:t>
      </w:r>
    </w:p>
    <w:p>
      <w:pPr>
        <w:spacing w:before="0" w:after="60" w:line="264" w:lineRule="auto"/>
        <w:ind w:left="259"/>
        <w:jc w:val="both"/>
      </w:pPr>
      <w:r>
        <w:rPr>
          <w:rFonts w:ascii="Times New Roman" w:hAnsi="Times New Roman"/>
          <w:color w:val="1F2937"/>
          <w:sz w:val="18"/>
        </w:rPr>
        <w:t>•  RQ1 (Polyglot Accuracy): Can an AST-driven scanner accurately identify cryptographic primitives and eliminate false positives across diverse programming languages without relying on heavyweight compiler infrastructures?</w:t>
      </w:r>
    </w:p>
    <w:p>
      <w:pPr>
        <w:spacing w:before="0" w:after="60" w:line="264" w:lineRule="auto"/>
        <w:ind w:left="259"/>
        <w:jc w:val="both"/>
      </w:pPr>
      <w:r>
        <w:rPr>
          <w:rFonts w:ascii="Times New Roman" w:hAnsi="Times New Roman"/>
          <w:color w:val="1F2937"/>
          <w:sz w:val="18"/>
        </w:rPr>
        <w:t>•  RQ2 (Topological Signal): Does dynamic graph representation learning via GATv2 exploit genuine topological code structure compared to non-relational baselines and edge-shuffled randomized controls?</w:t>
      </w:r>
    </w:p>
    <w:p>
      <w:pPr>
        <w:spacing w:before="0" w:after="60" w:line="264" w:lineRule="auto"/>
        <w:ind w:left="259"/>
        <w:jc w:val="both"/>
      </w:pPr>
      <w:r>
        <w:rPr>
          <w:rFonts w:ascii="Times New Roman" w:hAnsi="Times New Roman"/>
          <w:color w:val="1F2937"/>
          <w:sz w:val="18"/>
        </w:rPr>
        <w:t>•  RQ3 (Sensitivity &amp; Rank Stability): Does the 7-factor deterministic heuristic risk model maintain stable prioritization rankings under parameter perturbations and missing data conditions?</w:t>
      </w:r>
    </w:p>
    <w:p>
      <w:pPr>
        <w:spacing w:before="0" w:after="60" w:line="264" w:lineRule="auto"/>
        <w:ind w:left="259"/>
        <w:jc w:val="both"/>
      </w:pPr>
      <w:r>
        <w:rPr>
          <w:rFonts w:ascii="Times New Roman" w:hAnsi="Times New Roman"/>
          <w:color w:val="1F2937"/>
          <w:sz w:val="18"/>
        </w:rPr>
        <w:t>•  RQ4 (Cross-Project Generalization &amp; Imbalance): How does extreme cross-project class imbalance (such as the concentration of high-risk cryptographic files in dedicated cryptographic libraries) affect out-of-distribution GNN generalization?</w:t>
      </w:r>
    </w:p>
    <w:p>
      <w:pPr>
        <w:spacing w:before="0" w:after="60" w:line="264" w:lineRule="auto"/>
        <w:ind w:left="259"/>
        <w:jc w:val="both"/>
      </w:pPr>
      <w:r>
        <w:rPr>
          <w:rFonts w:ascii="Times New Roman" w:hAnsi="Times New Roman"/>
          <w:color w:val="1F2937"/>
          <w:sz w:val="18"/>
        </w:rPr>
        <w:t>•  RQ5 (Enterprise Utility): Can automated property graph extraction and CBOM generation integrate seamlessly into enterprise CI/CD governance without imposing unacceptable developer friction?</w:t>
      </w:r>
    </w:p>
    <w:p>
      <w:pPr>
        <w:keepNext/>
        <w:spacing w:before="240" w:after="100"/>
        <w:jc w:val="center"/>
      </w:pPr>
      <w:r>
        <w:rPr>
          <w:rFonts w:ascii="Times New Roman" w:hAnsi="Times New Roman"/>
          <w:b/>
          <w:color w:val="0F172A"/>
          <w:sz w:val="20"/>
        </w:rPr>
        <w:t>IV.  AGILEGRAPH SYSTEM ARCHITECTURE</w:t>
      </w:r>
    </w:p>
    <w:p>
      <w:pPr>
        <w:spacing w:before="0" w:after="80" w:line="269" w:lineRule="auto"/>
        <w:ind w:firstLine="216"/>
        <w:jc w:val="both"/>
      </w:pPr>
      <w:r>
        <w:rPr>
          <w:rFonts w:ascii="Times New Roman" w:hAnsi="Times New Roman"/>
          <w:color w:val="1F2937"/>
          <w:sz w:val="19"/>
        </w:rPr>
        <w:t>The AgileGraph platform is engineered as a modular, high-throughput, decoupled multi-tier enterprise architecture. To satisfy the demanding requirements of enterprise software development—including support for heterogeneous polyglot repositories, zero-downtime CI/CD integration, mathematically verifiable risk scoring, and interactive developer dashboards—the system decomposes its functionality across six tightly integrated functional layers. Fig. 1 illustrates the high-level system architecture, and Fig. 2 delineates the sequential data ingestion and analysis pipeline workflow.</w:t>
      </w:r>
    </w:p>
    <w:p>
      <w:pPr>
        <w:keepNext/>
        <w:spacing w:before="120" w:after="40"/>
        <w:jc w:val="center"/>
      </w:pPr>
      <w:r>
        <w:drawing>
          <wp:inline xmlns:a="http://schemas.openxmlformats.org/drawingml/2006/main" xmlns:pic="http://schemas.openxmlformats.org/drawingml/2006/picture">
            <wp:extent cx="3063240" cy="254841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3063240" cy="2548410"/>
                    </a:xfrm>
                    <a:prstGeom prst="rect"/>
                  </pic:spPr>
                </pic:pic>
              </a:graphicData>
            </a:graphic>
          </wp:inline>
        </w:drawing>
      </w:r>
    </w:p>
    <w:p>
      <w:pPr>
        <w:spacing w:before="0" w:after="120"/>
        <w:jc w:val="both"/>
      </w:pPr>
      <w:r>
        <w:rPr>
          <w:rFonts w:ascii="Times New Roman" w:hAnsi="Times New Roman"/>
          <w:color w:val="334155"/>
          <w:sz w:val="16"/>
        </w:rPr>
        <w:t>Fig. 1. End-to-end multi-tier system architecture of AgileGraph, illustrating the flow from polyglot source code ingestion through heterogeneous graph construction, deterministic heuristic risk assessment, GATv2 representation learning, enterprise persistence, and interactive governance interfaces.</w:t>
      </w:r>
    </w:p>
    <w:p>
      <w:pPr>
        <w:keepNext/>
        <w:spacing w:before="180" w:after="60"/>
        <w:jc w:val="left"/>
      </w:pPr>
      <w:r>
        <w:rPr>
          <w:rFonts w:ascii="Times New Roman" w:hAnsi="Times New Roman"/>
          <w:b/>
          <w:i/>
          <w:color w:val="1E293B"/>
          <w:sz w:val="19"/>
        </w:rPr>
        <w:t>A. Architectural Overview and Layer Deconstruction</w:t>
      </w:r>
    </w:p>
    <w:p>
      <w:pPr>
        <w:spacing w:before="0" w:after="80" w:line="269" w:lineRule="auto"/>
        <w:ind w:firstLine="216"/>
        <w:jc w:val="both"/>
      </w:pPr>
      <w:r>
        <w:rPr>
          <w:rFonts w:ascii="Times New Roman" w:hAnsi="Times New Roman"/>
          <w:color w:val="1F2937"/>
          <w:sz w:val="19"/>
        </w:rPr>
        <w:t>The six architectural tiers of AgileGraph are systematically organized as follows:</w:t>
      </w:r>
    </w:p>
    <w:p>
      <w:pPr>
        <w:spacing w:before="0" w:after="60" w:line="264" w:lineRule="auto"/>
        <w:ind w:left="259"/>
        <w:jc w:val="both"/>
      </w:pPr>
      <w:r>
        <w:rPr>
          <w:rFonts w:ascii="Times New Roman" w:hAnsi="Times New Roman"/>
          <w:color w:val="1F2937"/>
          <w:sz w:val="18"/>
        </w:rPr>
        <w:t>•  Layer 1: Codebase Ingestion &amp; Polyglot Parsing Tier. Responsible for traversing physical repository structures, executing language-specific Abstract Syntax Tree (AST) parsing, matching cryptographic invocation signatures, resolving configuration files, and stripping comments to eliminate spurious detections across seven programming ecosystems.</w:t>
      </w:r>
    </w:p>
    <w:p>
      <w:pPr>
        <w:spacing w:before="0" w:after="60" w:line="264" w:lineRule="auto"/>
        <w:ind w:left="259"/>
        <w:jc w:val="both"/>
      </w:pPr>
      <w:r>
        <w:rPr>
          <w:rFonts w:ascii="Times New Roman" w:hAnsi="Times New Roman"/>
          <w:color w:val="1F2937"/>
          <w:sz w:val="18"/>
        </w:rPr>
        <w:t>•  Layer 2: Knowledge Graph Construction Tier. Converts parsed AST symbols, file dependencies, and configuration mappings into a canonical heterogeneous property graph. Enforces structural graph invariants, computes degree centrality, and synthesizes 14-dimensional feature embedding vectors for all file nodes.</w:t>
      </w:r>
    </w:p>
    <w:p>
      <w:pPr>
        <w:spacing w:before="0" w:after="60" w:line="264" w:lineRule="auto"/>
        <w:ind w:left="259"/>
        <w:jc w:val="both"/>
      </w:pPr>
      <w:r>
        <w:rPr>
          <w:rFonts w:ascii="Times New Roman" w:hAnsi="Times New Roman"/>
          <w:color w:val="1F2937"/>
          <w:sz w:val="18"/>
        </w:rPr>
        <w:t>•  Layer 3: Deterministic Heuristic Risk &amp; Mosca Engine. Evaluates the multi-factor heuristic risk scoring model across all discovered assets. Combines static parameter checks with operationalized Mosca inequality parameters to project asset-level quantum exposure and generate the 2D migration triage matrix.</w:t>
      </w:r>
    </w:p>
    <w:p>
      <w:pPr>
        <w:spacing w:before="0" w:after="60" w:line="264" w:lineRule="auto"/>
        <w:ind w:left="259"/>
        <w:jc w:val="both"/>
      </w:pPr>
      <w:r>
        <w:rPr>
          <w:rFonts w:ascii="Times New Roman" w:hAnsi="Times New Roman"/>
          <w:color w:val="1F2937"/>
          <w:sz w:val="18"/>
        </w:rPr>
        <w:t>•  Layer 4: GATv2 Graph Representation Learning Tier. Implements a PyTorch Geometric pipeline executing Graph Attention Networks v2 (GATv2) with dynamic attention mechanics. Distills heuristic risk labels over code topology to capture indirect risk amplification and latent structural vulnerability propagation.</w:t>
      </w:r>
    </w:p>
    <w:p>
      <w:pPr>
        <w:spacing w:before="0" w:after="60" w:line="264" w:lineRule="auto"/>
        <w:ind w:left="259"/>
        <w:jc w:val="both"/>
      </w:pPr>
      <w:r>
        <w:rPr>
          <w:rFonts w:ascii="Times New Roman" w:hAnsi="Times New Roman"/>
          <w:color w:val="1F2937"/>
          <w:sz w:val="18"/>
        </w:rPr>
        <w:t>•  Layer 5: Enterprise Persistence &amp; Cryptographic Audit Tier. Manages long-term state persistence using an append-only SQLite schema. Generates SHA-256 provenance hashes for configuration and repository snapshots, and outputs standardized CycloneDX v1.6 Cryptographic Bill of Materials (CBOM) records.</w:t>
      </w:r>
    </w:p>
    <w:p>
      <w:pPr>
        <w:spacing w:before="0" w:after="60" w:line="264" w:lineRule="auto"/>
        <w:ind w:left="259"/>
        <w:jc w:val="both"/>
      </w:pPr>
      <w:r>
        <w:rPr>
          <w:rFonts w:ascii="Times New Roman" w:hAnsi="Times New Roman"/>
          <w:color w:val="1F2937"/>
          <w:sz w:val="18"/>
        </w:rPr>
        <w:t>•  Layer 6: Interactive Visualization &amp; Migration Planning Interface. A responsive React/TypeScript frontend providing 2D/3D force-directed interactive property graph navigation, filterable risk heatmaps, lifecycle state transition management, and actionable migration roadmaps.</w:t>
      </w:r>
    </w:p>
    <w:p>
      <w:pPr>
        <w:keepNext/>
        <w:spacing w:before="120" w:after="40"/>
        <w:jc w:val="center"/>
      </w:pPr>
      <w:r>
        <w:drawing>
          <wp:inline xmlns:a="http://schemas.openxmlformats.org/drawingml/2006/main" xmlns:pic="http://schemas.openxmlformats.org/drawingml/2006/picture">
            <wp:extent cx="3063240" cy="1520601"/>
            <wp:docPr id="2" name="Picture 2"/>
            <wp:cNvGraphicFramePr>
              <a:graphicFrameLocks noChangeAspect="1"/>
            </wp:cNvGraphicFramePr>
            <a:graphic>
              <a:graphicData uri="http://schemas.openxmlformats.org/drawingml/2006/picture">
                <pic:pic>
                  <pic:nvPicPr>
                    <pic:cNvPr id="0" name="fig2_pipeline_workflow.png"/>
                    <pic:cNvPicPr/>
                  </pic:nvPicPr>
                  <pic:blipFill>
                    <a:blip r:embed="rId11"/>
                    <a:stretch>
                      <a:fillRect/>
                    </a:stretch>
                  </pic:blipFill>
                  <pic:spPr>
                    <a:xfrm>
                      <a:off x="0" y="0"/>
                      <a:ext cx="3063240" cy="1520601"/>
                    </a:xfrm>
                    <a:prstGeom prst="rect"/>
                  </pic:spPr>
                </pic:pic>
              </a:graphicData>
            </a:graphic>
          </wp:inline>
        </w:drawing>
      </w:r>
    </w:p>
    <w:p>
      <w:pPr>
        <w:spacing w:before="0" w:after="120"/>
        <w:jc w:val="both"/>
      </w:pPr>
      <w:r>
        <w:rPr>
          <w:rFonts w:ascii="Times New Roman" w:hAnsi="Times New Roman"/>
          <w:color w:val="334155"/>
          <w:sz w:val="16"/>
        </w:rPr>
        <w:t>Fig. 2. Pipeline workflow execution lifecycle, detailing the transformation of raw polyglot source trees into validated heterogeneous graphs, 14-dimensional node feature vectors, trained GATv2 embeddings, and enterprise CBOM deliverables.</w:t>
      </w:r>
    </w:p>
    <w:p>
      <w:pPr>
        <w:keepNext/>
        <w:spacing w:before="180" w:after="60"/>
        <w:jc w:val="left"/>
      </w:pPr>
      <w:r>
        <w:rPr>
          <w:rFonts w:ascii="Times New Roman" w:hAnsi="Times New Roman"/>
          <w:b/>
          <w:i/>
          <w:color w:val="1E293B"/>
          <w:sz w:val="19"/>
        </w:rPr>
        <w:t>B. Pipeline Workflow Execution Lifecycle</w:t>
      </w:r>
    </w:p>
    <w:p>
      <w:pPr>
        <w:spacing w:before="0" w:after="80" w:line="269" w:lineRule="auto"/>
        <w:ind w:firstLine="216"/>
        <w:jc w:val="both"/>
      </w:pPr>
      <w:r>
        <w:rPr>
          <w:rFonts w:ascii="Times New Roman" w:hAnsi="Times New Roman"/>
          <w:color w:val="1F2937"/>
          <w:sz w:val="19"/>
        </w:rPr>
        <w:t>The operational lifecycle begins when an enterprise codebase is registered via directory ingestion or git repository cloning. The Polyglot Discovery Engine initiates parallel scanning threads across all detected file extensions. For each file, the parser traverses AST symbol tables, extracting cryptographic algorithm names (e.g., RSA, AES, ECDSA, Kyber), key sizes (e.g., 1024, 2048, 256), cipher modes (e.g., ECB, CBC, GCM), and padding schemes. Concurrently, package managers (e.g., requirements.txt, package.json, pom.xml, go.mod, Cargo.toml) and configuration files (e.g., TLS configurations, Dockerfiles, Kubernetes manifests) are parsed to identify external dependencies and runtime deployment environments.</w:t>
      </w:r>
    </w:p>
    <w:p>
      <w:pPr>
        <w:spacing w:before="0" w:after="80" w:line="269" w:lineRule="auto"/>
        <w:ind w:firstLine="216"/>
        <w:jc w:val="both"/>
      </w:pPr>
      <w:r>
        <w:rPr>
          <w:rFonts w:ascii="Times New Roman" w:hAnsi="Times New Roman"/>
          <w:color w:val="1F2937"/>
          <w:sz w:val="19"/>
        </w:rPr>
        <w:t>The Knowledge Graph Construction Tier ingests these raw extraction events and builds an in-memory NetworkX directed property graph. Structural nodes representing files, cryptographic assets, functions, and third-party dependencies are instantiated, and directed edges are woven based on import statements, function call sites, asset definitions, and configuration bindings. Graph invariants are checked: disconnected nodes are pruned, multi-edges are deduplicated, and dependency cycles are resolved. Degree centrality and PageRank metrics are calculated and concatenated with static syntactic features to yield the unified 14-dimensional feature vector $\mathbf{x}_i$ for every file node.</w:t>
      </w:r>
    </w:p>
    <w:p>
      <w:pPr>
        <w:spacing w:before="0" w:after="80" w:line="269" w:lineRule="auto"/>
        <w:ind w:firstLine="216"/>
        <w:jc w:val="both"/>
      </w:pPr>
      <w:r>
        <w:rPr>
          <w:rFonts w:ascii="Times New Roman" w:hAnsi="Times New Roman"/>
          <w:color w:val="1F2937"/>
          <w:sz w:val="19"/>
        </w:rPr>
        <w:t>In the analytical phase, the Deterministic Heuristic Risk Engine computes normalized risk scores across all assets using our canonical 7-factor formulation, establishing weak-supervision triage labels. The GATv2 Neural Tier ingests the graph structure and feature matrices, training multi-head attention layers to propagate structural vulnerability representations. Finally, the Persistence Tier writes all asset records, risk classifications, and migration statuses to the append-only database, outputting verified CycloneDX v1.6 CBOM artifacts and feeding real-time updates to the interactive dashboard.</w:t>
      </w:r>
    </w:p>
    <w:p>
      <w:pPr>
        <w:keepNext/>
        <w:spacing w:before="240" w:after="100"/>
        <w:jc w:val="center"/>
      </w:pPr>
      <w:r>
        <w:rPr>
          <w:rFonts w:ascii="Times New Roman" w:hAnsi="Times New Roman"/>
          <w:b/>
          <w:color w:val="0F172A"/>
          <w:sz w:val="20"/>
        </w:rPr>
        <w:t>V.  MULTI-LANGUAGE STATIC DISCOVERY ENGINE</w:t>
      </w:r>
    </w:p>
    <w:p>
      <w:pPr>
        <w:spacing w:before="0" w:after="80" w:line="269" w:lineRule="auto"/>
        <w:ind w:firstLine="216"/>
        <w:jc w:val="both"/>
      </w:pPr>
      <w:r>
        <w:rPr>
          <w:rFonts w:ascii="Times New Roman" w:hAnsi="Times New Roman"/>
          <w:color w:val="1F2937"/>
          <w:sz w:val="19"/>
        </w:rPr>
        <w:t>Enterprise software architectures rarely adhere to a single monoculture; enterprise systems routinely combine legacy C/C++ native libraries, Java backend services, Python data pipelines, Go microservices, Rust system utilities, and JavaScript/TypeScript web applications. To provide comprehensive cryptographic visibility, AgileGraph implements a dedicated Polyglot Static Discovery Engine capable of parsing seven distinct programming languages and configuration ecosystems.</w:t>
      </w:r>
    </w:p>
    <w:p>
      <w:pPr>
        <w:keepNext/>
        <w:spacing w:before="180" w:after="60"/>
        <w:jc w:val="left"/>
      </w:pPr>
      <w:r>
        <w:rPr>
          <w:rFonts w:ascii="Times New Roman" w:hAnsi="Times New Roman"/>
          <w:b/>
          <w:i/>
          <w:color w:val="1E293B"/>
          <w:sz w:val="19"/>
        </w:rPr>
        <w:t>A. Scanner Architecture and Language Parsers</w:t>
      </w:r>
    </w:p>
    <w:p>
      <w:pPr>
        <w:spacing w:before="0" w:after="80" w:line="269" w:lineRule="auto"/>
        <w:ind w:firstLine="216"/>
        <w:jc w:val="both"/>
      </w:pPr>
      <w:r>
        <w:rPr>
          <w:rFonts w:ascii="Times New Roman" w:hAnsi="Times New Roman"/>
          <w:color w:val="1F2937"/>
          <w:sz w:val="19"/>
        </w:rPr>
        <w:t>The discovery engine is constructed around a pluggable scanner registry. Each language parser adheres to a standardized abstract interface that accepts raw file content and path metadata, returning a structured collection of cryptographic asset descriptors. The specific parsing mechanisms per ecosystem are detailed as follows:</w:t>
      </w:r>
    </w:p>
    <w:p>
      <w:pPr>
        <w:spacing w:before="0" w:after="60" w:line="264" w:lineRule="auto"/>
        <w:ind w:left="259"/>
        <w:jc w:val="both"/>
      </w:pPr>
      <w:r>
        <w:rPr>
          <w:rFonts w:ascii="Times New Roman" w:hAnsi="Times New Roman"/>
          <w:color w:val="1F2937"/>
          <w:sz w:val="18"/>
        </w:rPr>
        <w:t>•  1) Python Parser: Utilizes Python's native `ast` module to construct high-fidelity Abstract Syntax Trees. Analyzes `Import` and `ImportFrom` nodes to track cryptographic package imports (e.g., `cryptography.hazmat`, `Crypto.Cipher`, `hashlib`, `ssl`). Traverses `Call` nodes to inspect function invocation names, positional arguments, and keyword arguments, extracting algorithm names, key sizes, and block cipher modes with exact line and column provenance.</w:t>
      </w:r>
    </w:p>
    <w:p>
      <w:pPr>
        <w:spacing w:before="0" w:after="60" w:line="264" w:lineRule="auto"/>
        <w:ind w:left="259"/>
        <w:jc w:val="both"/>
      </w:pPr>
      <w:r>
        <w:rPr>
          <w:rFonts w:ascii="Times New Roman" w:hAnsi="Times New Roman"/>
          <w:color w:val="1F2937"/>
          <w:sz w:val="18"/>
        </w:rPr>
        <w:t>•  2) JavaScript / TypeScript Parser: Leverages regex tokenization and lightweight syntactic pattern matching optimized for ECMAScript modules (ESM) and CommonJS. Identifies Web Crypto API calls (`crypto.subtle.generateKey`), Node.js `crypto` module methods (`crypto.createCipheriv`), and third-party cryptographic libraries (e.g., `forge`, `crypto-js`, `noble-curves`), capturing curve names and key parameters.</w:t>
      </w:r>
    </w:p>
    <w:p>
      <w:pPr>
        <w:spacing w:before="0" w:after="60" w:line="264" w:lineRule="auto"/>
        <w:ind w:left="259"/>
        <w:jc w:val="both"/>
      </w:pPr>
      <w:r>
        <w:rPr>
          <w:rFonts w:ascii="Times New Roman" w:hAnsi="Times New Roman"/>
          <w:color w:val="1F2937"/>
          <w:sz w:val="18"/>
        </w:rPr>
        <w:t>•  3) Java / Kotlin Parser: Detects standard Java Cryptography Architecture (JCA) and Java Cryptography Extension (JCE) factory patterns, specifically `Cipher.getInstance("...")`, `KeyPairGenerator.getInstance("...")`, `KeyAgreement.getInstance("...")`, and `MessageDigest.getInstance("...")`. Parses full transformation strings (e.g., 'RSA/ECB/OAEPWithSHA-256AndMGF1Padding') into constituent algorithm, mode, and padding components.</w:t>
      </w:r>
    </w:p>
    <w:p>
      <w:pPr>
        <w:spacing w:before="0" w:after="60" w:line="264" w:lineRule="auto"/>
        <w:ind w:left="259"/>
        <w:jc w:val="both"/>
      </w:pPr>
      <w:r>
        <w:rPr>
          <w:rFonts w:ascii="Times New Roman" w:hAnsi="Times New Roman"/>
          <w:color w:val="1F2937"/>
          <w:sz w:val="18"/>
        </w:rPr>
        <w:t>•  4) Go Parser: Identifies Go standard library cryptographic packages (`crypto/rsa`, `crypto/ecdsa`, `crypto/tls`, `crypto/aes`, `crypto/cipher`) and popular third-party modules. Inspects struct instantiations and key generation function invocations (`rsa.GenerateKey`, `tls.Config{CipherSuites: ...}`).</w:t>
      </w:r>
    </w:p>
    <w:p>
      <w:pPr>
        <w:spacing w:before="0" w:after="60" w:line="264" w:lineRule="auto"/>
        <w:ind w:left="259"/>
        <w:jc w:val="both"/>
      </w:pPr>
      <w:r>
        <w:rPr>
          <w:rFonts w:ascii="Times New Roman" w:hAnsi="Times New Roman"/>
          <w:color w:val="1F2937"/>
          <w:sz w:val="18"/>
        </w:rPr>
        <w:t>•  5) Rust Parser: Scans Cargo manifest dependencies (`Cargo.toml`) and source code utilizing `rust-crypto`, `ring`, `rsa`, `p256`, and `rustls`. Extracts cipher builder patterns and trait implementations.</w:t>
      </w:r>
    </w:p>
    <w:p>
      <w:pPr>
        <w:spacing w:before="0" w:after="60" w:line="264" w:lineRule="auto"/>
        <w:ind w:left="259"/>
        <w:jc w:val="both"/>
      </w:pPr>
      <w:r>
        <w:rPr>
          <w:rFonts w:ascii="Times New Roman" w:hAnsi="Times New Roman"/>
          <w:color w:val="1F2937"/>
          <w:sz w:val="18"/>
        </w:rPr>
        <w:t>•  6) C / C++ Parser: Analyzes OpenSSL (`EVP_EncryptInit_ex`, `RSA_new`), Libgcrypt, and mbedTLS API bindings. Detects low-level cryptographic structure initializations, header includes (`openssl/evp.h`, `openssl/rsa.h`), and cipher algorithm macros.</w:t>
      </w:r>
    </w:p>
    <w:p>
      <w:pPr>
        <w:spacing w:before="0" w:after="60" w:line="264" w:lineRule="auto"/>
        <w:ind w:left="259"/>
        <w:jc w:val="both"/>
      </w:pPr>
      <w:r>
        <w:rPr>
          <w:rFonts w:ascii="Times New Roman" w:hAnsi="Times New Roman"/>
          <w:color w:val="1F2937"/>
          <w:sz w:val="18"/>
        </w:rPr>
        <w:t>•  7) Infrastructure-as-Code &amp; Config Parser: Traverses YAML, JSON, Dockerfiles, and Kubernetes manifests to detect TLS termination parameters, minimal protocol versions (e.g., `TLSv1.2`, `TLSv1.3`), hardcoded private key blocks (`-----BEGIN RSA PRIVATE KEY-----`), and cipher suite configuration strings.</w:t>
      </w:r>
    </w:p>
    <w:p>
      <w:pPr>
        <w:keepNext/>
        <w:spacing w:before="180" w:after="60"/>
        <w:jc w:val="left"/>
      </w:pPr>
      <w:r>
        <w:rPr>
          <w:rFonts w:ascii="Times New Roman" w:hAnsi="Times New Roman"/>
          <w:b/>
          <w:i/>
          <w:color w:val="1E293B"/>
          <w:sz w:val="19"/>
        </w:rPr>
        <w:t>B. AST Extraction and Pattern Matching Algorithm</w:t>
      </w:r>
    </w:p>
    <w:p>
      <w:pPr>
        <w:spacing w:before="0" w:after="80" w:line="269" w:lineRule="auto"/>
        <w:ind w:firstLine="216"/>
        <w:jc w:val="both"/>
      </w:pPr>
      <w:r>
        <w:rPr>
          <w:rFonts w:ascii="Times New Roman" w:hAnsi="Times New Roman"/>
          <w:color w:val="1F2937"/>
          <w:sz w:val="19"/>
        </w:rPr>
        <w:t>Algorithm 1 formally defines the operational logic of the Polyglot Cryptographic Asset Extraction Engine. The algorithm systematically scans file trees, applies language-specific parsing with fallback pattern matching, extracts cryptographic assets, computes structural dependencies, and generates the property graph.</w:t>
      </w:r>
    </w:p>
    <w:tbl>
      <w:tblPr>
        <w:tblW w:type="auto" w:w="0"/>
        <w:jc w:val="center"/>
        <w:tblLook w:firstColumn="1" w:firstRow="1" w:lastColumn="0" w:lastRow="0" w:noHBand="0" w:noVBand="1" w:val="04A0"/>
      </w:tblPr>
      <w:tblGrid>
        <w:gridCol w:w="10440"/>
      </w:tblGrid>
      <w:tr>
        <w:tc>
          <w:tcPr>
            <w:tcW w:type="dxa" w:w="10440"/>
            <w:shd w:fill="F8FAFC"/>
            <w:tcBorders>
              <w:top w:val="single" w:sz="12" w:space="0" w:color="1E293B"/>
              <w:left w:val="single" w:sz="4" w:space="0" w:color="94A3B8"/>
              <w:bottom w:val="single" w:sz="12" w:space="0" w:color="1E293B"/>
              <w:right w:val="single" w:sz="4" w:space="0" w:color="94A3B8"/>
            </w:tcBorders>
            <w:tcMar>
              <w:top w:w="120" w:type="dxa"/>
              <w:bottom w:w="120" w:type="dxa"/>
              <w:left w:w="150" w:type="dxa"/>
              <w:right w:w="150" w:type="dxa"/>
            </w:tcMar>
          </w:tcPr>
          <w:p>
            <w:pPr>
              <w:spacing w:before="0" w:after="60"/>
              <w:jc w:val="left"/>
            </w:pPr>
            <w:r>
              <w:rPr>
                <w:rFonts w:ascii="Times New Roman" w:hAnsi="Times New Roman"/>
                <w:b/>
                <w:sz w:val="17"/>
              </w:rPr>
              <w:t>Algorithm 1: Polyglot Cryptographic Asset Extraction and Property Graph Construction</w:t>
            </w:r>
          </w:p>
          <w:p>
            <w:pPr>
              <w:spacing w:before="0" w:after="60"/>
            </w:pPr>
            <w:r>
              <w:rPr>
                <w:rFonts w:ascii="Times New Roman" w:hAnsi="Times New Roman"/>
                <w:i/>
                <w:sz w:val="16"/>
              </w:rPr>
              <w:t>Input: Repository root path $\mathcal{P}_{root}$, supported scanner registry $\mathcal{S}_{reg}$</w:t>
              <w:br/>
              <w:t>Output: Heterogeneous Property Graph $\mathcal{G} = (\mathcal{V}, \mathcal{E}, \phi, \psi)$, Asset Inventory $\mathcal{A}$</w:t>
            </w:r>
          </w:p>
          <w:p>
            <w:pPr>
              <w:spacing w:before="0" w:after="30"/>
            </w:pPr>
            <w:r>
              <w:rPr>
                <w:rFonts w:ascii="Courier New" w:hAnsi="Courier New"/>
                <w:sz w:val="15"/>
              </w:rPr>
              <w:t>1: Initialize $\mathcal{V} \leftarrow \emptyset, \mathcal{E} \leftarrow \emptyset, \mathcal{A} \leftarrow \emptyset$</w:t>
            </w:r>
          </w:p>
          <w:p>
            <w:pPr>
              <w:spacing w:before="0" w:after="30"/>
            </w:pPr>
            <w:r>
              <w:rPr>
                <w:rFonts w:ascii="Courier New" w:hAnsi="Courier New"/>
                <w:sz w:val="15"/>
              </w:rPr>
              <w:t>2: Instantiate repository node $v_{repo}$ with $\phi(v_{repo}) = \text{Repository}$; $\mathcal{V} \leftarrow \mathcal{V} \cup \{v_{repo}\}$</w:t>
            </w:r>
          </w:p>
          <w:p>
            <w:pPr>
              <w:spacing w:before="0" w:after="30"/>
            </w:pPr>
            <w:r>
              <w:rPr>
                <w:rFonts w:ascii="Courier New" w:hAnsi="Courier New"/>
                <w:sz w:val="15"/>
              </w:rPr>
              <w:t>3: for each file path $p \in \text{Walk}(\mathcal{P}_{root})$ do</w:t>
            </w:r>
          </w:p>
          <w:p>
            <w:pPr>
              <w:spacing w:before="0" w:after="30"/>
            </w:pPr>
            <w:r>
              <w:rPr>
                <w:rFonts w:ascii="Courier New" w:hAnsi="Courier New"/>
                <w:sz w:val="15"/>
              </w:rPr>
              <w:t>4:    if IsIgnoredPath(p) then continue end if</w:t>
            </w:r>
          </w:p>
          <w:p>
            <w:pPr>
              <w:spacing w:before="0" w:after="30"/>
            </w:pPr>
            <w:r>
              <w:rPr>
                <w:rFonts w:ascii="Courier New" w:hAnsi="Courier New"/>
                <w:sz w:val="15"/>
              </w:rPr>
              <w:t>5:    $lang \leftarrow \text{DetectLanguage}(p)$</w:t>
            </w:r>
          </w:p>
          <w:p>
            <w:pPr>
              <w:spacing w:before="0" w:after="30"/>
            </w:pPr>
            <w:r>
              <w:rPr>
                <w:rFonts w:ascii="Courier New" w:hAnsi="Courier New"/>
                <w:sz w:val="15"/>
              </w:rPr>
              <w:t>6:    $content \leftarrow \text{ReadFileContent}(p)$</w:t>
            </w:r>
          </w:p>
          <w:p>
            <w:pPr>
              <w:spacing w:before="0" w:after="30"/>
            </w:pPr>
            <w:r>
              <w:rPr>
                <w:rFonts w:ascii="Courier New" w:hAnsi="Courier New"/>
                <w:sz w:val="15"/>
              </w:rPr>
              <w:t>7:    $content_{clean} \leftarrow \text{StripCommentsAndStrings}(content, lang)$</w:t>
            </w:r>
          </w:p>
          <w:p>
            <w:pPr>
              <w:spacing w:before="0" w:after="30"/>
            </w:pPr>
            <w:r>
              <w:rPr>
                <w:rFonts w:ascii="Courier New" w:hAnsi="Courier New"/>
                <w:sz w:val="15"/>
              </w:rPr>
              <w:t>8:    Instantiate file node $v_f$ with $\phi(v_f) = \text{File}, \text{path} = p$; $\mathcal{V} \leftarrow \mathcal{V} \cup \{v_f\}$</w:t>
            </w:r>
          </w:p>
          <w:p>
            <w:pPr>
              <w:spacing w:before="0" w:after="30"/>
            </w:pPr>
            <w:r>
              <w:rPr>
                <w:rFonts w:ascii="Courier New" w:hAnsi="Courier New"/>
                <w:sz w:val="15"/>
              </w:rPr>
              <w:t>9:    $\mathcal{E} \leftarrow \mathcal{E} \cup \{(v_{repo}, v_f, \text{CONTAINS})\}$</w:t>
            </w:r>
          </w:p>
          <w:p>
            <w:pPr>
              <w:spacing w:before="0" w:after="30"/>
            </w:pPr>
            <w:r>
              <w:rPr>
                <w:rFonts w:ascii="Courier New" w:hAnsi="Courier New"/>
                <w:sz w:val="15"/>
              </w:rPr>
              <w:t>10:   if $lang \in \mathcal{S}_{reg}$ then</w:t>
            </w:r>
          </w:p>
          <w:p>
            <w:pPr>
              <w:spacing w:before="0" w:after="30"/>
            </w:pPr>
            <w:r>
              <w:rPr>
                <w:rFonts w:ascii="Courier New" w:hAnsi="Courier New"/>
                <w:sz w:val="15"/>
              </w:rPr>
              <w:t>11:       $\mathcal{A}_p, \mathcal{D}_p, \mathcal{F}_p \leftarrow \mathcal{S}_{reg}[lang].\text{Parse}(content_{clean}, p)$</w:t>
            </w:r>
          </w:p>
          <w:p>
            <w:pPr>
              <w:spacing w:before="0" w:after="30"/>
            </w:pPr>
            <w:r>
              <w:rPr>
                <w:rFonts w:ascii="Courier New" w:hAnsi="Courier New"/>
                <w:sz w:val="15"/>
              </w:rPr>
              <w:t>12:       for each asset $a \in \mathcal{A}_p$ do</w:t>
            </w:r>
          </w:p>
          <w:p>
            <w:pPr>
              <w:spacing w:before="0" w:after="30"/>
            </w:pPr>
            <w:r>
              <w:rPr>
                <w:rFonts w:ascii="Courier New" w:hAnsi="Courier New"/>
                <w:sz w:val="15"/>
              </w:rPr>
              <w:t>13:           Instantiate node $v_a$ with $\phi(v_a) = \text{CryptoAsset}$; $\mathcal{V} \leftarrow \mathcal{V} \cup \{v_a\}$</w:t>
            </w:r>
          </w:p>
          <w:p>
            <w:pPr>
              <w:spacing w:before="0" w:after="30"/>
            </w:pPr>
            <w:r>
              <w:rPr>
                <w:rFonts w:ascii="Courier New" w:hAnsi="Courier New"/>
                <w:sz w:val="15"/>
              </w:rPr>
              <w:t>14:           $\mathcal{E} \leftarrow \mathcal{E} \cup \{(v_f, v_a, \text{DEFINES})\}$</w:t>
            </w:r>
          </w:p>
          <w:p>
            <w:pPr>
              <w:spacing w:before="0" w:after="30"/>
            </w:pPr>
            <w:r>
              <w:rPr>
                <w:rFonts w:ascii="Courier New" w:hAnsi="Courier New"/>
                <w:sz w:val="15"/>
              </w:rPr>
              <w:t>15:           $\mathcal{A} \leftarrow \mathcal{A} \cup \{a\}$</w:t>
            </w:r>
          </w:p>
          <w:p>
            <w:pPr>
              <w:spacing w:before="0" w:after="30"/>
            </w:pPr>
            <w:r>
              <w:rPr>
                <w:rFonts w:ascii="Courier New" w:hAnsi="Courier New"/>
                <w:sz w:val="15"/>
              </w:rPr>
              <w:t>16:       end for</w:t>
            </w:r>
          </w:p>
          <w:p>
            <w:pPr>
              <w:spacing w:before="0" w:after="30"/>
            </w:pPr>
            <w:r>
              <w:rPr>
                <w:rFonts w:ascii="Courier New" w:hAnsi="Courier New"/>
                <w:sz w:val="15"/>
              </w:rPr>
              <w:t>17:       for each dependency $d \in \mathcal{D}_p$ do</w:t>
            </w:r>
          </w:p>
          <w:p>
            <w:pPr>
              <w:spacing w:before="0" w:after="30"/>
            </w:pPr>
            <w:r>
              <w:rPr>
                <w:rFonts w:ascii="Courier New" w:hAnsi="Courier New"/>
                <w:sz w:val="15"/>
              </w:rPr>
              <w:t>18:           $v_d \leftarrow \text{GetOrCreateDepNode}(\mathcal{V}, d)$</w:t>
            </w:r>
          </w:p>
          <w:p>
            <w:pPr>
              <w:spacing w:before="0" w:after="30"/>
            </w:pPr>
            <w:r>
              <w:rPr>
                <w:rFonts w:ascii="Courier New" w:hAnsi="Courier New"/>
                <w:sz w:val="15"/>
              </w:rPr>
              <w:t>19:           $\mathcal{E} \leftarrow \mathcal{E} \cup \{(v_f, v_d, \text{IMPORTS})\}$</w:t>
            </w:r>
          </w:p>
          <w:p>
            <w:pPr>
              <w:spacing w:before="0" w:after="30"/>
            </w:pPr>
            <w:r>
              <w:rPr>
                <w:rFonts w:ascii="Courier New" w:hAnsi="Courier New"/>
                <w:sz w:val="15"/>
              </w:rPr>
              <w:t>20:       end for</w:t>
            </w:r>
          </w:p>
          <w:p>
            <w:pPr>
              <w:spacing w:before="0" w:after="30"/>
            </w:pPr>
            <w:r>
              <w:rPr>
                <w:rFonts w:ascii="Courier New" w:hAnsi="Courier New"/>
                <w:sz w:val="15"/>
              </w:rPr>
              <w:t>21:   end if</w:t>
            </w:r>
          </w:p>
          <w:p>
            <w:pPr>
              <w:spacing w:before="0" w:after="30"/>
            </w:pPr>
            <w:r>
              <w:rPr>
                <w:rFonts w:ascii="Courier New" w:hAnsi="Courier New"/>
                <w:sz w:val="15"/>
              </w:rPr>
              <w:t>22: end for</w:t>
            </w:r>
          </w:p>
          <w:p>
            <w:pPr>
              <w:spacing w:before="0" w:after="30"/>
            </w:pPr>
            <w:r>
              <w:rPr>
                <w:rFonts w:ascii="Courier New" w:hAnsi="Courier New"/>
                <w:sz w:val="15"/>
              </w:rPr>
              <w:t>23: EnforceGraphInvariants($\mathcal{G}$)</w:t>
            </w:r>
          </w:p>
          <w:p>
            <w:pPr>
              <w:spacing w:before="0" w:after="30"/>
            </w:pPr>
            <w:r>
              <w:rPr>
                <w:rFonts w:ascii="Courier New" w:hAnsi="Courier New"/>
                <w:sz w:val="15"/>
              </w:rPr>
              <w:t>24: return $\mathcal{G}, \mathcal{A}$</w:t>
            </w:r>
          </w:p>
        </w:tc>
      </w:tr>
    </w:tbl>
    <w:p>
      <w:pPr>
        <w:spacing w:before="0" w:after="80"/>
      </w:pPr>
    </w:p>
    <w:p>
      <w:pPr>
        <w:keepNext/>
        <w:spacing w:before="180" w:after="60"/>
        <w:jc w:val="left"/>
      </w:pPr>
      <w:r>
        <w:rPr>
          <w:rFonts w:ascii="Times New Roman" w:hAnsi="Times New Roman"/>
          <w:b/>
          <w:i/>
          <w:color w:val="1E293B"/>
          <w:sz w:val="19"/>
        </w:rPr>
        <w:t>C. Systematic Elimination of Comment-Induced False Positives</w:t>
      </w:r>
    </w:p>
    <w:p>
      <w:pPr>
        <w:spacing w:before="0" w:after="80" w:line="269" w:lineRule="auto"/>
        <w:ind w:firstLine="216"/>
        <w:jc w:val="both"/>
      </w:pPr>
      <w:r>
        <w:rPr>
          <w:rFonts w:ascii="Times New Roman" w:hAnsi="Times New Roman"/>
          <w:color w:val="1F2937"/>
          <w:sz w:val="19"/>
        </w:rPr>
        <w:t>A severe vulnerability in naive static analysis tools is the contamination of vulnerability inventories caused by commented-out code, documentation strings, and historical changelogs. For example, a source file containing the comment `# Migration note: deprecated DES and MD5 in 2018 in favor of AES-GCM` will trigger high-severity alert flags in naive regex tools. AgileGraph addresses this systematically: prior to pattern matching or AST tokenization, each language parser executes comment-stripping preprocessors (e.g., stripping `#` line comments in Python/YAML/Shell, `//` and `/* ... */` blocks in C/Java/Rust/JS). In our empirical benchmark tests, comment-stripping reduced false-positive cryptographic detections by 41.2% across legacy enterprise repositories.</w:t>
      </w:r>
    </w:p>
    <w:p>
      <w:pPr>
        <w:keepNext/>
        <w:spacing w:before="240" w:after="100"/>
        <w:jc w:val="center"/>
      </w:pPr>
      <w:r>
        <w:rPr>
          <w:rFonts w:ascii="Times New Roman" w:hAnsi="Times New Roman"/>
          <w:b/>
          <w:color w:val="0F172A"/>
          <w:sz w:val="20"/>
        </w:rPr>
        <w:t>VI.  HETEROGENEOUS PROPERTY GRAPH ONTOLOGY</w:t>
      </w:r>
    </w:p>
    <w:p>
      <w:pPr>
        <w:spacing w:before="0" w:after="80" w:line="269" w:lineRule="auto"/>
        <w:ind w:firstLine="216"/>
        <w:jc w:val="both"/>
      </w:pPr>
      <w:r>
        <w:rPr>
          <w:rFonts w:ascii="Times New Roman" w:hAnsi="Times New Roman"/>
          <w:color w:val="1F2937"/>
          <w:sz w:val="19"/>
        </w:rPr>
        <w:t>Isolated cryptographic inventories fail to capture the architectural context necessary for effective post-quantum migration. A deprecated RSA key-generation call embedded within an isolated test mock represents negligible operational risk, whereas the identical call located in an enterprise authentication gateway orchestrating identity tokens for thousands of downstream services represents a catastrophic single point of failure. AgileGraph captures these complex topological relationships through a formal Heterogeneous Property Graph ontology.</w:t>
      </w:r>
    </w:p>
    <w:p>
      <w:pPr>
        <w:keepNext/>
        <w:spacing w:before="180" w:after="60"/>
        <w:jc w:val="left"/>
      </w:pPr>
      <w:r>
        <w:rPr>
          <w:rFonts w:ascii="Times New Roman" w:hAnsi="Times New Roman"/>
          <w:b/>
          <w:i/>
          <w:color w:val="1E293B"/>
          <w:sz w:val="19"/>
        </w:rPr>
        <w:t>A. Formal Graph Definition and Schema</w:t>
      </w:r>
    </w:p>
    <w:p>
      <w:pPr>
        <w:spacing w:before="0" w:after="80" w:line="269" w:lineRule="auto"/>
        <w:ind w:firstLine="216"/>
        <w:jc w:val="both"/>
      </w:pPr>
      <w:r>
        <w:rPr>
          <w:rFonts w:ascii="Times New Roman" w:hAnsi="Times New Roman"/>
          <w:color w:val="1F2937"/>
          <w:sz w:val="19"/>
        </w:rPr>
        <w:t>We formally define the AgileGraph Code Property Graph as a typed, attributed, directed multigraph $\mathcal{G} = (\mathcal{V}, \mathcal{E}, \phi, \psi)$, where $\mathcal{V}$ is the node set, $\mathcal{E}$ is the edge set, $\phi: \mathcal{V} \to \mathcal{T}_v$ maps nodes to their structural types, and $\psi: \mathcal{E} \to \mathcal{T}_e$ maps edges to their semantic relation types. Fig. 3 illustrates the formal property graph ontology schema, detailing all six node types, six directed edge relations, and their associated attributes.</w:t>
      </w:r>
    </w:p>
    <w:p>
      <w:pPr>
        <w:keepNext/>
        <w:spacing w:before="120" w:after="40"/>
        <w:jc w:val="center"/>
      </w:pPr>
      <w:r>
        <w:drawing>
          <wp:inline xmlns:a="http://schemas.openxmlformats.org/drawingml/2006/main" xmlns:pic="http://schemas.openxmlformats.org/drawingml/2006/picture">
            <wp:extent cx="3063240" cy="2444404"/>
            <wp:docPr id="3" name="Picture 3"/>
            <wp:cNvGraphicFramePr>
              <a:graphicFrameLocks noChangeAspect="1"/>
            </wp:cNvGraphicFramePr>
            <a:graphic>
              <a:graphicData uri="http://schemas.openxmlformats.org/drawingml/2006/picture">
                <pic:pic>
                  <pic:nvPicPr>
                    <pic:cNvPr id="0" name="fig3_property_graph_schema.png"/>
                    <pic:cNvPicPr/>
                  </pic:nvPicPr>
                  <pic:blipFill>
                    <a:blip r:embed="rId12"/>
                    <a:stretch>
                      <a:fillRect/>
                    </a:stretch>
                  </pic:blipFill>
                  <pic:spPr>
                    <a:xfrm>
                      <a:off x="0" y="0"/>
                      <a:ext cx="3063240" cy="2444404"/>
                    </a:xfrm>
                    <a:prstGeom prst="rect"/>
                  </pic:spPr>
                </pic:pic>
              </a:graphicData>
            </a:graphic>
          </wp:inline>
        </w:drawing>
      </w:r>
    </w:p>
    <w:p>
      <w:pPr>
        <w:spacing w:before="0" w:after="120"/>
        <w:jc w:val="both"/>
      </w:pPr>
      <w:r>
        <w:rPr>
          <w:rFonts w:ascii="Times New Roman" w:hAnsi="Times New Roman"/>
          <w:color w:val="334155"/>
          <w:sz w:val="16"/>
        </w:rPr>
        <w:t>Fig. 3. AgileGraph heterogeneous property graph schema, illustrating the six node entity types (Repository, File, CryptoAsset, Function, Dependency, Infrastructure), six semantic directed edge types, and their rich attribute properties.</w:t>
      </w:r>
    </w:p>
    <w:p>
      <w:pPr>
        <w:keepNext/>
        <w:spacing w:before="180" w:after="60"/>
        <w:jc w:val="left"/>
      </w:pPr>
      <w:r>
        <w:rPr>
          <w:rFonts w:ascii="Times New Roman" w:hAnsi="Times New Roman"/>
          <w:b/>
          <w:i/>
          <w:color w:val="1E293B"/>
          <w:sz w:val="19"/>
        </w:rPr>
        <w:t>B. Node Entity Taxonomy and Attribute Schema</w:t>
      </w:r>
    </w:p>
    <w:p>
      <w:pPr>
        <w:spacing w:before="0" w:after="80" w:line="269" w:lineRule="auto"/>
        <w:ind w:firstLine="216"/>
        <w:jc w:val="both"/>
      </w:pPr>
      <w:r>
        <w:rPr>
          <w:rFonts w:ascii="Times New Roman" w:hAnsi="Times New Roman"/>
          <w:color w:val="1F2937"/>
          <w:sz w:val="19"/>
        </w:rPr>
        <w:t>The vertex type set $\mathcal{T}_v$ comprises six distinct entity classes designed to represent every tier of the software architecture:</w:t>
      </w:r>
    </w:p>
    <w:p>
      <w:pPr>
        <w:spacing w:before="0" w:after="60" w:line="264" w:lineRule="auto"/>
        <w:ind w:left="259"/>
        <w:jc w:val="both"/>
      </w:pPr>
      <w:r>
        <w:rPr>
          <w:rFonts w:ascii="Times New Roman" w:hAnsi="Times New Roman"/>
          <w:color w:val="1F2937"/>
          <w:sz w:val="18"/>
        </w:rPr>
        <w:t>•  1) Repository ($v \in \mathcal{V}_{repo}$): Root entity representing the codebase. Attributes: repository name, primary programming language, total file count, commit SHA, and git branch.</w:t>
      </w:r>
    </w:p>
    <w:p>
      <w:pPr>
        <w:spacing w:before="0" w:after="60" w:line="264" w:lineRule="auto"/>
        <w:ind w:left="259"/>
        <w:jc w:val="both"/>
      </w:pPr>
      <w:r>
        <w:rPr>
          <w:rFonts w:ascii="Times New Roman" w:hAnsi="Times New Roman"/>
          <w:color w:val="1F2937"/>
          <w:sz w:val="18"/>
        </w:rPr>
        <w:t>•  2) File ($v \in \mathcal{V}_{file}$): Represents a physical source code, test, or configuration file. Attributes: file path, extension, lines of code (LOC), exposure tier (internal, external, data-store), and the 14-dimensional feature vector $\mathbf{x}_v$.</w:t>
      </w:r>
    </w:p>
    <w:p>
      <w:pPr>
        <w:spacing w:before="0" w:after="60" w:line="264" w:lineRule="auto"/>
        <w:ind w:left="259"/>
        <w:jc w:val="both"/>
      </w:pPr>
      <w:r>
        <w:rPr>
          <w:rFonts w:ascii="Times New Roman" w:hAnsi="Times New Roman"/>
          <w:color w:val="1F2937"/>
          <w:sz w:val="18"/>
        </w:rPr>
        <w:t>•  3) CryptoAsset ($v \in \mathcal{V}_{asset}$): Represents an instantiated cryptographic primitive or algorithm. Attributes: algorithm family (RSA, AES, ECC, Dilithium), primitive type (asymmetric_encrypt, digital_signature, key_exchange, symmetric_cipher, hash), key length (bits), block mode (ECB, CBC, GCM), padding, and quantum vulnerability status (vulnerable, quantum_safe, transitional).</w:t>
      </w:r>
    </w:p>
    <w:p>
      <w:pPr>
        <w:spacing w:before="0" w:after="60" w:line="264" w:lineRule="auto"/>
        <w:ind w:left="259"/>
        <w:jc w:val="both"/>
      </w:pPr>
      <w:r>
        <w:rPr>
          <w:rFonts w:ascii="Times New Roman" w:hAnsi="Times New Roman"/>
          <w:color w:val="1F2937"/>
          <w:sz w:val="18"/>
        </w:rPr>
        <w:t>•  4) Function ($v \in \mathcal{V}_{func}$): Represents a declared function, method, or subroutine. Attributes: function name, parameter count, return type, and cyclomatic complexity.</w:t>
      </w:r>
    </w:p>
    <w:p>
      <w:pPr>
        <w:spacing w:before="0" w:after="60" w:line="264" w:lineRule="auto"/>
        <w:ind w:left="259"/>
        <w:jc w:val="both"/>
      </w:pPr>
      <w:r>
        <w:rPr>
          <w:rFonts w:ascii="Times New Roman" w:hAnsi="Times New Roman"/>
          <w:color w:val="1F2937"/>
          <w:sz w:val="18"/>
        </w:rPr>
        <w:t>•  5) Dependency ($v \in \mathcal{V}_{dep}$): Represents a third-party external package or library. Attributes: package name, pinned version, license identifier, and known CVE vulnerability count.</w:t>
      </w:r>
    </w:p>
    <w:p>
      <w:pPr>
        <w:spacing w:before="0" w:after="60" w:line="264" w:lineRule="auto"/>
        <w:ind w:left="259"/>
        <w:jc w:val="both"/>
      </w:pPr>
      <w:r>
        <w:rPr>
          <w:rFonts w:ascii="Times New Roman" w:hAnsi="Times New Roman"/>
          <w:color w:val="1F2937"/>
          <w:sz w:val="18"/>
        </w:rPr>
        <w:t>•  6) Infrastructure ($v \in \mathcal{V}_{infra}$): Represents runtime deployment and infrastructure environments. Attributes: environment type (container, k8s, serverless, cloud_vm), TLS configuration, and external ingress endpoints.</w:t>
      </w:r>
    </w:p>
    <w:p>
      <w:pPr>
        <w:keepNext/>
        <w:spacing w:before="180" w:after="60"/>
        <w:jc w:val="left"/>
      </w:pPr>
      <w:r>
        <w:rPr>
          <w:rFonts w:ascii="Times New Roman" w:hAnsi="Times New Roman"/>
          <w:b/>
          <w:i/>
          <w:color w:val="1E293B"/>
          <w:sz w:val="19"/>
        </w:rPr>
        <w:t>C. Edge Semantic Taxonomy</w:t>
      </w:r>
    </w:p>
    <w:p>
      <w:pPr>
        <w:spacing w:before="0" w:after="80" w:line="269" w:lineRule="auto"/>
        <w:ind w:firstLine="216"/>
        <w:jc w:val="both"/>
      </w:pPr>
      <w:r>
        <w:rPr>
          <w:rFonts w:ascii="Times New Roman" w:hAnsi="Times New Roman"/>
          <w:color w:val="1F2937"/>
          <w:sz w:val="19"/>
        </w:rPr>
        <w:t>The directed edge relation set $\mathcal{T}_e$ captures syntactic, architectural, and data-flow interactions across the code property graph:</w:t>
      </w:r>
    </w:p>
    <w:p>
      <w:pPr>
        <w:spacing w:before="0" w:after="60" w:line="264" w:lineRule="auto"/>
        <w:ind w:left="259"/>
        <w:jc w:val="both"/>
      </w:pPr>
      <w:r>
        <w:rPr>
          <w:rFonts w:ascii="Times New Roman" w:hAnsi="Times New Roman"/>
          <w:color w:val="1F2937"/>
          <w:sz w:val="18"/>
        </w:rPr>
        <w:t>•  1) CONTAINS ($(v_{repo}, v_f)$ or $(v_f, v_{func})$): Denotes hierarchical containment within the physical repository or file boundary.</w:t>
      </w:r>
    </w:p>
    <w:p>
      <w:pPr>
        <w:spacing w:before="0" w:after="60" w:line="264" w:lineRule="auto"/>
        <w:ind w:left="259"/>
        <w:jc w:val="both"/>
      </w:pPr>
      <w:r>
        <w:rPr>
          <w:rFonts w:ascii="Times New Roman" w:hAnsi="Times New Roman"/>
          <w:color w:val="1F2937"/>
          <w:sz w:val="18"/>
        </w:rPr>
        <w:t>•  2) IMPORTS ($(v_f, v_d)$ or $(v_{f1}, v_{f2})$): Denotes module import or dependency binding across source files or external libraries.</w:t>
      </w:r>
    </w:p>
    <w:p>
      <w:pPr>
        <w:spacing w:before="0" w:after="60" w:line="264" w:lineRule="auto"/>
        <w:ind w:left="259"/>
        <w:jc w:val="both"/>
      </w:pPr>
      <w:r>
        <w:rPr>
          <w:rFonts w:ascii="Times New Roman" w:hAnsi="Times New Roman"/>
          <w:color w:val="1F2937"/>
          <w:sz w:val="18"/>
        </w:rPr>
        <w:t>•  3) CALLS ($(v_{func1}, v_{func2})$): Denotes direct invocation across function or method call sites.</w:t>
      </w:r>
    </w:p>
    <w:p>
      <w:pPr>
        <w:spacing w:before="0" w:after="60" w:line="264" w:lineRule="auto"/>
        <w:ind w:left="259"/>
        <w:jc w:val="both"/>
      </w:pPr>
      <w:r>
        <w:rPr>
          <w:rFonts w:ascii="Times New Roman" w:hAnsi="Times New Roman"/>
          <w:color w:val="1F2937"/>
          <w:sz w:val="18"/>
        </w:rPr>
        <w:t>•  4) DEFINES ($(v_f, v_a)$ or $(v_{func}, v_a)$): Denotes the direct declaration, instantiation, or configuration of a cryptographic primitive.</w:t>
      </w:r>
    </w:p>
    <w:p>
      <w:pPr>
        <w:spacing w:before="0" w:after="60" w:line="264" w:lineRule="auto"/>
        <w:ind w:left="259"/>
        <w:jc w:val="both"/>
      </w:pPr>
      <w:r>
        <w:rPr>
          <w:rFonts w:ascii="Times New Roman" w:hAnsi="Times New Roman"/>
          <w:color w:val="1F2937"/>
          <w:sz w:val="18"/>
        </w:rPr>
        <w:t>•  5) USES ($(v_{func}, v_a)$): Denotes runtime consumption of a cryptographic key, cipher handle, or signature verifier within functional execution paths.</w:t>
      </w:r>
    </w:p>
    <w:p>
      <w:pPr>
        <w:spacing w:before="0" w:after="60" w:line="264" w:lineRule="auto"/>
        <w:ind w:left="259"/>
        <w:jc w:val="both"/>
      </w:pPr>
      <w:r>
        <w:rPr>
          <w:rFonts w:ascii="Times New Roman" w:hAnsi="Times New Roman"/>
          <w:color w:val="1F2937"/>
          <w:sz w:val="18"/>
        </w:rPr>
        <w:t>•  6) CONFIGURES ($(v_f, v_{infra})$): Denotes infrastructure deployment bindings, such as Dockerfile base images or Kubernetes ingress TLS configurations.</w:t>
      </w:r>
    </w:p>
    <w:p>
      <w:pPr>
        <w:keepNext/>
        <w:spacing w:before="180" w:after="60"/>
        <w:jc w:val="left"/>
      </w:pPr>
      <w:r>
        <w:rPr>
          <w:rFonts w:ascii="Times New Roman" w:hAnsi="Times New Roman"/>
          <w:b/>
          <w:i/>
          <w:color w:val="1E293B"/>
          <w:sz w:val="19"/>
        </w:rPr>
        <w:t>D. Graph Invariants, Topological Consistency, and Cycle Handling</w:t>
      </w:r>
    </w:p>
    <w:p>
      <w:pPr>
        <w:spacing w:before="0" w:after="80" w:line="269" w:lineRule="auto"/>
        <w:ind w:firstLine="216"/>
        <w:jc w:val="both"/>
      </w:pPr>
      <w:r>
        <w:rPr>
          <w:rFonts w:ascii="Times New Roman" w:hAnsi="Times New Roman"/>
          <w:color w:val="1F2937"/>
          <w:sz w:val="19"/>
        </w:rPr>
        <w:t>To guarantee numerical stability during graph neural message-passing, AgileGraph enforces four strict graph invariants during construction: (1) Entity Uniqueness: All node keys are generated deterministically as SHA-256 digests of their fully qualified entity paths, preventing duplicate entity instantiation; (2) Acyclic Containment: Hierarchical CONTAINS relations are strictly directed tree edges; (3) Cycle Handling: Mutual import cycles between source files (frequent in legacy Python and C/C++ projects) are preserved in the dependency subgraph but decoupled during topological sorting via Tarjan's strongly connected components algorithm; and (4) Self-Loop Elimination: Trivial self-imports and self-calls are pruned before feature matrix assembly.</w:t>
      </w:r>
    </w:p>
    <w:p>
      <w:pPr>
        <w:keepNext/>
        <w:spacing w:before="240" w:after="100"/>
        <w:jc w:val="center"/>
      </w:pPr>
      <w:r>
        <w:rPr>
          <w:rFonts w:ascii="Times New Roman" w:hAnsi="Times New Roman"/>
          <w:b/>
          <w:color w:val="0F172A"/>
          <w:sz w:val="20"/>
        </w:rPr>
        <w:t>VII.  DETERMINISTIC HEURISTIC RISK ENGINE AND TIMING FORMULATION</w:t>
      </w:r>
    </w:p>
    <w:p>
      <w:pPr>
        <w:spacing w:before="0" w:after="80" w:line="269" w:lineRule="auto"/>
        <w:ind w:firstLine="216"/>
        <w:jc w:val="both"/>
      </w:pPr>
      <w:r>
        <w:rPr>
          <w:rFonts w:ascii="Times New Roman" w:hAnsi="Times New Roman"/>
          <w:color w:val="1F2937"/>
          <w:sz w:val="19"/>
        </w:rPr>
        <w:t>Prioritizing post-quantum migration across massive enterprise software portfolios requires a deterministic, auditable, and mathematically grounded risk scoring engine. Black-box machine learning models operating without interpretable baselines are unacceptable in high-assurance compliance environments. AgileGraph establishes a multi-factor deterministic heuristic risk model that integrates cryptographic parameters, architectural centrality, historical vulnerability data, and timing urgency into a unified scalar metric.</w:t>
      </w:r>
    </w:p>
    <w:p>
      <w:pPr>
        <w:keepNext/>
        <w:spacing w:before="180" w:after="60"/>
        <w:jc w:val="left"/>
      </w:pPr>
      <w:r>
        <w:rPr>
          <w:rFonts w:ascii="Times New Roman" w:hAnsi="Times New Roman"/>
          <w:b/>
          <w:i/>
          <w:color w:val="1E293B"/>
          <w:sz w:val="19"/>
        </w:rPr>
        <w:t>A. The 7-Factor Risk Metric: Mathematical Derivation and Weights</w:t>
      </w:r>
    </w:p>
    <w:p>
      <w:pPr>
        <w:spacing w:before="0" w:after="80" w:line="269" w:lineRule="auto"/>
        <w:ind w:firstLine="216"/>
        <w:jc w:val="both"/>
      </w:pPr>
      <w:r>
        <w:rPr>
          <w:rFonts w:ascii="Times New Roman" w:hAnsi="Times New Roman"/>
          <w:color w:val="1F2937"/>
          <w:sz w:val="19"/>
        </w:rPr>
        <w:t>For any given software entity node $v_i$ (specifically files and cryptographic assets), the aggregate deterministic risk score $R(v_i) \in [0, 1]$ is formulated as a linear convex combination of seven normalized orthogonal risk factors:</w:t>
      </w:r>
    </w:p>
    <w:p>
      <w:pPr>
        <w:spacing w:before="80" w:after="80"/>
        <w:jc w:val="right"/>
      </w:pPr>
      <w:r>
        <w:rPr>
          <w:rFonts w:ascii="Times New Roman" w:hAnsi="Times New Roman"/>
          <w:i/>
          <w:sz w:val="19"/>
        </w:rPr>
        <w:t xml:space="preserve">    R(v_i) = sum_k=1^7 w_k cdot f_k(v_i),     subject to     sum_k=1^7 w_k = 1.0,     w_k ge 0,     f_k(v_i) in [0, 1]    </w:t>
      </w:r>
      <w:r>
        <w:rPr>
          <w:rFonts w:ascii="Times New Roman" w:hAnsi="Times New Roman"/>
          <w:b/>
          <w:sz w:val="19"/>
        </w:rPr>
        <w:t>(3)</w:t>
      </w:r>
    </w:p>
    <w:p>
      <w:pPr>
        <w:spacing w:before="0" w:after="80" w:line="269" w:lineRule="auto"/>
        <w:ind w:firstLine="216"/>
        <w:jc w:val="both"/>
      </w:pPr>
      <w:r>
        <w:rPr>
          <w:rFonts w:ascii="Times New Roman" w:hAnsi="Times New Roman"/>
          <w:color w:val="1F2937"/>
          <w:sz w:val="19"/>
        </w:rPr>
        <w:t>The canonical weight vector $\mathbf{w} = [w_1, w_2, w_3, w_4, w_5, w_6, w_7] = [0.25, 0.15, 0.15, 0.10, 0.15, 0.10, 0.10]$ was established through rigorous calibration against NIST PQC transition guidelines, NSA CNSA 2.0 timelines, and expert security reviews. Each factor is formally defined and mathematically operationalized as follows:</w:t>
      </w:r>
    </w:p>
    <w:p>
      <w:pPr>
        <w:spacing w:before="0" w:after="60" w:line="264" w:lineRule="auto"/>
        <w:ind w:left="259"/>
        <w:jc w:val="both"/>
      </w:pPr>
      <w:r>
        <w:rPr>
          <w:rFonts w:ascii="Times New Roman" w:hAnsi="Times New Roman"/>
          <w:color w:val="1F2937"/>
          <w:sz w:val="18"/>
        </w:rPr>
        <w:t>•  1) Algorithm Vulnerability ($f_1(v_i)$, $w_1 = 0.25$): Quantifies the theoretical quantum vulnerability of the cryptographic algorithm family. Formally, let $\text{Alg}(v_i)$ denote the primary algorithm family instantiated in $v_i$. The scoring function is defined piecewise: $f_1(v_i) = 1.0$ if $\text{Alg} \in \{\text{RSA}, \text{DSA}, \text{ECDSA}, \text{ECDH}, \text{ElGamal}\}$ (exponential collapse via Shor's algorithm); $f_1(v_i) = 0.70$ if $\text{Alg} \in \{\text{MD5}, \text{SHA-1}, \text{DES}, \text{3DES}\}$ (classically broken or deprecated primitives); $f_1(v_i) = 0.30$ if $\text{Alg} \in \{\text{AES-128}, \text{ChaCha20}\}$ (polynomial Grover degradation); and $f_1(v_i) = 0.0$ if $\text{Alg} \in \{\text{ML-KEM}, \text{ML-DSA}, \text{SLH-DSA}, \text{AES-256}\}$ (FIPS 203-205 standardized quantum-safe primitives).</w:t>
      </w:r>
    </w:p>
    <w:p>
      <w:pPr>
        <w:spacing w:before="0" w:after="60" w:line="264" w:lineRule="auto"/>
        <w:ind w:left="259"/>
        <w:jc w:val="both"/>
      </w:pPr>
      <w:r>
        <w:rPr>
          <w:rFonts w:ascii="Times New Roman" w:hAnsi="Times New Roman"/>
          <w:color w:val="1F2937"/>
          <w:sz w:val="18"/>
        </w:rPr>
        <w:t>•  2) Key Size and Parameter Weakness ($f_2(v_i)$, $w_2 = 0.15$): Evaluates classical and quantum security margins based on key bit length $k(v_i)$ relative to minimum acceptable thresholds $k_{min}$: $f_2(v_i) = 1.0$ if $k &lt; 2048$ for RSA or $k &lt; 224$ for ECC; $f_2(v_i) = 0.60$ if $k = 2048$ (RSA) or $k = 256$ (ECC); $f_2(v_i) = 0.20$ if $k = 4096$ (RSA) or $k = 384$ (ECC); and $f_2(v_i) = 0.0$ for lattice parameter sets exceeding NIST Level III security.</w:t>
      </w:r>
    </w:p>
    <w:p>
      <w:pPr>
        <w:spacing w:before="0" w:after="60" w:line="264" w:lineRule="auto"/>
        <w:ind w:left="259"/>
        <w:jc w:val="both"/>
      </w:pPr>
      <w:r>
        <w:rPr>
          <w:rFonts w:ascii="Times New Roman" w:hAnsi="Times New Roman"/>
          <w:color w:val="1F2937"/>
          <w:sz w:val="18"/>
        </w:rPr>
        <w:t>•  3) Exposure Level ($f_3(v_i)$, $w_3 = 0.15$): Maps the accessibility of the host component within network attack surfaces: $f_3(v_i) = 1.0$ for public internet-facing endpoints, TLS termination gateways, and external REST APIs; $f_3(v_i) = 0.60$ for internal microservices and demilitarized zone (DMZ) components; and $f_3(v_i) = 0.20$ for isolated background worker processes, internal batch jobs, and offline persistence utilities.</w:t>
      </w:r>
    </w:p>
    <w:p>
      <w:pPr>
        <w:spacing w:before="0" w:after="60" w:line="264" w:lineRule="auto"/>
        <w:ind w:left="259"/>
        <w:jc w:val="both"/>
      </w:pPr>
      <w:r>
        <w:rPr>
          <w:rFonts w:ascii="Times New Roman" w:hAnsi="Times New Roman"/>
          <w:color w:val="1F2937"/>
          <w:sz w:val="18"/>
        </w:rPr>
        <w:t>•  4) Architectural Centrality ($f_4(v_i)$, $w_4 = 0.10$): Quantifies the topological criticality of the file node within the dependency property graph using a convex combination of normalized in-degree and PageRank centrality: $f_4(v_i) = \beta \cdot \frac{\text{deg}_{in}(v_i)}{\max_{u} \text{deg}_{in}(u)} + (1 - \beta) \cdot \frac{\text{PageRank}(v_i)}{\max_{u} \text{PageRank}(u)}$, where $\beta = 0.50$. High centrality indicates that numerous upstream services depend on this cryptographic implementation, dramatically multiplying the refactoring blast radius.</w:t>
      </w:r>
    </w:p>
    <w:p>
      <w:pPr>
        <w:spacing w:before="0" w:after="60" w:line="264" w:lineRule="auto"/>
        <w:ind w:left="259"/>
        <w:jc w:val="both"/>
      </w:pPr>
      <w:r>
        <w:rPr>
          <w:rFonts w:ascii="Times New Roman" w:hAnsi="Times New Roman"/>
          <w:color w:val="1F2937"/>
          <w:sz w:val="18"/>
        </w:rPr>
        <w:t>•  5) Associated CVE Vulnerabilities ($f_5(v_i)$, $w_5 = 0.15$): Evaluates historical Common Vulnerabilities and Exposures (CVEs) associated with the underlying cryptographic library or dependency package, normalized by CVSS v3.1 base metrics: $f_5(v_i) = \min\left(1.0, \sum_{c \in \text{CVEs}(v_i)} \frac{\text{CVSS}(c)}{10.0} \right)$.</w:t>
      </w:r>
    </w:p>
    <w:p>
      <w:pPr>
        <w:spacing w:before="0" w:after="60" w:line="264" w:lineRule="auto"/>
        <w:ind w:left="259"/>
        <w:jc w:val="both"/>
      </w:pPr>
      <w:r>
        <w:rPr>
          <w:rFonts w:ascii="Times New Roman" w:hAnsi="Times New Roman"/>
          <w:color w:val="1F2937"/>
          <w:sz w:val="18"/>
        </w:rPr>
        <w:t>•  6) Migration Friction and Encapsulation ($f_6(v_i)$, $w_6 = 0.10$): Measures the architectural refactoring barrier required to migrate the asset. Assets directly wrapped behind abstract cryptographic provider interfaces exhibit low friction ($f_6 = 0.10$), whereas hardcoded, tightly coupled cryptographic calls deeply embedded across multiple caller files exhibit severe friction ($f_6 = 1.0$).</w:t>
      </w:r>
    </w:p>
    <w:p>
      <w:pPr>
        <w:spacing w:before="0" w:after="60" w:line="264" w:lineRule="auto"/>
        <w:ind w:left="259"/>
        <w:jc w:val="both"/>
      </w:pPr>
      <w:r>
        <w:rPr>
          <w:rFonts w:ascii="Times New Roman" w:hAnsi="Times New Roman"/>
          <w:color w:val="1F2937"/>
          <w:sz w:val="18"/>
        </w:rPr>
        <w:t>•  7) Data Sensitivity and Shelf-Life ($f_7(v_i)$, $w_7 = 0.10$): Quantifies the confidentiality duration requirement $\mathcal{S}_{life}$ of the data processed by the asset: $f_7(v_i) = 1.0$ for long-lived sensitive assets (classified government records, healthcare data, personal identifying information with shelf-life &gt; 20 years); $f_7(v_i) = 0.50$ for medium-shelf-life enterprise records (5 to 10 years); and $f_7(v_i) = 0.10$ for ephemeral transient session tokens.</w:t>
      </w:r>
    </w:p>
    <w:p>
      <w:pPr>
        <w:keepNext/>
        <w:spacing w:before="180" w:after="60"/>
        <w:jc w:val="left"/>
      </w:pPr>
      <w:r>
        <w:rPr>
          <w:rFonts w:ascii="Times New Roman" w:hAnsi="Times New Roman"/>
          <w:b/>
          <w:i/>
          <w:color w:val="1E293B"/>
          <w:sz w:val="19"/>
        </w:rPr>
        <w:t>B. Bounding Guarantees and Missing-Data Imputation Policy</w:t>
      </w:r>
    </w:p>
    <w:p>
      <w:pPr>
        <w:spacing w:before="0" w:after="80" w:line="269" w:lineRule="auto"/>
        <w:ind w:firstLine="216"/>
        <w:jc w:val="both"/>
      </w:pPr>
      <w:r>
        <w:rPr>
          <w:rFonts w:ascii="Times New Roman" w:hAnsi="Times New Roman"/>
          <w:color w:val="1F2937"/>
          <w:sz w:val="19"/>
        </w:rPr>
        <w:t>Because each factor $f_k(v_i)$ is strictly bounded within $[0, 1]$ and the weight vector satisfies $\sum_{k=1}^7 w_k = 1.0$, the composite risk score $R(v_i)$ is guaranteed to lie within the unit interval $[0, 1]$ without requiring post-hoc heuristic clipping. In real-world software audits, certain attributes—such as exact data shelf-life or dynamic runtime exposure—may be unspecified in static source code. AgileGraph enforces a conservative 'fail-safe defaults' missing-data policy: when an attribute is missing, $f_k(v_i)$ defaults to a baseline conservative score of $0.50$ (rather than $0.0$), ensuring that uncharacterized components are not falsely dismissed as low risk.</w:t>
      </w:r>
    </w:p>
    <w:p>
      <w:pPr>
        <w:keepNext/>
        <w:spacing w:before="180" w:after="60"/>
        <w:jc w:val="left"/>
      </w:pPr>
      <w:r>
        <w:rPr>
          <w:rFonts w:ascii="Times New Roman" w:hAnsi="Times New Roman"/>
          <w:b/>
          <w:i/>
          <w:color w:val="1E293B"/>
          <w:sz w:val="19"/>
        </w:rPr>
        <w:t>C. Operationalizing Mosca's Theorem: Quantum Exposure Timeline Index</w:t>
      </w:r>
    </w:p>
    <w:p>
      <w:pPr>
        <w:spacing w:before="0" w:after="80" w:line="269" w:lineRule="auto"/>
        <w:ind w:firstLine="216"/>
        <w:jc w:val="both"/>
      </w:pPr>
      <w:r>
        <w:rPr>
          <w:rFonts w:ascii="Times New Roman" w:hAnsi="Times New Roman"/>
          <w:color w:val="1F2937"/>
          <w:sz w:val="19"/>
        </w:rPr>
        <w:t>To bridge static code vulnerability with dynamic quantum computing arrival timelines, AgileGraph operationalizes Michele Mosca's classical condition ($X + Y &gt; Z$) into a continuous metric termed the Quantum Exposure Timeline Index (QETI). For each cryptographic asset, let $X(v_i)$ represent the data shelf-life requirement in years, let $Y(v_i)$ represent the estimated engineering migration duration in years (derived from lines of code, architectural centrality, and encapsulation friction $f_6$), and let $Z$ represent the estimated quantum collapse timeline (defaulting to 10 years in alignment with conservative NIST and CNSA 2.0 projections). The QETI is formally defined as:</w:t>
      </w:r>
    </w:p>
    <w:p>
      <w:pPr>
        <w:spacing w:before="80" w:after="80"/>
        <w:jc w:val="right"/>
      </w:pPr>
      <w:r>
        <w:rPr>
          <w:rFonts w:ascii="Times New Roman" w:hAnsi="Times New Roman"/>
          <w:i/>
          <w:sz w:val="19"/>
        </w:rPr>
        <w:t xml:space="preserve">    QETI(v_i) = fracX(v_i) + Y(v_i)Z    </w:t>
      </w:r>
      <w:r>
        <w:rPr>
          <w:rFonts w:ascii="Times New Roman" w:hAnsi="Times New Roman"/>
          <w:b/>
          <w:sz w:val="19"/>
        </w:rPr>
        <w:t>(4)</w:t>
      </w:r>
    </w:p>
    <w:p>
      <w:pPr>
        <w:spacing w:before="0" w:after="80" w:line="269" w:lineRule="auto"/>
        <w:ind w:firstLine="216"/>
        <w:jc w:val="both"/>
      </w:pPr>
      <w:r>
        <w:rPr>
          <w:rFonts w:ascii="Times New Roman" w:hAnsi="Times New Roman"/>
          <w:color w:val="1F2937"/>
          <w:sz w:val="19"/>
        </w:rPr>
        <w:t>When $\text{QETI}(v_i) &gt; 1.0$, Mosca's inequality is violated: the required confidentiality lifespan plus migration refactoring time exceeds the quantum arrival horizon, indicating that data protected by this asset is actively vulnerable to HNDL exploitation today.</w:t>
      </w:r>
    </w:p>
    <w:p>
      <w:pPr>
        <w:keepNext/>
        <w:spacing w:before="180" w:after="60"/>
        <w:jc w:val="left"/>
      </w:pPr>
      <w:r>
        <w:rPr>
          <w:rFonts w:ascii="Times New Roman" w:hAnsi="Times New Roman"/>
          <w:b/>
          <w:i/>
          <w:color w:val="1E293B"/>
          <w:sz w:val="19"/>
        </w:rPr>
        <w:t>D. Two-Dimensional Migration Triage Matrix</w:t>
      </w:r>
    </w:p>
    <w:p>
      <w:pPr>
        <w:spacing w:before="0" w:after="80" w:line="269" w:lineRule="auto"/>
        <w:ind w:firstLine="216"/>
        <w:jc w:val="both"/>
      </w:pPr>
      <w:r>
        <w:rPr>
          <w:rFonts w:ascii="Times New Roman" w:hAnsi="Times New Roman"/>
          <w:color w:val="1F2937"/>
          <w:sz w:val="19"/>
        </w:rPr>
        <w:t>By plotting the deterministic multi-factor risk score $R(v_i)$ (representing Architectural &amp; Algorithmic Impact) on the vertical axis against the operationalized $\text{QETI}(v_i)$ (representing Quantum Timeline Urgency) on the horizontal axis, AgileGraph constructs a 2D Migration Triage Matrix. As illustrated in Fig. 4, this partitions enterprise backlogs into four actionable quadrants:</w:t>
      </w:r>
    </w:p>
    <w:p>
      <w:pPr>
        <w:keepNext/>
        <w:spacing w:before="120" w:after="40"/>
        <w:jc w:val="center"/>
      </w:pPr>
      <w:r>
        <w:drawing>
          <wp:inline xmlns:a="http://schemas.openxmlformats.org/drawingml/2006/main" xmlns:pic="http://schemas.openxmlformats.org/drawingml/2006/picture">
            <wp:extent cx="3063240" cy="2403680"/>
            <wp:docPr id="4" name="Picture 4"/>
            <wp:cNvGraphicFramePr>
              <a:graphicFrameLocks noChangeAspect="1"/>
            </wp:cNvGraphicFramePr>
            <a:graphic>
              <a:graphicData uri="http://schemas.openxmlformats.org/drawingml/2006/picture">
                <pic:pic>
                  <pic:nvPicPr>
                    <pic:cNvPr id="0" name="fig4_triage_matrix.png"/>
                    <pic:cNvPicPr/>
                  </pic:nvPicPr>
                  <pic:blipFill>
                    <a:blip r:embed="rId13"/>
                    <a:stretch>
                      <a:fillRect/>
                    </a:stretch>
                  </pic:blipFill>
                  <pic:spPr>
                    <a:xfrm>
                      <a:off x="0" y="0"/>
                      <a:ext cx="3063240" cy="2403680"/>
                    </a:xfrm>
                    <a:prstGeom prst="rect"/>
                  </pic:spPr>
                </pic:pic>
              </a:graphicData>
            </a:graphic>
          </wp:inline>
        </w:drawing>
      </w:r>
    </w:p>
    <w:p>
      <w:pPr>
        <w:spacing w:before="0" w:after="120"/>
        <w:jc w:val="both"/>
      </w:pPr>
      <w:r>
        <w:rPr>
          <w:rFonts w:ascii="Times New Roman" w:hAnsi="Times New Roman"/>
          <w:color w:val="334155"/>
          <w:sz w:val="16"/>
        </w:rPr>
        <w:t>Fig. 4. AgileGraph 2D Migration Triage Matrix, mapping assets across Quantum Timeline Urgency (Mosca QETI) and Architectural &amp; Algorithmic Impact to establish four actionable enterprise remediation tiers.</w:t>
      </w:r>
    </w:p>
    <w:p>
      <w:pPr>
        <w:spacing w:before="0" w:after="60" w:line="264" w:lineRule="auto"/>
        <w:ind w:left="259"/>
        <w:jc w:val="both"/>
      </w:pPr>
      <w:r>
        <w:rPr>
          <w:rFonts w:ascii="Times New Roman" w:hAnsi="Times New Roman"/>
          <w:color w:val="1F2937"/>
          <w:sz w:val="18"/>
        </w:rPr>
        <w:t>•  Quadrant I (Immediate Action): High Risk ($R \ge 0.70$) and High Urgency ($\text{QETI} &gt; 1.0$). Classical asymmetric primitives protecting long-lived sensitive data on public-facing backbones. Requires immediate engineering sprint allocation and hybrid PQC dual-run refactoring.</w:t>
      </w:r>
    </w:p>
    <w:p>
      <w:pPr>
        <w:spacing w:before="0" w:after="60" w:line="264" w:lineRule="auto"/>
        <w:ind w:left="259"/>
        <w:jc w:val="both"/>
      </w:pPr>
      <w:r>
        <w:rPr>
          <w:rFonts w:ascii="Times New Roman" w:hAnsi="Times New Roman"/>
          <w:color w:val="1F2937"/>
          <w:sz w:val="18"/>
        </w:rPr>
        <w:t>•  Quadrant II (Strategic Migration): High Risk ($R \ge 0.70$) but Moderate Urgency ($\text{QETI} \le 1.0$). High-impact cryptographic implementations where data shelf-life is shorter, allowing planned refactoring during scheduled release cycles.</w:t>
      </w:r>
    </w:p>
    <w:p>
      <w:pPr>
        <w:spacing w:before="0" w:after="60" w:line="264" w:lineRule="auto"/>
        <w:ind w:left="259"/>
        <w:jc w:val="both"/>
      </w:pPr>
      <w:r>
        <w:rPr>
          <w:rFonts w:ascii="Times New Roman" w:hAnsi="Times New Roman"/>
          <w:color w:val="1F2937"/>
          <w:sz w:val="18"/>
        </w:rPr>
        <w:t>•  Quadrant III (Monitored Retention): Moderate Risk ($0.35 \le R &lt; 0.70$) and Low Urgency ($\text{QETI} &lt; 1.0$). Internal symmetric primitives (e.g., AES-128) requiring scheduled key-length upgrades to AES-256 prior to 2030.</w:t>
      </w:r>
    </w:p>
    <w:p>
      <w:pPr>
        <w:spacing w:before="0" w:after="60" w:line="264" w:lineRule="auto"/>
        <w:ind w:left="259"/>
        <w:jc w:val="both"/>
      </w:pPr>
      <w:r>
        <w:rPr>
          <w:rFonts w:ascii="Times New Roman" w:hAnsi="Times New Roman"/>
          <w:color w:val="1F2937"/>
          <w:sz w:val="18"/>
        </w:rPr>
        <w:t>•  Quadrant IV (Routine Maintenance): Low Risk ($R &lt; 0.35$). Well-encapsulated utilities, quantum-safe primitives, and ephemeral test mocks requiring routine monitoring.</w:t>
      </w:r>
    </w:p>
    <w:p>
      <w:pPr>
        <w:keepNext/>
        <w:spacing w:before="240" w:after="100"/>
        <w:jc w:val="center"/>
      </w:pPr>
      <w:r>
        <w:rPr>
          <w:rFonts w:ascii="Times New Roman" w:hAnsi="Times New Roman"/>
          <w:b/>
          <w:color w:val="0F172A"/>
          <w:sz w:val="20"/>
        </w:rPr>
        <w:t>VIII.  GRAPH REPRESENTATION LEARNING VIA GATV2</w:t>
      </w:r>
    </w:p>
    <w:p>
      <w:pPr>
        <w:spacing w:before="0" w:after="80" w:line="269" w:lineRule="auto"/>
        <w:ind w:firstLine="216"/>
        <w:jc w:val="both"/>
      </w:pPr>
      <w:r>
        <w:rPr>
          <w:rFonts w:ascii="Times New Roman" w:hAnsi="Times New Roman"/>
          <w:color w:val="1F2937"/>
          <w:sz w:val="19"/>
        </w:rPr>
        <w:t>While deterministic heuristic scoring evaluates files based on localized parameters and direct graph metrics, complex enterprise architectures exhibit non-local risk propagation. A helper utility containing zero direct cryptographic calls may be invoked by dozens of mission-critical services handling decrypted key material. Conversely, a high-vulnerability test fixture may be completely isolated from production execution paths. To capture these topological patterns, AgileGraph employs Graph Representation Learning via Graph Attention Networks v2 (GATv2).</w:t>
      </w:r>
    </w:p>
    <w:p>
      <w:pPr>
        <w:keepNext/>
        <w:spacing w:before="180" w:after="60"/>
        <w:jc w:val="left"/>
      </w:pPr>
      <w:r>
        <w:rPr>
          <w:rFonts w:ascii="Times New Roman" w:hAnsi="Times New Roman"/>
          <w:b/>
          <w:i/>
          <w:color w:val="1E293B"/>
          <w:sz w:val="19"/>
        </w:rPr>
        <w:t>A. Dynamic Attention Mechanics: GAT versus GATv2</w:t>
      </w:r>
    </w:p>
    <w:p>
      <w:pPr>
        <w:spacing w:before="0" w:after="80" w:line="269" w:lineRule="auto"/>
        <w:ind w:firstLine="216"/>
        <w:jc w:val="both"/>
      </w:pPr>
      <w:r>
        <w:rPr>
          <w:rFonts w:ascii="Times New Roman" w:hAnsi="Times New Roman"/>
          <w:color w:val="1F2937"/>
          <w:sz w:val="19"/>
        </w:rPr>
        <w:t>Standard Graph Attention Networks (GAT) [23] compute attention coefficients $\alpha_{ij}$ between a node $i$ and its neighbor $j \in \mathcal{N}_i$ using a shared attention mechanism parameterized by weight matrix $\mathbf{W} \in \mathbb{R}^{d' \times d}$ and attention vector $\mathbf{a} \in \mathbb{R}^{2d'}$:</w:t>
      </w:r>
    </w:p>
    <w:p>
      <w:pPr>
        <w:spacing w:before="80" w:after="80"/>
        <w:jc w:val="right"/>
      </w:pPr>
      <w:r>
        <w:rPr>
          <w:rFonts w:ascii="Times New Roman" w:hAnsi="Times New Roman"/>
          <w:i/>
          <w:sz w:val="19"/>
        </w:rPr>
        <w:t xml:space="preserve">    alpha_ij^GAT = fracexpleft(LeakyReLUleft(mathbfa^T [mathbfWmathbfh_i parallel mathbfWmathbfh_j]right)right)sum_k in mathcalN_i expleft(LeakyReLUleft(mathbfa^T [mathbfWmathbfh_i parallel mathbfWmathbfh_k]right)right)    </w:t>
      </w:r>
      <w:r>
        <w:rPr>
          <w:rFonts w:ascii="Times New Roman" w:hAnsi="Times New Roman"/>
          <w:b/>
          <w:sz w:val="19"/>
        </w:rPr>
        <w:t>(5)</w:t>
      </w:r>
    </w:p>
    <w:p>
      <w:pPr>
        <w:spacing w:before="0" w:after="80" w:line="269" w:lineRule="auto"/>
        <w:ind w:firstLine="216"/>
        <w:jc w:val="both"/>
      </w:pPr>
      <w:r>
        <w:rPr>
          <w:rFonts w:ascii="Times New Roman" w:hAnsi="Times New Roman"/>
          <w:color w:val="1F2937"/>
          <w:sz w:val="19"/>
        </w:rPr>
        <w:t>Brody et al. demonstrated that Equation (5) collapses to a 'static attention' mechanism [24]. Because the linear projection $\mathbf{a}^T$ is applied after the non-linearity to the decomposed representation $\mathbf{a}_1^T \mathbf{W}\mathbf{h}_i + \mathbf{a}_2^T \mathbf{W}\mathbf{h}_j$, the ranking of attention weights $\alpha_{ij}$ is monotonically determined by the key node $\mathbf{h}_j$, rendering it invariant to the query node $\mathbf{h}_i$. For code property graphs, this is a fatal flaw: a logging utility node must receive high attention when queried by a security-sensitive authentication module, but negligible attention when queried by a routine string formatting helper.</w:t>
      </w:r>
    </w:p>
    <w:p>
      <w:pPr>
        <w:spacing w:before="0" w:after="80" w:line="269" w:lineRule="auto"/>
        <w:ind w:firstLine="216"/>
        <w:jc w:val="both"/>
      </w:pPr>
      <w:r>
        <w:rPr>
          <w:rFonts w:ascii="Times New Roman" w:hAnsi="Times New Roman"/>
          <w:color w:val="1F2937"/>
          <w:sz w:val="19"/>
        </w:rPr>
        <w:t>To achieve strictly dynamic attention, AgileGraph implements GATv2, wherein the non-linear activation is applied prior to linear projection across concatenated node states:</w:t>
      </w:r>
    </w:p>
    <w:p>
      <w:pPr>
        <w:spacing w:before="80" w:after="80"/>
        <w:jc w:val="right"/>
      </w:pPr>
      <w:r>
        <w:rPr>
          <w:rFonts w:ascii="Times New Roman" w:hAnsi="Times New Roman"/>
          <w:i/>
          <w:sz w:val="19"/>
        </w:rPr>
        <w:t xml:space="preserve">    alpha_ij^GATv2 = fracexpleft(mathbfa^T LeakyReLUleft(mathbfW [mathbfh_i parallel mathbfh_j]right)right)sum_k in mathcalN_i expleft(mathbfa^T LeakyReLUleft(mathbfW [mathbfh_i parallel mathbfh_k]right)right)    </w:t>
      </w:r>
      <w:r>
        <w:rPr>
          <w:rFonts w:ascii="Times New Roman" w:hAnsi="Times New Roman"/>
          <w:b/>
          <w:sz w:val="19"/>
        </w:rPr>
        <w:t>(6)</w:t>
      </w:r>
    </w:p>
    <w:p>
      <w:pPr>
        <w:spacing w:before="0" w:after="80" w:line="269" w:lineRule="auto"/>
        <w:ind w:firstLine="216"/>
        <w:jc w:val="both"/>
      </w:pPr>
      <w:r>
        <w:rPr>
          <w:rFonts w:ascii="Times New Roman" w:hAnsi="Times New Roman"/>
          <w:color w:val="1F2937"/>
          <w:sz w:val="19"/>
        </w:rPr>
        <w:t>Theorem 1 (Dynamic Attention Expressiveness of GATv2): In standard GAT, for any query node $v_i$ and key nodes $v_j, v_k$, if $\mathbf{a}_2^T \mathbf{W} \mathbf{h}_j &gt; \mathbf{a}_2^T \mathbf{W} \mathbf{h}_k$, then $\alpha_{ij}^{\text{GAT}} &gt; \alpha_{ik}^{\text{GAT}}$ regardless of the query embedding $\mathbf{h}_i$. Conversely, in GATv2, there exist parameters $(\mathbf{W}, \mathbf{a})$ and query states $\mathbf{h}_i, \mathbf{h}_i'$ such that $\alpha_{ij}^{\text{GATv2}}(\mathbf{h}_i) &gt; \alpha_{ik}^{\text{GATv2}}(\mathbf{h}_i)$ while $\alpha_{ij}^{\text{GATv2}}(\mathbf{h}_i') &lt; \alpha_{ik}^{\text{GATv2}}(\mathbf{h}_i')$, realizing universal dynamic attention.</w:t>
      </w:r>
    </w:p>
    <w:p>
      <w:pPr>
        <w:spacing w:before="0" w:after="80" w:line="269" w:lineRule="auto"/>
        <w:ind w:firstLine="216"/>
        <w:jc w:val="both"/>
      </w:pPr>
      <w:r>
        <w:rPr>
          <w:rFonts w:ascii="Times New Roman" w:hAnsi="Times New Roman"/>
          <w:color w:val="1F2937"/>
          <w:sz w:val="19"/>
        </w:rPr>
        <w:t>Proof: In standard GAT, the unnormalized score is $e(i, j) = \text{LeakyReLU}(\mathbf{a}_1^T \mathbf{W} \mathbf{h}_i + \mathbf{a}_2^T \mathbf{W} \mathbf{h}_j)$. Because LeakyReLU is strictly monotonic ($f'(x) &gt; 0$), the sign of $e(i, j) - e(i, k)$ depends strictly on $\mathbf{a}_2^T \mathbf{W} (\mathbf{h}_j - \mathbf{h}_k)$ whenever the linear arguments share identical positive or negative signs, establishing query-invariance. In GATv2, the score $e(i, j) = \mathbf{a}^T \text{LeakyReLU}(\mathbf{W}_1 \mathbf{h}_i + \mathbf{W}_2 \mathbf{h}_j)$ applies a full rank affine mapping before non-linearity. By choosing orthogonal sub-spaces in $\mathbf{W}_1$, different query states selectively activate distinct linear regimes of LeakyReLU, inverting the ranking over $j$ and $k$. Thus GATv2 strictly subsumes standard GAT and provides dynamic query-dependent context propagation. Q.E.D.</w:t>
      </w:r>
    </w:p>
    <w:p>
      <w:pPr>
        <w:keepNext/>
        <w:spacing w:before="180" w:after="60"/>
        <w:jc w:val="left"/>
      </w:pPr>
      <w:r>
        <w:rPr>
          <w:rFonts w:ascii="Times New Roman" w:hAnsi="Times New Roman"/>
          <w:b/>
          <w:i/>
          <w:color w:val="1E293B"/>
          <w:sz w:val="19"/>
        </w:rPr>
        <w:t>B. 14-Dimensional Node Feature Embedding Vector</w:t>
      </w:r>
    </w:p>
    <w:p>
      <w:pPr>
        <w:spacing w:before="0" w:after="80" w:line="269" w:lineRule="auto"/>
        <w:ind w:firstLine="216"/>
        <w:jc w:val="both"/>
      </w:pPr>
      <w:r>
        <w:rPr>
          <w:rFonts w:ascii="Times New Roman" w:hAnsi="Times New Roman"/>
          <w:color w:val="1F2937"/>
          <w:sz w:val="19"/>
        </w:rPr>
        <w:t>For every file node $v_i \in \mathcal{V}_{file}$, AgileGraph constructs a 14-dimensional dense feature vector $\mathbf{x}_i \in \mathbb{R}^{14}$ summarizing its syntactic, cryptographic, structural, and topological properties. Table II details the complete dimensional specification.</w:t>
      </w:r>
    </w:p>
    <w:p>
      <w:pPr>
        <w:keepNext/>
        <w:spacing w:before="160" w:after="20"/>
        <w:jc w:val="center"/>
      </w:pPr>
      <w:r>
        <w:rPr>
          <w:rFonts w:ascii="Times New Roman" w:hAnsi="Times New Roman"/>
          <w:b/>
          <w:sz w:val="17"/>
        </w:rPr>
        <w:t>TABLE II</w:t>
      </w:r>
    </w:p>
    <w:p>
      <w:pPr>
        <w:keepNext/>
        <w:spacing w:before="0" w:after="80"/>
        <w:jc w:val="center"/>
      </w:pPr>
      <w:r>
        <w:rPr>
          <w:rFonts w:ascii="Times New Roman" w:hAnsi="Times New Roman"/>
          <w:b/>
          <w:sz w:val="15"/>
        </w:rPr>
        <w:t>SPECIFICATION OF THE 14-DIMENSIONAL NODE FEATURE EMBEDDING VECTOR</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Index</w:t>
            </w:r>
          </w:p>
        </w:tc>
        <w:tc>
          <w:tcPr>
            <w:tcW w:type="dxa" w:w="2088"/>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Feature Name</w:t>
            </w:r>
          </w:p>
        </w:tc>
        <w:tc>
          <w:tcPr>
            <w:tcW w:type="dxa" w:w="2088"/>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Domain</w:t>
            </w:r>
          </w:p>
        </w:tc>
        <w:tc>
          <w:tcPr>
            <w:tcW w:type="dxa" w:w="2088"/>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Extraction Source</w:t>
            </w:r>
          </w:p>
        </w:tc>
        <w:tc>
          <w:tcPr>
            <w:tcW w:type="dxa" w:w="2088"/>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Normalization / Description</w:t>
            </w:r>
          </w:p>
        </w:tc>
      </w:tr>
      <w:tr>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0</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Lines of Code (LOC)</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Static Parser</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Log-scaled: log(1 + LOC) / log(10000)</w:t>
            </w:r>
          </w:p>
        </w:tc>
      </w:tr>
      <w:tr>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1</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Import Count</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AST Dependency</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Normalized count of external imports</w:t>
            </w:r>
          </w:p>
        </w:tc>
      </w:tr>
      <w:tr>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2</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Export Count</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AST Symbol Table</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Normalized count of exported symbols</w:t>
            </w:r>
          </w:p>
        </w:tc>
      </w:tr>
      <w:tr>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3</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Crypto Asset Count</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Asset Scanner</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Direct count of defined cryptographic primitives</w:t>
            </w:r>
          </w:p>
        </w:tc>
      </w:tr>
      <w:tr>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4</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Asymmetric Primitive Ratio</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Asset Classifier</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Fraction of assets utilizing RSA, ECC, or DH</w:t>
            </w:r>
          </w:p>
        </w:tc>
      </w:tr>
      <w:tr>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5</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Symmetric Primitive Ratio</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Asset Classifier</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Fraction of assets utilizing AES, DES, or ChaCha</w:t>
            </w:r>
          </w:p>
        </w:tc>
      </w:tr>
      <w:tr>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6</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Hash Primitive Ratio</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Asset Classifier</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Fraction of assets utilizing SHA, MD5, or BLAKE</w:t>
            </w:r>
          </w:p>
        </w:tc>
      </w:tr>
      <w:tr>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7</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Deprecated Primitive Ratio</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Vulnerability Map</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Fraction of assets using broken schemes (MD5, DES)</w:t>
            </w:r>
          </w:p>
        </w:tc>
      </w:tr>
      <w:tr>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8</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In-Degree Centrality</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Property Graph</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Normalized count of incoming dependency edges</w:t>
            </w:r>
          </w:p>
        </w:tc>
      </w:tr>
      <w:tr>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9</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Out-Degree Centrality</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Property Graph</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Normalized count of outgoing dependency edges</w:t>
            </w:r>
          </w:p>
        </w:tc>
      </w:tr>
      <w:tr>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10</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Betweenness Centrality</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NetworkX Engine</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Shortest-path betweenness centrality in G</w:t>
            </w:r>
          </w:p>
        </w:tc>
      </w:tr>
      <w:tr>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11</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PageRank Score</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NetworkX Engine</w:t>
            </w:r>
          </w:p>
        </w:tc>
        <w:tc>
          <w:tcPr>
            <w:tcW w:type="dxa" w:w="2088"/>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Damped PageRank score (damping factor = 0.85)</w:t>
            </w:r>
          </w:p>
        </w:tc>
      </w:tr>
      <w:tr>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12</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Exposure Tier Score</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 1]</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Config Scanner</w:t>
            </w:r>
          </w:p>
        </w:tc>
        <w:tc>
          <w:tcPr>
            <w:tcW w:type="dxa" w:w="2088"/>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Public = 1.0, DMZ/Internal = 0.6, Isolated = 0.2</w:t>
            </w:r>
          </w:p>
        </w:tc>
      </w:tr>
      <w:tr>
        <w:tc>
          <w:tcPr>
            <w:tcW w:type="dxa" w:w="2088"/>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13</w:t>
            </w:r>
          </w:p>
        </w:tc>
        <w:tc>
          <w:tcPr>
            <w:tcW w:type="dxa" w:w="2088"/>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Dependency CVE Score</w:t>
            </w:r>
          </w:p>
        </w:tc>
        <w:tc>
          <w:tcPr>
            <w:tcW w:type="dxa" w:w="2088"/>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[0, 1]</w:t>
            </w:r>
          </w:p>
        </w:tc>
        <w:tc>
          <w:tcPr>
            <w:tcW w:type="dxa" w:w="2088"/>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CVE Knowledge Base</w:t>
            </w:r>
          </w:p>
        </w:tc>
        <w:tc>
          <w:tcPr>
            <w:tcW w:type="dxa" w:w="2088"/>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Cumulative CVSS severity score of dependencies</w:t>
            </w:r>
          </w:p>
        </w:tc>
      </w:tr>
    </w:tbl>
    <w:p>
      <w:pPr>
        <w:spacing w:before="0" w:after="120"/>
      </w:pPr>
    </w:p>
    <w:p>
      <w:pPr>
        <w:keepNext/>
        <w:spacing w:before="180" w:after="60"/>
        <w:jc w:val="left"/>
      </w:pPr>
      <w:r>
        <w:rPr>
          <w:rFonts w:ascii="Times New Roman" w:hAnsi="Times New Roman"/>
          <w:b/>
          <w:i/>
          <w:color w:val="1E293B"/>
          <w:sz w:val="19"/>
        </w:rPr>
        <w:t>C. The Weak-Supervision Paradigm: A Crucial Scientific Caveat</w:t>
      </w:r>
    </w:p>
    <w:p>
      <w:pPr>
        <w:spacing w:before="0" w:after="80" w:line="269" w:lineRule="auto"/>
        <w:ind w:firstLine="216"/>
        <w:jc w:val="both"/>
      </w:pPr>
      <w:r>
        <w:rPr>
          <w:rFonts w:ascii="Times New Roman" w:hAnsi="Times New Roman"/>
          <w:color w:val="1F2937"/>
          <w:sz w:val="19"/>
        </w:rPr>
        <w:t>A vital scientific distinction must be articulated regarding the framing of graph neural learning in AgileGraph: the GATv2 model does not predict unverified empirical cryptographic breakages or zero-day cryptanalytic vulnerabilities. Real-world mathematical breaks of cryptographic primitives (such as factoring a specific RSA modulus) are governed by number theory and quantum physical capabilities, not by machine learning classifiers. Instead, AgileGraph rigorously frames GATv2 under the weak-supervision and knowledge distillation paradigm [27].</w:t>
      </w:r>
    </w:p>
    <w:p>
      <w:pPr>
        <w:spacing w:before="0" w:after="80" w:line="269" w:lineRule="auto"/>
        <w:ind w:firstLine="216"/>
        <w:jc w:val="both"/>
      </w:pPr>
      <w:r>
        <w:rPr>
          <w:rFonts w:ascii="Times New Roman" w:hAnsi="Times New Roman"/>
          <w:color w:val="1F2937"/>
          <w:sz w:val="19"/>
        </w:rPr>
        <w:t>In this formulation, the deterministic 7-factor heuristic risk engine acts as an expert 'teacher' generating pseudo-ground-truth labels over localized code assets. The GATv2 model functions as a 'student' that learns to distill and regularize these risk scores across complex, multi-hop architectural dependency graphs. This enables the neural model to propagate risk to unannotated, transitively coupled files where direct AST extraction is obscured by dynamic dispatch, interface polymorphism, or code obfuscation.</w:t>
      </w:r>
    </w:p>
    <w:p>
      <w:pPr>
        <w:keepNext/>
        <w:spacing w:before="180" w:after="60"/>
        <w:jc w:val="left"/>
      </w:pPr>
      <w:r>
        <w:rPr>
          <w:rFonts w:ascii="Times New Roman" w:hAnsi="Times New Roman"/>
          <w:b/>
          <w:i/>
          <w:color w:val="1E293B"/>
          <w:sz w:val="19"/>
        </w:rPr>
        <w:t>D. Model Architecture and Training Dynamics</w:t>
      </w:r>
    </w:p>
    <w:p>
      <w:pPr>
        <w:spacing w:before="0" w:after="80" w:line="269" w:lineRule="auto"/>
        <w:ind w:firstLine="216"/>
        <w:jc w:val="both"/>
      </w:pPr>
      <w:r>
        <w:rPr>
          <w:rFonts w:ascii="Times New Roman" w:hAnsi="Times New Roman"/>
          <w:color w:val="1F2937"/>
          <w:sz w:val="19"/>
        </w:rPr>
        <w:t>The GATv2 neural architecture consists of two sequential GATv2 convolutional layers implemented in PyTorch Geometric [28]. The input layer transforms 14-dimensional node feature vectors through $K_1 = 4$ attention heads with hidden dimension $d_h = 32$ (yielding an intermediate 128-dimensional concatenated representation), followed by Exponential Linear Unit (ELU) activation and dropout ($p = 0.20$). The second GATv2 layer employs $K_2 = 1$ attention head, projecting to a 64-dimensional node embedding. A final Multi-Layer Perceptron (MLP) classification head with LogSoftmax outputs probability distributions over the three discrete triage classes: $\{\text{LOW}, \text{MEDIUM}, \text{HIGH}\}$.</w:t>
      </w:r>
    </w:p>
    <w:p>
      <w:pPr>
        <w:spacing w:before="0" w:after="80" w:line="269" w:lineRule="auto"/>
        <w:ind w:firstLine="216"/>
        <w:jc w:val="both"/>
      </w:pPr>
      <w:r>
        <w:rPr>
          <w:rFonts w:ascii="Times New Roman" w:hAnsi="Times New Roman"/>
          <w:color w:val="1F2937"/>
          <w:sz w:val="19"/>
        </w:rPr>
        <w:t>The network is trained using the negative log-likelihood loss (NLLLoss) with inverse class frequency weighting to penalize minority-class misclassification:</w:t>
      </w:r>
    </w:p>
    <w:p>
      <w:pPr>
        <w:spacing w:before="80" w:after="80"/>
        <w:jc w:val="right"/>
      </w:pPr>
      <w:r>
        <w:rPr>
          <w:rFonts w:ascii="Times New Roman" w:hAnsi="Times New Roman"/>
          <w:i/>
          <w:sz w:val="19"/>
        </w:rPr>
        <w:t xml:space="preserve">    mathcalL_CE = - sum_c=1^3 omega_c cdot y_c log(haty_c),     where     omega_c = fracN3 cdot N_c    </w:t>
      </w:r>
      <w:r>
        <w:rPr>
          <w:rFonts w:ascii="Times New Roman" w:hAnsi="Times New Roman"/>
          <w:b/>
          <w:sz w:val="19"/>
        </w:rPr>
        <w:t>(7)</w:t>
      </w:r>
    </w:p>
    <w:p>
      <w:pPr>
        <w:spacing w:before="0" w:after="80" w:line="269" w:lineRule="auto"/>
        <w:ind w:firstLine="216"/>
        <w:jc w:val="both"/>
      </w:pPr>
      <w:r>
        <w:rPr>
          <w:rFonts w:ascii="Times New Roman" w:hAnsi="Times New Roman"/>
          <w:color w:val="1F2937"/>
          <w:sz w:val="19"/>
        </w:rPr>
        <w:t>Optimization is performed using AdamW [29] with initial learning rate $\eta = 0.005$, weight decay $\lambda = 10^{-4}$, and early stopping with a patience of 20 epochs based on validation Macro-F1.</w:t>
      </w:r>
    </w:p>
    <w:p>
      <w:pPr>
        <w:keepNext/>
        <w:spacing w:before="240" w:after="100"/>
        <w:jc w:val="center"/>
      </w:pPr>
      <w:r>
        <w:rPr>
          <w:rFonts w:ascii="Times New Roman" w:hAnsi="Times New Roman"/>
          <w:b/>
          <w:color w:val="0F172A"/>
          <w:sz w:val="20"/>
        </w:rPr>
        <w:t>IX.  EMPIRICAL BENCHMARK AND EXPERIMENTAL METHODOLOGY</w:t>
      </w:r>
    </w:p>
    <w:p>
      <w:pPr>
        <w:spacing w:before="0" w:after="80" w:line="269" w:lineRule="auto"/>
        <w:ind w:firstLine="216"/>
        <w:jc w:val="both"/>
      </w:pPr>
      <w:r>
        <w:rPr>
          <w:rFonts w:ascii="Times New Roman" w:hAnsi="Times New Roman"/>
          <w:color w:val="1F2937"/>
          <w:sz w:val="19"/>
        </w:rPr>
        <w:t>To establish the scientific validity, empirical robustness, and enterprise generalizability of AgileGraph, we designed an extensive experimental benchmarking suite across diverse open-source enterprise codebases.</w:t>
      </w:r>
    </w:p>
    <w:p>
      <w:pPr>
        <w:keepNext/>
        <w:spacing w:before="180" w:after="60"/>
        <w:jc w:val="left"/>
      </w:pPr>
      <w:r>
        <w:rPr>
          <w:rFonts w:ascii="Times New Roman" w:hAnsi="Times New Roman"/>
          <w:b/>
          <w:i/>
          <w:color w:val="1E293B"/>
          <w:sz w:val="19"/>
        </w:rPr>
        <w:t>A. Benchmark Corpus: 8 Pinned Open-Source Enterprise Repositories</w:t>
      </w:r>
    </w:p>
    <w:p>
      <w:pPr>
        <w:spacing w:before="0" w:after="80" w:line="269" w:lineRule="auto"/>
        <w:ind w:firstLine="216"/>
        <w:jc w:val="both"/>
      </w:pPr>
      <w:r>
        <w:rPr>
          <w:rFonts w:ascii="Times New Roman" w:hAnsi="Times New Roman"/>
          <w:color w:val="1F2937"/>
          <w:sz w:val="19"/>
        </w:rPr>
        <w:t>Evaluating code analysis tools on synthetic toy snippets introduces severe confirmation bias. To reflect realistic enterprise software engineering conditions, we curated a benchmark corpus comprising eight pinned, real-world open-source repositories spanning multiple programming languages, architectural paradigms, and cryptographic maturity levels. In total, the benchmark corpus comprises 4,558 physical source files, from which 520 primary structural file nodes were extracted and cross-validated. Table III summarizes the corpus characteristics, pinned commit SHAs, and ground-truth risk distributions.</w:t>
      </w:r>
    </w:p>
    <w:p>
      <w:pPr>
        <w:keepNext/>
        <w:spacing w:before="160" w:after="20"/>
        <w:jc w:val="center"/>
      </w:pPr>
      <w:r>
        <w:rPr>
          <w:rFonts w:ascii="Times New Roman" w:hAnsi="Times New Roman"/>
          <w:b/>
          <w:sz w:val="17"/>
        </w:rPr>
        <w:t>TABLE III</w:t>
      </w:r>
    </w:p>
    <w:p>
      <w:pPr>
        <w:keepNext/>
        <w:spacing w:before="0" w:after="80"/>
        <w:jc w:val="center"/>
      </w:pPr>
      <w:r>
        <w:rPr>
          <w:rFonts w:ascii="Times New Roman" w:hAnsi="Times New Roman"/>
          <w:b/>
          <w:sz w:val="15"/>
        </w:rPr>
        <w:t>BENCHMARK CORPUS CHARACTERISTICS AND RISK DISTRIBUTIONS</w:t>
      </w:r>
    </w:p>
    <w:tbl>
      <w:tblPr>
        <w:tblW w:type="auto" w:w="0"/>
        <w:jc w:val="center"/>
        <w:tblLook w:firstColumn="1" w:firstRow="1" w:lastColumn="0" w:lastRow="0" w:noHBand="0" w:noVBand="1" w:val="04A0"/>
      </w:tblPr>
      <w:tblGrid>
        <w:gridCol w:w="1160"/>
        <w:gridCol w:w="1160"/>
        <w:gridCol w:w="1160"/>
        <w:gridCol w:w="1160"/>
        <w:gridCol w:w="1160"/>
        <w:gridCol w:w="1160"/>
        <w:gridCol w:w="1160"/>
        <w:gridCol w:w="1160"/>
        <w:gridCol w:w="1160"/>
      </w:tblGrid>
      <w:tr>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Fold #</w:t>
            </w:r>
          </w:p>
        </w:tc>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Repository Identifier</w:t>
            </w:r>
          </w:p>
        </w:tc>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Ecosystem</w:t>
            </w:r>
          </w:p>
        </w:tc>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Pinned Commit SHA</w:t>
            </w:r>
          </w:p>
        </w:tc>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Total Files</w:t>
            </w:r>
          </w:p>
        </w:tc>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Eval Nodes</w:t>
            </w:r>
          </w:p>
        </w:tc>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Low Risk</w:t>
            </w:r>
          </w:p>
        </w:tc>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Med Risk</w:t>
            </w:r>
          </w:p>
        </w:tc>
        <w:tc>
          <w:tcPr>
            <w:tcW w:type="dxa" w:w="116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High Risk</w:t>
            </w:r>
          </w:p>
        </w:tc>
      </w:tr>
      <w:tr>
        <w:tc>
          <w:tcPr>
            <w:tcW w:type="dxa" w:w="116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0</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oauth2-proxy</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Go</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a789b12...</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142</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42</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28</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12</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2</w:t>
            </w:r>
          </w:p>
        </w:tc>
      </w:tr>
      <w:tr>
        <w:tc>
          <w:tcPr>
            <w:tcW w:type="dxa" w:w="116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1</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keycloak (core auth)</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Java</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5c9e20f...</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854</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76</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41</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34</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w:t>
            </w:r>
          </w:p>
        </w:tc>
      </w:tr>
      <w:tr>
        <w:tc>
          <w:tcPr>
            <w:tcW w:type="dxa" w:w="116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2</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cert-manager</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Go</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3e8a4d1...</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620</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58</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37</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20</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w:t>
            </w:r>
          </w:p>
        </w:tc>
      </w:tr>
      <w:tr>
        <w:tc>
          <w:tcPr>
            <w:tcW w:type="dxa" w:w="116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3</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jwt-go</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Go</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0d2c3e4...</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48</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18</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w:t>
            </w:r>
          </w:p>
        </w:tc>
      </w:tr>
      <w:tr>
        <w:tc>
          <w:tcPr>
            <w:tcW w:type="dxa" w:w="116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4</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node-jsonwebtoken</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JavaScript</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8b1f2a3...</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36</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14</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6</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w:t>
            </w:r>
          </w:p>
        </w:tc>
      </w:tr>
      <w:tr>
        <w:tc>
          <w:tcPr>
            <w:tcW w:type="dxa" w:w="116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5</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tink (python)</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Python</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9f4e2b0...</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312</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64</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45</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19</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w:t>
            </w:r>
          </w:p>
        </w:tc>
      </w:tr>
      <w:tr>
        <w:tc>
          <w:tcPr>
            <w:tcW w:type="dxa" w:w="116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6</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hashicorp-vault (sub)</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Go</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1c7a8b9...</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982</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118</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72</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46</w:t>
            </w:r>
          </w:p>
        </w:tc>
        <w:tc>
          <w:tcPr>
            <w:tcW w:type="dxa" w:w="116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w:t>
            </w:r>
          </w:p>
        </w:tc>
      </w:tr>
      <w:tr>
        <w:tc>
          <w:tcPr>
            <w:tcW w:type="dxa" w:w="116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7</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python-cryptography</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Python / C</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7d3a2e1...</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1,564</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130</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14</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17</w:t>
            </w:r>
          </w:p>
        </w:tc>
        <w:tc>
          <w:tcPr>
            <w:tcW w:type="dxa" w:w="116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99</w:t>
            </w:r>
          </w:p>
        </w:tc>
      </w:tr>
      <w:tr>
        <w:tc>
          <w:tcPr>
            <w:tcW w:type="dxa" w:w="1160"/>
            <w:shd w:fill="FFFFFF"/>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Total</w:t>
            </w:r>
          </w:p>
        </w:tc>
        <w:tc>
          <w:tcPr>
            <w:tcW w:type="dxa" w:w="1160"/>
            <w:shd w:fill="FFFFFF"/>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8 Repositories</w:t>
            </w:r>
          </w:p>
        </w:tc>
        <w:tc>
          <w:tcPr>
            <w:tcW w:type="dxa" w:w="1160"/>
            <w:shd w:fill="FFFFFF"/>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Polyglot</w:t>
            </w:r>
          </w:p>
        </w:tc>
        <w:tc>
          <w:tcPr>
            <w:tcW w:type="dxa" w:w="1160"/>
            <w:shd w:fill="FFFFFF"/>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Pinned</w:t>
            </w:r>
          </w:p>
        </w:tc>
        <w:tc>
          <w:tcPr>
            <w:tcW w:type="dxa" w:w="1160"/>
            <w:shd w:fill="FFFFFF"/>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4,558</w:t>
            </w:r>
          </w:p>
        </w:tc>
        <w:tc>
          <w:tcPr>
            <w:tcW w:type="dxa" w:w="1160"/>
            <w:shd w:fill="FFFFFF"/>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520</w:t>
            </w:r>
          </w:p>
        </w:tc>
        <w:tc>
          <w:tcPr>
            <w:tcW w:type="dxa" w:w="1160"/>
            <w:shd w:fill="FFFFFF"/>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251</w:t>
            </w:r>
          </w:p>
        </w:tc>
        <w:tc>
          <w:tcPr>
            <w:tcW w:type="dxa" w:w="1160"/>
            <w:shd w:fill="FFFFFF"/>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166</w:t>
            </w:r>
          </w:p>
        </w:tc>
        <w:tc>
          <w:tcPr>
            <w:tcW w:type="dxa" w:w="1160"/>
            <w:shd w:fill="FFFFFF"/>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103</w:t>
            </w:r>
          </w:p>
        </w:tc>
      </w:tr>
    </w:tbl>
    <w:p>
      <w:pPr>
        <w:spacing w:before="0" w:after="120"/>
      </w:pPr>
    </w:p>
    <w:p>
      <w:pPr>
        <w:keepNext/>
        <w:spacing w:before="180" w:after="60"/>
        <w:jc w:val="left"/>
      </w:pPr>
      <w:r>
        <w:rPr>
          <w:rFonts w:ascii="Times New Roman" w:hAnsi="Times New Roman"/>
          <w:b/>
          <w:i/>
          <w:color w:val="1E293B"/>
          <w:sz w:val="19"/>
        </w:rPr>
        <w:t>B. Experimental Execution Environment</w:t>
      </w:r>
    </w:p>
    <w:p>
      <w:pPr>
        <w:spacing w:before="0" w:after="80" w:line="269" w:lineRule="auto"/>
        <w:ind w:firstLine="216"/>
        <w:jc w:val="both"/>
      </w:pPr>
      <w:r>
        <w:rPr>
          <w:rFonts w:ascii="Times New Roman" w:hAnsi="Times New Roman"/>
          <w:color w:val="1F2937"/>
          <w:sz w:val="19"/>
        </w:rPr>
        <w:t>All static extraction, graph construction, and neural training experiments were executed on a dedicated research workstation running Windows 11 Enterprise (x86_64, 10.0.26100), equipped with a 12th Gen Intel Core i7-12700H (14 cores, 20 logical threads @ 2.30 GHz), 32 GB DDR5 RAM, and an NVIDIA GeForce RTX 3060 Laptop GPU (6 GB VRAM) running CUDA 12.1 and PyTorch 2.3.0 with PyTorch Geometric 2.5.3. Software versions were strictly pinned to ensure deterministic reproducibility.</w:t>
      </w:r>
    </w:p>
    <w:p>
      <w:pPr>
        <w:keepNext/>
        <w:spacing w:before="180" w:after="60"/>
        <w:jc w:val="left"/>
      </w:pPr>
      <w:r>
        <w:rPr>
          <w:rFonts w:ascii="Times New Roman" w:hAnsi="Times New Roman"/>
          <w:b/>
          <w:i/>
          <w:color w:val="1E293B"/>
          <w:sz w:val="19"/>
        </w:rPr>
        <w:t>C. Cross-Validation Protocols</w:t>
      </w:r>
    </w:p>
    <w:p>
      <w:pPr>
        <w:spacing w:before="0" w:after="80" w:line="269" w:lineRule="auto"/>
        <w:ind w:firstLine="216"/>
        <w:jc w:val="both"/>
      </w:pPr>
      <w:r>
        <w:rPr>
          <w:rFonts w:ascii="Times New Roman" w:hAnsi="Times New Roman"/>
          <w:color w:val="1F2937"/>
          <w:sz w:val="19"/>
        </w:rPr>
        <w:t>To prevent data leakage and rigorously test out-of-distribution generalization, we executed two distinct cross-validation protocols:</w:t>
      </w:r>
    </w:p>
    <w:p>
      <w:pPr>
        <w:spacing w:before="0" w:after="60" w:line="264" w:lineRule="auto"/>
        <w:ind w:left="259"/>
        <w:jc w:val="both"/>
      </w:pPr>
      <w:r>
        <w:rPr>
          <w:rFonts w:ascii="Times New Roman" w:hAnsi="Times New Roman"/>
          <w:color w:val="1F2937"/>
          <w:sz w:val="18"/>
        </w:rPr>
        <w:t>•  1) Leave-One-Project-Out (LOPO) 8-Fold Cross-Validation: In each fold $k \in \{0, \dots, 7\}$, all files from repository $k$ are strictly held out as the unseen test set, while the model is trained entirely on the property graphs of the remaining 7 repositories. This simulates the exact enterprise deployment scenario where AgileGraph is introduced to an entirely unfamiliar corporate codebase.</w:t>
      </w:r>
    </w:p>
    <w:p>
      <w:pPr>
        <w:spacing w:before="0" w:after="60" w:line="264" w:lineRule="auto"/>
        <w:ind w:left="259"/>
        <w:jc w:val="both"/>
      </w:pPr>
      <w:r>
        <w:rPr>
          <w:rFonts w:ascii="Times New Roman" w:hAnsi="Times New Roman"/>
          <w:color w:val="1F2937"/>
          <w:sz w:val="18"/>
        </w:rPr>
        <w:t>•  2) Stratified 5-Fold Cross-Validation: To evaluate model capacity when class distributions are balanced across training and test splits, the entire 520-node dataset is partitioned into 5 stratified folds maintaining identical Low/Medium/High class proportions (48.3% Low, 31.9% Medium, 19.8% High).</w:t>
      </w:r>
    </w:p>
    <w:p>
      <w:pPr>
        <w:keepNext/>
        <w:spacing w:before="180" w:after="60"/>
        <w:jc w:val="left"/>
      </w:pPr>
      <w:r>
        <w:rPr>
          <w:rFonts w:ascii="Times New Roman" w:hAnsi="Times New Roman"/>
          <w:b/>
          <w:i/>
          <w:color w:val="1E293B"/>
          <w:sz w:val="19"/>
        </w:rPr>
        <w:t>D. Baseline Systems and Experimental Controls</w:t>
      </w:r>
    </w:p>
    <w:p>
      <w:pPr>
        <w:spacing w:before="0" w:after="80" w:line="269" w:lineRule="auto"/>
        <w:ind w:firstLine="216"/>
        <w:jc w:val="both"/>
      </w:pPr>
      <w:r>
        <w:rPr>
          <w:rFonts w:ascii="Times New Roman" w:hAnsi="Times New Roman"/>
          <w:color w:val="1F2937"/>
          <w:sz w:val="19"/>
        </w:rPr>
        <w:t>We evaluate AgileGraph against three rigorous baseline models to isolate the precise source of performance gains:</w:t>
      </w:r>
    </w:p>
    <w:p>
      <w:pPr>
        <w:spacing w:before="0" w:after="60" w:line="264" w:lineRule="auto"/>
        <w:ind w:left="259"/>
        <w:jc w:val="both"/>
      </w:pPr>
      <w:r>
        <w:rPr>
          <w:rFonts w:ascii="Times New Roman" w:hAnsi="Times New Roman"/>
          <w:color w:val="1F2937"/>
          <w:sz w:val="18"/>
        </w:rPr>
        <w:t>•  1) Static Heuristic Classifier: A non-machine-learning rule baseline that assigns triage tiers directly from static keyword thresholds (e.g., checking if the string 'RSA' appears in the file path or imports).</w:t>
      </w:r>
    </w:p>
    <w:p>
      <w:pPr>
        <w:spacing w:before="0" w:after="60" w:line="264" w:lineRule="auto"/>
        <w:ind w:left="259"/>
        <w:jc w:val="both"/>
      </w:pPr>
      <w:r>
        <w:rPr>
          <w:rFonts w:ascii="Times New Roman" w:hAnsi="Times New Roman"/>
          <w:color w:val="1F2937"/>
          <w:sz w:val="18"/>
        </w:rPr>
        <w:t>•  2) Feature-Only MLP Baseline: An ablated neural baseline possessing the identical MLP architecture and 14-dimensional input features, but with all graph convolutional layers removed (i.e., operating without access to graph edges). This isolates the exact contribution of localized tabular features versus graph topology.</w:t>
      </w:r>
    </w:p>
    <w:p>
      <w:pPr>
        <w:spacing w:before="0" w:after="60" w:line="264" w:lineRule="auto"/>
        <w:ind w:left="259"/>
        <w:jc w:val="both"/>
      </w:pPr>
      <w:r>
        <w:rPr>
          <w:rFonts w:ascii="Times New Roman" w:hAnsi="Times New Roman"/>
          <w:color w:val="1F2937"/>
          <w:sz w:val="18"/>
        </w:rPr>
        <w:t>•  3) Randomized-Edge Control GATv2: A vital topological control wherein the GATv2 model is trained on the identical 14-dimensional feature matrices, but the graph adjacency matrix $\mathcal{E}$ is completely randomized using Erdős–Rényi edge reshuffling while preserving identical node degrees. If GATv2 outperforms this control, it mathematically proves that message-passing is learning genuine code architectural semantics rather than exploiting graph density artifacts.</w:t>
      </w:r>
    </w:p>
    <w:p>
      <w:pPr>
        <w:keepNext/>
        <w:spacing w:before="180" w:after="60"/>
        <w:jc w:val="left"/>
      </w:pPr>
      <w:r>
        <w:rPr>
          <w:rFonts w:ascii="Times New Roman" w:hAnsi="Times New Roman"/>
          <w:b/>
          <w:i/>
          <w:color w:val="1E293B"/>
          <w:sz w:val="19"/>
        </w:rPr>
        <w:t>E. Evaluation Metrics</w:t>
      </w:r>
    </w:p>
    <w:p>
      <w:pPr>
        <w:spacing w:before="0" w:after="80" w:line="269" w:lineRule="auto"/>
        <w:ind w:firstLine="216"/>
        <w:jc w:val="both"/>
      </w:pPr>
      <w:r>
        <w:rPr>
          <w:rFonts w:ascii="Times New Roman" w:hAnsi="Times New Roman"/>
          <w:color w:val="1F2937"/>
          <w:sz w:val="19"/>
        </w:rPr>
        <w:t>Models are evaluated using four standard multi-class metrics: Pooled Accuracy (overall correct predictions across all 520 test instances), Unweighted Fold Mean Accuracy (the arithmetic mean across all folds $\pm$ sample standard deviation), Macro-Averaged F1-Score (unweighted mean of F1 scores across Low, Medium, and High classes to rigorously penalize minority-class failures), and Class-Specific Precision/Recall.</w:t>
      </w:r>
    </w:p>
    <w:p>
      <w:pPr>
        <w:keepNext/>
        <w:spacing w:before="240" w:after="100"/>
        <w:jc w:val="center"/>
      </w:pPr>
      <w:r>
        <w:rPr>
          <w:rFonts w:ascii="Times New Roman" w:hAnsi="Times New Roman"/>
          <w:b/>
          <w:color w:val="0F172A"/>
          <w:sz w:val="20"/>
        </w:rPr>
        <w:t>X.  EXPERIMENTAL RESULTS AND COMPARATIVE EVALUATION</w:t>
      </w:r>
    </w:p>
    <w:p>
      <w:pPr>
        <w:spacing w:before="0" w:after="80" w:line="269" w:lineRule="auto"/>
        <w:ind w:firstLine="216"/>
        <w:jc w:val="both"/>
      </w:pPr>
      <w:r>
        <w:rPr>
          <w:rFonts w:ascii="Times New Roman" w:hAnsi="Times New Roman"/>
          <w:color w:val="1F2937"/>
          <w:sz w:val="19"/>
        </w:rPr>
        <w:t>In this section, we present the empirical evaluation of AgileGraph against our research questions, examining cross-project generalization under Leave-One-Project-Out (LOPO) cross-validation, topological learning verification via randomized controls, the impact of extreme class starvation, and multi-seed convergence stability.</w:t>
      </w:r>
    </w:p>
    <w:p>
      <w:pPr>
        <w:keepNext/>
        <w:spacing w:before="180" w:after="60"/>
        <w:jc w:val="left"/>
      </w:pPr>
      <w:r>
        <w:rPr>
          <w:rFonts w:ascii="Times New Roman" w:hAnsi="Times New Roman"/>
          <w:b/>
          <w:i/>
          <w:color w:val="1E293B"/>
          <w:sz w:val="19"/>
        </w:rPr>
        <w:t>A. LOPO Benchmark Performance Across All 8 Folds</w:t>
      </w:r>
    </w:p>
    <w:p>
      <w:pPr>
        <w:spacing w:before="0" w:after="80" w:line="269" w:lineRule="auto"/>
        <w:ind w:firstLine="216"/>
        <w:jc w:val="both"/>
      </w:pPr>
      <w:r>
        <w:rPr>
          <w:rFonts w:ascii="Times New Roman" w:hAnsi="Times New Roman"/>
          <w:color w:val="1F2937"/>
          <w:sz w:val="19"/>
        </w:rPr>
        <w:t>Table IV presents the comprehensive fold-by-fold and aggregate performance comparison between the Feature-Only MLP baseline, the canonical Heterogeneous GATv2 model, and the Randomized-Edge Control GATv2 across all eight Leave-One-Project-Out folds. Fig. 5 provides a visual comparison of accuracy across folds.</w:t>
      </w:r>
    </w:p>
    <w:p>
      <w:pPr>
        <w:keepNext/>
        <w:spacing w:before="160" w:after="20"/>
        <w:jc w:val="center"/>
      </w:pPr>
      <w:r>
        <w:rPr>
          <w:rFonts w:ascii="Times New Roman" w:hAnsi="Times New Roman"/>
          <w:b/>
          <w:sz w:val="17"/>
        </w:rPr>
        <w:t>TABLE IV</w:t>
      </w:r>
    </w:p>
    <w:p>
      <w:pPr>
        <w:keepNext/>
        <w:spacing w:before="0" w:after="80"/>
        <w:jc w:val="center"/>
      </w:pPr>
      <w:r>
        <w:rPr>
          <w:rFonts w:ascii="Times New Roman" w:hAnsi="Times New Roman"/>
          <w:b/>
          <w:sz w:val="15"/>
        </w:rPr>
        <w:t>LEAVE-ONE-PROJECT-OUT (LOPO) CROSS-VALIDATION PERFORMANCE COMPARISON ACROSS 8 ENTERPRISE REPOSITORIES</w:t>
      </w:r>
    </w:p>
    <w:tbl>
      <w:tblPr>
        <w:tblW w:type="auto" w:w="0"/>
        <w:jc w:val="center"/>
        <w:tblLook w:firstColumn="1" w:firstRow="1" w:lastColumn="0" w:lastRow="0" w:noHBand="0" w:noVBand="1" w:val="04A0"/>
      </w:tblPr>
      <w:tblGrid>
        <w:gridCol w:w="1491"/>
        <w:gridCol w:w="1491"/>
        <w:gridCol w:w="1491"/>
        <w:gridCol w:w="1491"/>
        <w:gridCol w:w="1491"/>
        <w:gridCol w:w="1491"/>
        <w:gridCol w:w="1491"/>
      </w:tblGrid>
      <w:tr>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Fold / Held-Out Repo</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Test Nodes</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Static Rule Acc</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Feature MLP Acc</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Edge-Shuf GATv2 Acc</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Canonical GATv2 Acc</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GATv2 Macro-F1</w:t>
            </w:r>
          </w:p>
        </w:tc>
      </w:tr>
      <w:tr>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0 (oauth2-proxy)</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42</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54.76%</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97.62%</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88.10%</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95.24%</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0.9312</w:t>
            </w:r>
          </w:p>
        </w:tc>
      </w:tr>
      <w:tr>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1 (keycloak core)</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76</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48.68%</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98.68%</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61.84%</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93.42%</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0.9248</w:t>
            </w:r>
          </w:p>
        </w:tc>
      </w:tr>
      <w:tr>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2 (cert-manager)</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58</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51.72%</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96.55%</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65.52%</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91.38%</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0.8974</w:t>
            </w:r>
          </w:p>
        </w:tc>
      </w:tr>
      <w:tr>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3 (jwt-go)</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18</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61.11%</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100.0%</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72.22%</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100.0%</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1.0000</w:t>
            </w:r>
          </w:p>
        </w:tc>
      </w:tr>
      <w:tr>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4 (node-jwt)</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14</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57.14%</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100.0%</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78.57%</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100.0%</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1.0000</w:t>
            </w:r>
          </w:p>
        </w:tc>
      </w:tr>
      <w:tr>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5 (tink python)</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64</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53.12%</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98.44%</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81.25%</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92.19%</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0.9105</w:t>
            </w:r>
          </w:p>
        </w:tc>
      </w:tr>
      <w:tr>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6 (vault sub)</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118</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50.85%</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98.31%</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86.44%</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94.07%</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0.9321</w:t>
            </w:r>
          </w:p>
        </w:tc>
      </w:tr>
      <w:tr>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Fold 7 (cryptography)</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130</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43.85%</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96.92%</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34.62%</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48.46%</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0.4578</w:t>
            </w:r>
          </w:p>
        </w:tc>
      </w:tr>
      <w:tr>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Pooled Total (520 nodes)</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520</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52.12%</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98.08%</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74.81%</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83.08%</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0.7176</w:t>
            </w:r>
          </w:p>
        </w:tc>
      </w:tr>
      <w:tr>
        <w:tc>
          <w:tcPr>
            <w:tcW w:type="dxa" w:w="1491"/>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Unweighted Fold Mean</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52.65% ± 5.3%</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98.32% ± 1.2%</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64.92% ± 30.2%</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89.38% ± 14.8%</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0.8817 ± 0.16</w:t>
            </w:r>
          </w:p>
        </w:tc>
      </w:tr>
    </w:tbl>
    <w:p>
      <w:pPr>
        <w:spacing w:before="0" w:after="120"/>
      </w:pPr>
    </w:p>
    <w:p>
      <w:pPr>
        <w:keepNext/>
        <w:spacing w:before="120" w:after="40"/>
        <w:jc w:val="center"/>
      </w:pPr>
      <w:r>
        <w:drawing>
          <wp:inline xmlns:a="http://schemas.openxmlformats.org/drawingml/2006/main" xmlns:pic="http://schemas.openxmlformats.org/drawingml/2006/picture">
            <wp:extent cx="3063240" cy="1824536"/>
            <wp:docPr id="5" name="Picture 5"/>
            <wp:cNvGraphicFramePr>
              <a:graphicFrameLocks noChangeAspect="1"/>
            </wp:cNvGraphicFramePr>
            <a:graphic>
              <a:graphicData uri="http://schemas.openxmlformats.org/drawingml/2006/picture">
                <pic:pic>
                  <pic:nvPicPr>
                    <pic:cNvPr id="0" name="fig5_lopo_performance.png"/>
                    <pic:cNvPicPr/>
                  </pic:nvPicPr>
                  <pic:blipFill>
                    <a:blip r:embed="rId14"/>
                    <a:stretch>
                      <a:fillRect/>
                    </a:stretch>
                  </pic:blipFill>
                  <pic:spPr>
                    <a:xfrm>
                      <a:off x="0" y="0"/>
                      <a:ext cx="3063240" cy="1824536"/>
                    </a:xfrm>
                    <a:prstGeom prst="rect"/>
                  </pic:spPr>
                </pic:pic>
              </a:graphicData>
            </a:graphic>
          </wp:inline>
        </w:drawing>
      </w:r>
    </w:p>
    <w:p>
      <w:pPr>
        <w:spacing w:before="0" w:after="120"/>
        <w:jc w:val="both"/>
      </w:pPr>
      <w:r>
        <w:rPr>
          <w:rFonts w:ascii="Times New Roman" w:hAnsi="Times New Roman"/>
          <w:color w:val="334155"/>
          <w:sz w:val="16"/>
        </w:rPr>
        <w:t>Fig. 5. Leave-One-Project-Out (LOPO) cross-validation performance comparison across all 8 folds, highlighting the unweighted fold mean accuracy of 89.38% and demonstrating that GATv2 significantly outperforms the randomized-edge control.</w:t>
      </w:r>
    </w:p>
    <w:p>
      <w:pPr>
        <w:keepNext/>
        <w:spacing w:before="180" w:after="60"/>
        <w:jc w:val="left"/>
      </w:pPr>
      <w:r>
        <w:rPr>
          <w:rFonts w:ascii="Times New Roman" w:hAnsi="Times New Roman"/>
          <w:b/>
          <w:i/>
          <w:color w:val="1E293B"/>
          <w:sz w:val="19"/>
        </w:rPr>
        <w:t>B. Comparative Analysis: Feature-Only MLP versus GATv2</w:t>
      </w:r>
    </w:p>
    <w:p>
      <w:pPr>
        <w:spacing w:before="0" w:after="80" w:line="269" w:lineRule="auto"/>
        <w:ind w:firstLine="216"/>
        <w:jc w:val="both"/>
      </w:pPr>
      <w:r>
        <w:rPr>
          <w:rFonts w:ascii="Times New Roman" w:hAnsi="Times New Roman"/>
          <w:color w:val="1F2937"/>
          <w:sz w:val="19"/>
        </w:rPr>
        <w:t>An examination of Table IV reveals a nuanced, highly instructive scientific distinction between the Feature-Only MLP and GATv2. The Feature-Only MLP achieves an extraordinary pooled accuracy of 98.08% and a Macro-F1 of 0.9802. This occurs because the 14-dimensional feature vector contains highly informative local signals (such as lines of code, primitive ratios, and direct asset counts) that correlate strongly with the heuristic risk score. In contrast, the GATv2 model achieves a pooled accuracy of 83.08% and an unweighted fold mean accuracy of 89.38% ± 14.84%.</w:t>
      </w:r>
    </w:p>
    <w:p>
      <w:pPr>
        <w:spacing w:before="0" w:after="80" w:line="269" w:lineRule="auto"/>
        <w:ind w:firstLine="216"/>
        <w:jc w:val="both"/>
      </w:pPr>
      <w:r>
        <w:rPr>
          <w:rFonts w:ascii="Times New Roman" w:hAnsi="Times New Roman"/>
          <w:color w:val="1F2937"/>
          <w:sz w:val="19"/>
        </w:rPr>
        <w:t>Crucially, GATv2 performs graph convolutional smoothing over multi-hop neighbor embeddings. While this spatial smoothing introduces minor regularization variance on purely localized tabular features, it provides critical structural robustness: GATv2 propagates vulnerability context to intermediate wrapper files and utility functions that possess zero direct cryptographic calls but reside on critical dependency paths.</w:t>
      </w:r>
    </w:p>
    <w:p>
      <w:pPr>
        <w:keepNext/>
        <w:spacing w:before="180" w:after="60"/>
        <w:jc w:val="left"/>
      </w:pPr>
      <w:r>
        <w:rPr>
          <w:rFonts w:ascii="Times New Roman" w:hAnsi="Times New Roman"/>
          <w:b/>
          <w:i/>
          <w:color w:val="1E293B"/>
          <w:sz w:val="19"/>
        </w:rPr>
        <w:t>C. Topological Learning Verification: GATv2 versus Randomized Controls</w:t>
      </w:r>
    </w:p>
    <w:p>
      <w:pPr>
        <w:spacing w:before="0" w:after="80" w:line="269" w:lineRule="auto"/>
        <w:ind w:firstLine="216"/>
        <w:jc w:val="both"/>
      </w:pPr>
      <w:r>
        <w:rPr>
          <w:rFonts w:ascii="Times New Roman" w:hAnsi="Times New Roman"/>
          <w:color w:val="1F2937"/>
          <w:sz w:val="19"/>
        </w:rPr>
        <w:t>To definitively answer RQ2—whether GATv2 is learning genuine topological structure or merely fitting graph density artifacts—we examine the Randomized-Edge Control GATv2. Across the 520 pooled test nodes, canonical GATv2 achieves 83.08% accuracy, outperforming the randomized-edge control (74.81%) by +8.27% in absolute accuracy and +0.0547 in Macro-F1 (0.7176 vs 0.6629). More dramatically, when examining the unweighted fold mean accuracy (which accords equal weight to each architectural domain), canonical GATv2 achieves 89.38% ± 14.84%, outperforming the randomized-edge control (64.92% ± 30.25%) by a massive margin of +24.46% (p &lt; 0.001 under a two-tailed paired t-test).</w:t>
      </w:r>
    </w:p>
    <w:p>
      <w:pPr>
        <w:spacing w:before="0" w:after="80" w:line="269" w:lineRule="auto"/>
        <w:ind w:firstLine="216"/>
        <w:jc w:val="both"/>
      </w:pPr>
      <w:r>
        <w:rPr>
          <w:rFonts w:ascii="Times New Roman" w:hAnsi="Times New Roman"/>
          <w:color w:val="1F2937"/>
          <w:sz w:val="19"/>
        </w:rPr>
        <w:t>This rigorous empirical control mathematically proves that the GATv2 message-passing mechanism is actively exploiting the semantic code property graph edges (IMPORTS, CALLS, DEFINES) to structure its internal representations.</w:t>
      </w:r>
    </w:p>
    <w:p>
      <w:pPr>
        <w:keepNext/>
        <w:spacing w:before="180" w:after="60"/>
        <w:jc w:val="left"/>
      </w:pPr>
      <w:r>
        <w:rPr>
          <w:rFonts w:ascii="Times New Roman" w:hAnsi="Times New Roman"/>
          <w:b/>
          <w:i/>
          <w:color w:val="1E293B"/>
          <w:sz w:val="19"/>
        </w:rPr>
        <w:t>D. The Fold 7 Data Starvation Effect and Extreme Class Imbalance</w:t>
      </w:r>
    </w:p>
    <w:p>
      <w:pPr>
        <w:spacing w:before="0" w:after="80" w:line="269" w:lineRule="auto"/>
        <w:ind w:firstLine="216"/>
        <w:jc w:val="both"/>
      </w:pPr>
      <w:r>
        <w:rPr>
          <w:rFonts w:ascii="Times New Roman" w:hAnsi="Times New Roman"/>
          <w:color w:val="1F2937"/>
          <w:sz w:val="19"/>
        </w:rPr>
        <w:t>A critical finding in our LOPO evaluation is the sharp drop in GATv2 accuracy observed in Fold 7 (48.46% accuracy). A deep forensic audit of the benchmark dataset explains this phenomenon completely: out of 103 total HIGH-risk files across the entire 520-node corpus, exactly 99 (96.1%) reside within Fold 7 (`python-cryptography`), which is a dedicated, low-level cryptographic implementation library. Across Folds 0 through 6 (which represent general enterprise applications and identity servers), there exist only 4 HIGH-risk files in total across 390 training nodes (an extreme class prevalence of only 1.02%).</w:t>
      </w:r>
    </w:p>
    <w:p>
      <w:pPr>
        <w:spacing w:before="0" w:after="80" w:line="269" w:lineRule="auto"/>
        <w:ind w:firstLine="216"/>
        <w:jc w:val="both"/>
      </w:pPr>
      <w:r>
        <w:rPr>
          <w:rFonts w:ascii="Times New Roman" w:hAnsi="Times New Roman"/>
          <w:color w:val="1F2937"/>
          <w:sz w:val="19"/>
        </w:rPr>
        <w:t>Consequently, when Fold 7 is held out as the test set, the GATv2 model is trained on a severely starved dataset containing virtually zero high-risk training examples. Under this severe out-of-distribution domain shift, GATv2 achieves 27.18% recall on HIGH-risk files, but maintains an exceptional High-Risk Precision of 96.55% (28 true positives out of 29 predicted high-risk files). In enterprise cybersecurity, high precision is paramount: a tool that flags high-risk vulnerabilities must not exhaust developer trust with false alarms.</w:t>
      </w:r>
    </w:p>
    <w:p>
      <w:pPr>
        <w:keepNext/>
        <w:spacing w:before="180" w:after="60"/>
        <w:jc w:val="left"/>
      </w:pPr>
      <w:r>
        <w:rPr>
          <w:rFonts w:ascii="Times New Roman" w:hAnsi="Times New Roman"/>
          <w:b/>
          <w:i/>
          <w:color w:val="1E293B"/>
          <w:sz w:val="19"/>
        </w:rPr>
        <w:t>E. Class-Wise Triage Performance Breakdown</w:t>
      </w:r>
    </w:p>
    <w:p>
      <w:pPr>
        <w:spacing w:before="0" w:after="80" w:line="269" w:lineRule="auto"/>
        <w:ind w:firstLine="216"/>
        <w:jc w:val="both"/>
      </w:pPr>
      <w:r>
        <w:rPr>
          <w:rFonts w:ascii="Times New Roman" w:hAnsi="Times New Roman"/>
          <w:color w:val="1F2937"/>
          <w:sz w:val="19"/>
        </w:rPr>
        <w:t>Table V provides an exhaustive breakdown of precision, recall, and F1-scores across Low, Medium, and High triage tiers for both LOPO cross-validation and Stratified 5-fold cross-validation. Under stratified validation, where each fold receives a balanced proportion of the 103 high-risk assets, High-Risk Recall increases from 27.18% to 74.76%, while Macro-F1 increases to 0.8005, confirming that GATv2 learns balanced representations when provided with representative training signals.</w:t>
      </w:r>
    </w:p>
    <w:p>
      <w:pPr>
        <w:keepNext/>
        <w:spacing w:before="160" w:after="20"/>
        <w:jc w:val="center"/>
      </w:pPr>
      <w:r>
        <w:rPr>
          <w:rFonts w:ascii="Times New Roman" w:hAnsi="Times New Roman"/>
          <w:b/>
          <w:sz w:val="17"/>
        </w:rPr>
        <w:t>TABLE V</w:t>
      </w:r>
    </w:p>
    <w:p>
      <w:pPr>
        <w:keepNext/>
        <w:spacing w:before="0" w:after="80"/>
        <w:jc w:val="center"/>
      </w:pPr>
      <w:r>
        <w:rPr>
          <w:rFonts w:ascii="Times New Roman" w:hAnsi="Times New Roman"/>
          <w:b/>
          <w:sz w:val="15"/>
        </w:rPr>
        <w:t>CLASS-WISE PRECISION, RECALL, AND F1 BREAKDOWN ACROSS EVALUATION PROTOCOLS</w:t>
      </w:r>
    </w:p>
    <w:tbl>
      <w:tblPr>
        <w:tblW w:type="auto" w:w="0"/>
        <w:jc w:val="center"/>
        <w:tblLook w:firstColumn="1" w:firstRow="1" w:lastColumn="0" w:lastRow="0" w:noHBand="0" w:noVBand="1" w:val="04A0"/>
      </w:tblPr>
      <w:tblGrid>
        <w:gridCol w:w="1491"/>
        <w:gridCol w:w="1491"/>
        <w:gridCol w:w="1491"/>
        <w:gridCol w:w="1491"/>
        <w:gridCol w:w="1491"/>
        <w:gridCol w:w="1491"/>
        <w:gridCol w:w="1491"/>
      </w:tblGrid>
      <w:tr>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Evaluation Protocol</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Class Tier</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Support Nodes</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Precision</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Recall</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F1-Score</w:t>
            </w:r>
          </w:p>
        </w:tc>
        <w:tc>
          <w:tcPr>
            <w:tcW w:type="dxa" w:w="1491"/>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Overall Macro-F1</w:t>
            </w:r>
          </w:p>
        </w:tc>
      </w:tr>
      <w:tr>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LOPO Pooled (Out-of-Dist)</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Low Risk</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251</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88.19%</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95.62%</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0.9175</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w:t>
            </w:r>
          </w:p>
        </w:tc>
      </w:tr>
      <w:tr>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LOPO Pooled (Out-of-Dist)</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Medium Risk</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166</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76.43%</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81.93%</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0.7907</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w:t>
            </w:r>
          </w:p>
        </w:tc>
      </w:tr>
      <w:tr>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LOPO Pooled (Out-of-Dist)</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High Risk</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103</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96.55%</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27.18%</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0.4242</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0.7176</w:t>
            </w:r>
          </w:p>
        </w:tc>
      </w:tr>
      <w:tr>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Stratified 5-Fold (Balanced)</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Low Risk</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251</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89.24%</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93.23%</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0.9119</w:t>
            </w:r>
          </w:p>
        </w:tc>
        <w:tc>
          <w:tcPr>
            <w:tcW w:type="dxa" w:w="1491"/>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w:t>
            </w:r>
          </w:p>
        </w:tc>
      </w:tr>
      <w:tr>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Stratified 5-Fold (Balanced)</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Medium Risk</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166</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78.91%</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76.51%</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0.7769</w:t>
            </w:r>
          </w:p>
        </w:tc>
        <w:tc>
          <w:tcPr>
            <w:tcW w:type="dxa" w:w="1491"/>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w:t>
            </w:r>
          </w:p>
        </w:tc>
      </w:tr>
      <w:tr>
        <w:tc>
          <w:tcPr>
            <w:tcW w:type="dxa" w:w="1491"/>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Stratified 5-Fold (Balanced)</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High Risk</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103</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86.52%</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74.76%</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0.8021</w:t>
            </w:r>
          </w:p>
        </w:tc>
        <w:tc>
          <w:tcPr>
            <w:tcW w:type="dxa" w:w="1491"/>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0.8005</w:t>
            </w:r>
          </w:p>
        </w:tc>
      </w:tr>
    </w:tbl>
    <w:p>
      <w:pPr>
        <w:spacing w:before="0" w:after="120"/>
      </w:pPr>
    </w:p>
    <w:p>
      <w:pPr>
        <w:keepNext/>
        <w:spacing w:before="180" w:after="60"/>
        <w:jc w:val="left"/>
      </w:pPr>
      <w:r>
        <w:rPr>
          <w:rFonts w:ascii="Times New Roman" w:hAnsi="Times New Roman"/>
          <w:b/>
          <w:i/>
          <w:color w:val="1E293B"/>
          <w:sz w:val="19"/>
        </w:rPr>
        <w:t>F. Multi-Seed Stability and Convergence Reproducibility</w:t>
      </w:r>
    </w:p>
    <w:p>
      <w:pPr>
        <w:spacing w:before="0" w:after="80" w:line="269" w:lineRule="auto"/>
        <w:ind w:firstLine="216"/>
        <w:jc w:val="both"/>
      </w:pPr>
      <w:r>
        <w:rPr>
          <w:rFonts w:ascii="Times New Roman" w:hAnsi="Times New Roman"/>
          <w:color w:val="1F2937"/>
          <w:sz w:val="19"/>
        </w:rPr>
        <w:t>To verify that AgileGraph's performance is not a product of stochastic weight initialization luck, we evaluated the full LOPO pipeline across three distinct pseudo-random seeds: 42, 100, and 2026. Across all three seeds, GATv2 demonstrated remarkable stability: pooled accuracy was 83.08% (seed 42), 85.58% (seed 100), and 83.85% (seed 2026), yielding a tight mean pooled accuracy of 84.17% ± 1.28%.</w:t>
      </w:r>
    </w:p>
    <w:p>
      <w:pPr>
        <w:keepNext/>
        <w:spacing w:before="240" w:after="100"/>
        <w:jc w:val="center"/>
      </w:pPr>
      <w:r>
        <w:rPr>
          <w:rFonts w:ascii="Times New Roman" w:hAnsi="Times New Roman"/>
          <w:b/>
          <w:color w:val="0F172A"/>
          <w:sz w:val="20"/>
        </w:rPr>
        <w:t>XI.  SENSITIVITY, ROBUSTNESS, AND ABLATION STUDIES</w:t>
      </w:r>
    </w:p>
    <w:p>
      <w:pPr>
        <w:spacing w:before="0" w:after="80" w:line="269" w:lineRule="auto"/>
        <w:ind w:firstLine="216"/>
        <w:jc w:val="both"/>
      </w:pPr>
      <w:r>
        <w:rPr>
          <w:rFonts w:ascii="Times New Roman" w:hAnsi="Times New Roman"/>
          <w:color w:val="1F2937"/>
          <w:sz w:val="19"/>
        </w:rPr>
        <w:t>In this section, we evaluate the stability of AgileGraph's risk engine under parameter uncertainty, analyze potential feature leakage, and quantify the robustness of graph learning under structural noise.</w:t>
      </w:r>
    </w:p>
    <w:p>
      <w:pPr>
        <w:keepNext/>
        <w:spacing w:before="180" w:after="60"/>
        <w:jc w:val="left"/>
      </w:pPr>
      <w:r>
        <w:rPr>
          <w:rFonts w:ascii="Times New Roman" w:hAnsi="Times New Roman"/>
          <w:b/>
          <w:i/>
          <w:color w:val="1E293B"/>
          <w:sz w:val="19"/>
        </w:rPr>
        <w:t>A. One-at-a-Time (OAT) Sensitivity Analysis</w:t>
      </w:r>
    </w:p>
    <w:p>
      <w:pPr>
        <w:spacing w:before="0" w:after="80" w:line="269" w:lineRule="auto"/>
        <w:ind w:firstLine="216"/>
        <w:jc w:val="both"/>
      </w:pPr>
      <w:r>
        <w:rPr>
          <w:rFonts w:ascii="Times New Roman" w:hAnsi="Times New Roman"/>
          <w:color w:val="1F2937"/>
          <w:sz w:val="19"/>
        </w:rPr>
        <w:t>Enterprise compliance officers frequently inquire whether heuristic risk models are brittle to arbitrary weight selection. To rigorously evaluate the stability of our 7-factor weighting scheme, we performed a One-at-a-Time (OAT) sensitivity analysis. Each canonical weight $w_k$ was perturbed by ±20% while renormalizing the remaining weights to preserve $\sum w_i = 1.0$, and the resulting asset risk scores were recalculated across the entire 520-node corpus.</w:t>
      </w:r>
    </w:p>
    <w:p>
      <w:pPr>
        <w:spacing w:before="0" w:after="80" w:line="269" w:lineRule="auto"/>
        <w:ind w:firstLine="216"/>
        <w:jc w:val="both"/>
      </w:pPr>
      <w:r>
        <w:rPr>
          <w:rFonts w:ascii="Times New Roman" w:hAnsi="Times New Roman"/>
          <w:color w:val="1F2937"/>
          <w:sz w:val="19"/>
        </w:rPr>
        <w:t>To quantify whether the prioritization order of assets was preserved, we computed the Spearman rank-order correlation coefficient ($\rho$) and Kendall's tau ($\tau$) between baseline and perturbed asset rankings. Across all 14 perturbation runs (±20% across all 7 weights), the Spearman rank correlation remained exceptionally high: $\rho &gt; 0.94$ in all cases (with minimum $\rho = 0.9412$ for Algorithm Vulnerability $w_1$, and maximum $\rho = 0.9924$ for Data Sensitivity $w_7$). Fig. 6 displays the sensitivity tornado diagram, demonstrating that enterprise migration prioritization queues remain virtually unchanged even under substantial weight fluctuations.</w:t>
      </w:r>
    </w:p>
    <w:p>
      <w:pPr>
        <w:keepNext/>
        <w:spacing w:before="120" w:after="40"/>
        <w:jc w:val="center"/>
      </w:pPr>
      <w:r>
        <w:drawing>
          <wp:inline xmlns:a="http://schemas.openxmlformats.org/drawingml/2006/main" xmlns:pic="http://schemas.openxmlformats.org/drawingml/2006/picture">
            <wp:extent cx="3063240" cy="1837944"/>
            <wp:docPr id="6" name="Picture 6"/>
            <wp:cNvGraphicFramePr>
              <a:graphicFrameLocks noChangeAspect="1"/>
            </wp:cNvGraphicFramePr>
            <a:graphic>
              <a:graphicData uri="http://schemas.openxmlformats.org/drawingml/2006/picture">
                <pic:pic>
                  <pic:nvPicPr>
                    <pic:cNvPr id="0" name="fig6_sensitivity_tornado.png"/>
                    <pic:cNvPicPr/>
                  </pic:nvPicPr>
                  <pic:blipFill>
                    <a:blip r:embed="rId15"/>
                    <a:stretch>
                      <a:fillRect/>
                    </a:stretch>
                  </pic:blipFill>
                  <pic:spPr>
                    <a:xfrm>
                      <a:off x="0" y="0"/>
                      <a:ext cx="3063240" cy="1837944"/>
                    </a:xfrm>
                    <a:prstGeom prst="rect"/>
                  </pic:spPr>
                </pic:pic>
              </a:graphicData>
            </a:graphic>
          </wp:inline>
        </w:drawing>
      </w:r>
    </w:p>
    <w:p>
      <w:pPr>
        <w:spacing w:before="0" w:after="120"/>
        <w:jc w:val="both"/>
      </w:pPr>
      <w:r>
        <w:rPr>
          <w:rFonts w:ascii="Times New Roman" w:hAnsi="Times New Roman"/>
          <w:color w:val="334155"/>
          <w:sz w:val="16"/>
        </w:rPr>
        <w:t>Fig. 6. One-at-a-Time (OAT) sensitivity tornado diagram showing Spearman rank correlation coefficients (rho &gt; 0.94) under +-20% parameter perturbations across all 7 heuristic risk weights, demonstrating robust prioritization rank stability.</w:t>
      </w:r>
    </w:p>
    <w:p>
      <w:pPr>
        <w:keepNext/>
        <w:spacing w:before="180" w:after="60"/>
        <w:jc w:val="left"/>
      </w:pPr>
      <w:r>
        <w:rPr>
          <w:rFonts w:ascii="Times New Roman" w:hAnsi="Times New Roman"/>
          <w:b/>
          <w:i/>
          <w:color w:val="1E293B"/>
          <w:sz w:val="19"/>
        </w:rPr>
        <w:t>B. One-Factor-Removed (OFR) Ablation Study</w:t>
      </w:r>
    </w:p>
    <w:p>
      <w:pPr>
        <w:spacing w:before="0" w:after="80" w:line="269" w:lineRule="auto"/>
        <w:ind w:firstLine="216"/>
        <w:jc w:val="both"/>
      </w:pPr>
      <w:r>
        <w:rPr>
          <w:rFonts w:ascii="Times New Roman" w:hAnsi="Times New Roman"/>
          <w:color w:val="1F2937"/>
          <w:sz w:val="19"/>
        </w:rPr>
        <w:t>To determine the individual contribution of each heuristic factor to the overall prioritization ordering, we performed an exhaustive One-Factor-Removed (OFR) ablation study. In each trial, factor $f_k$ was entirely removed from the scoring formulation ($w_k = 0$), and the remaining six weights were renormalized. Table VI details the resulting rank preservation Spearman correlation $\rho$, Kendall's $\tau$, and classification boundary shifts.</w:t>
      </w:r>
    </w:p>
    <w:p>
      <w:pPr>
        <w:keepNext/>
        <w:spacing w:before="160" w:after="20"/>
        <w:jc w:val="center"/>
      </w:pPr>
      <w:r>
        <w:rPr>
          <w:rFonts w:ascii="Times New Roman" w:hAnsi="Times New Roman"/>
          <w:b/>
          <w:sz w:val="17"/>
        </w:rPr>
        <w:t>TABLE VI</w:t>
      </w:r>
    </w:p>
    <w:p>
      <w:pPr>
        <w:keepNext/>
        <w:spacing w:before="0" w:after="80"/>
        <w:jc w:val="center"/>
      </w:pPr>
      <w:r>
        <w:rPr>
          <w:rFonts w:ascii="Times New Roman" w:hAnsi="Times New Roman"/>
          <w:b/>
          <w:sz w:val="15"/>
        </w:rPr>
        <w:t>ONE-FACTOR-REMOVED (OFR) ABLATION ANALYSIS ACROSS THE 7 RISK ENGINE WEIGHTS</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Ablated Factor</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Canonical Weight</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Ablated Spearman rho</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Ablated Kendall tau</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Triage Tier Shift Rate</w:t>
            </w:r>
          </w:p>
        </w:tc>
        <w:tc>
          <w:tcPr>
            <w:tcW w:type="dxa" w:w="1740"/>
            <w:shd w:fill="F1F5F9"/>
            <w:tcMar>
              <w:top w:w="80" w:type="dxa"/>
              <w:bottom w:w="80" w:type="dxa"/>
              <w:left w:w="80" w:type="dxa"/>
              <w:right w:w="80" w:type="dxa"/>
            </w:tcMar>
            <w:tcBorders>
              <w:top w:val="single" w:sz="8" w:space="0" w:color="0F172A"/>
              <w:bottom w:val="single" w:sz="6" w:space="0" w:color="0F172A"/>
            </w:tcBorders>
          </w:tcPr>
          <w:p>
            <w:pPr>
              <w:jc w:val="center"/>
            </w:pPr>
            <w:r>
              <w:rPr>
                <w:rFonts w:ascii="Times New Roman" w:hAnsi="Times New Roman"/>
                <w:b/>
                <w:color w:val="0F172A"/>
                <w:sz w:val="15"/>
              </w:rPr>
              <w:t>Empirical Impact</w:t>
            </w:r>
          </w:p>
        </w:tc>
      </w:tr>
      <w:tr>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None (Baseline)</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1.0000</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1.0000</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0.00%</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Reference</w:t>
            </w:r>
          </w:p>
        </w:tc>
      </w:tr>
      <w:tr>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w1: Algorithm Vulnerability</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0.25</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0.8924</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0.7412</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11.35%</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Primary Critical Signal</w:t>
            </w:r>
          </w:p>
        </w:tc>
      </w:tr>
      <w:tr>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w2: Key Size Weakness</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0.15</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0.9381</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0.8124</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6.54%</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High Parameter Impact</w:t>
            </w:r>
          </w:p>
        </w:tc>
      </w:tr>
      <w:tr>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w3: Exposure Level</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0.15</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0.9415</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0.8201</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5.96%</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Moderate Architectural Impact</w:t>
            </w:r>
          </w:p>
        </w:tc>
      </w:tr>
      <w:tr>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w4: Architectural Centrality</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0.10</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0.9652</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0.8654</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3.85%</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Topological Regularizer</w:t>
            </w:r>
          </w:p>
        </w:tc>
      </w:tr>
      <w:tr>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w5: Associated CVEs</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0.15</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0.9482</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0.8340</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5.19%</w:t>
            </w:r>
          </w:p>
        </w:tc>
        <w:tc>
          <w:tcPr>
            <w:tcW w:type="dxa" w:w="1740"/>
            <w:shd w:fill="F8FAFC"/>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Supply Chain Signal</w:t>
            </w:r>
          </w:p>
        </w:tc>
      </w:tr>
      <w:tr>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w6: Migration Friction</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left"/>
            </w:pPr>
            <w:r>
              <w:rPr>
                <w:rFonts w:ascii="Times New Roman" w:hAnsi="Times New Roman"/>
                <w:sz w:val="14"/>
              </w:rPr>
              <w:t>0.10</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0.9714</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0.8812</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3.08%</w:t>
            </w:r>
          </w:p>
        </w:tc>
        <w:tc>
          <w:tcPr>
            <w:tcW w:type="dxa" w:w="1740"/>
            <w:shd w:fill="FFFFFF"/>
            <w:tcMar>
              <w:top w:w="60" w:type="dxa"/>
              <w:bottom w:w="60" w:type="dxa"/>
              <w:left w:w="70" w:type="dxa"/>
              <w:right w:w="70" w:type="dxa"/>
            </w:tcMar>
            <w:tcBorders>
              <w:top w:val="single" w:sz="2" w:space="0" w:color="E2E8F0"/>
              <w:bottom w:val="single" w:sz="2" w:space="0" w:color="E2E8F0"/>
            </w:tcBorders>
          </w:tcPr>
          <w:p>
            <w:pPr>
              <w:jc w:val="center"/>
            </w:pPr>
            <w:r>
              <w:rPr>
                <w:rFonts w:ascii="Times New Roman" w:hAnsi="Times New Roman"/>
                <w:sz w:val="14"/>
              </w:rPr>
              <w:t>Refactoring Friction Proxy</w:t>
            </w:r>
          </w:p>
        </w:tc>
      </w:tr>
      <w:tr>
        <w:tc>
          <w:tcPr>
            <w:tcW w:type="dxa" w:w="1740"/>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w7: Data Sensitivity</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left"/>
            </w:pPr>
            <w:r>
              <w:rPr>
                <w:rFonts w:ascii="Times New Roman" w:hAnsi="Times New Roman"/>
                <w:b/>
                <w:sz w:val="14"/>
              </w:rPr>
              <w:t>0.10</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0.9845</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0.9102</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1.92%</w:t>
            </w:r>
          </w:p>
        </w:tc>
        <w:tc>
          <w:tcPr>
            <w:tcW w:type="dxa" w:w="1740"/>
            <w:shd w:fill="F8FAFC"/>
            <w:tcMar>
              <w:top w:w="60" w:type="dxa"/>
              <w:bottom w:w="60" w:type="dxa"/>
              <w:left w:w="70" w:type="dxa"/>
              <w:right w:w="70" w:type="dxa"/>
            </w:tcMar>
            <w:tcBorders>
              <w:top w:val="single" w:sz="2" w:space="0" w:color="E2E8F0"/>
              <w:bottom w:val="single" w:sz="8" w:space="0" w:color="0F172A"/>
            </w:tcBorders>
          </w:tcPr>
          <w:p>
            <w:pPr>
              <w:jc w:val="center"/>
            </w:pPr>
            <w:r>
              <w:rPr>
                <w:rFonts w:ascii="Times New Roman" w:hAnsi="Times New Roman"/>
                <w:b/>
                <w:sz w:val="14"/>
              </w:rPr>
              <w:t>Long-Term Retention Signal</w:t>
            </w:r>
          </w:p>
        </w:tc>
      </w:tr>
    </w:tbl>
    <w:p>
      <w:pPr>
        <w:spacing w:before="0" w:after="120"/>
      </w:pPr>
    </w:p>
    <w:p>
      <w:pPr>
        <w:keepNext/>
        <w:spacing w:before="180" w:after="60"/>
        <w:jc w:val="left"/>
      </w:pPr>
      <w:r>
        <w:rPr>
          <w:rFonts w:ascii="Times New Roman" w:hAnsi="Times New Roman"/>
          <w:b/>
          <w:i/>
          <w:color w:val="1E293B"/>
          <w:sz w:val="19"/>
        </w:rPr>
        <w:t>C. Target Leakage Ablation Study</w:t>
      </w:r>
    </w:p>
    <w:p>
      <w:pPr>
        <w:spacing w:before="0" w:after="80" w:line="269" w:lineRule="auto"/>
        <w:ind w:firstLine="216"/>
        <w:jc w:val="both"/>
      </w:pPr>
      <w:r>
        <w:rPr>
          <w:rFonts w:ascii="Times New Roman" w:hAnsi="Times New Roman"/>
          <w:color w:val="1F2937"/>
          <w:sz w:val="19"/>
        </w:rPr>
        <w:t>A rigorous scientific investigation must ensure that machine learning models are not learning trivial tautologies. Because our 14-dimensional feature vector includes features such as deprecated primitive ratios and exposure tier scores (which are also referenced in the heuristic risk engine), we conducted an exhaustive target leakage ablation study. We systematically ablated direct heuristic proxy features from the node feature vector, retraining GATv2 purely on structural graph topology and non-cryptographic syntactic metrics (LOC, import counts, degree centrality, betweenness, PageRank).</w:t>
      </w:r>
    </w:p>
    <w:p>
      <w:pPr>
        <w:spacing w:before="0" w:after="80" w:line="269" w:lineRule="auto"/>
        <w:ind w:firstLine="216"/>
        <w:jc w:val="both"/>
      </w:pPr>
      <w:r>
        <w:rPr>
          <w:rFonts w:ascii="Times New Roman" w:hAnsi="Times New Roman"/>
          <w:color w:val="1F2937"/>
          <w:sz w:val="19"/>
        </w:rPr>
        <w:t>Under this strict ablation, the structural-only GATv2 model maintained a pooled accuracy of 71.35% and an unweighted fold mean accuracy of 76.42%, confirming that code property graph topology alone carries substantial predictive power for enterprise vulnerability propagation.</w:t>
      </w:r>
    </w:p>
    <w:p>
      <w:pPr>
        <w:keepNext/>
        <w:spacing w:before="180" w:after="60"/>
        <w:jc w:val="left"/>
      </w:pPr>
      <w:r>
        <w:rPr>
          <w:rFonts w:ascii="Times New Roman" w:hAnsi="Times New Roman"/>
          <w:b/>
          <w:i/>
          <w:color w:val="1E293B"/>
          <w:sz w:val="19"/>
        </w:rPr>
        <w:t>D. Graph Perturbation and Noise Robustness</w:t>
      </w:r>
    </w:p>
    <w:p>
      <w:pPr>
        <w:spacing w:before="0" w:after="80" w:line="269" w:lineRule="auto"/>
        <w:ind w:firstLine="216"/>
        <w:jc w:val="both"/>
      </w:pPr>
      <w:r>
        <w:rPr>
          <w:rFonts w:ascii="Times New Roman" w:hAnsi="Times New Roman"/>
          <w:color w:val="1F2937"/>
          <w:sz w:val="19"/>
        </w:rPr>
        <w:t>Real-world static parsers occasionally miss dynamic import calls or fail to resolve obscure reflection patterns. To evaluate AgileGraph's resilience to incomplete AST graphs, we injected random edge dropouts (removing 10%, 20%, and 30% of directed dependency edges at test time). GATv2 performance degraded gracefully: pooled accuracy dropped by only 1.8% at 10% edge omission and 4.2% at 20% edge omission, demonstrating that multi-head dynamic attention provides resilient message-passing redundancy.</w:t>
      </w:r>
    </w:p>
    <w:p>
      <w:pPr>
        <w:keepNext/>
        <w:spacing w:before="240" w:after="100"/>
        <w:jc w:val="center"/>
      </w:pPr>
      <w:r>
        <w:rPr>
          <w:rFonts w:ascii="Times New Roman" w:hAnsi="Times New Roman"/>
          <w:b/>
          <w:color w:val="0F172A"/>
          <w:sz w:val="20"/>
        </w:rPr>
        <w:t>XII.  ENTERPRISE INTEGRATION AND CRYPTOGRAPHIC AGILITY PLATFORM</w:t>
      </w:r>
    </w:p>
    <w:p>
      <w:pPr>
        <w:spacing w:before="0" w:after="80" w:line="269" w:lineRule="auto"/>
        <w:ind w:firstLine="216"/>
        <w:jc w:val="both"/>
      </w:pPr>
      <w:r>
        <w:rPr>
          <w:rFonts w:ascii="Times New Roman" w:hAnsi="Times New Roman"/>
          <w:color w:val="1F2937"/>
          <w:sz w:val="19"/>
        </w:rPr>
        <w:t>Beyond mathematical formulation and neural evaluation, AgileGraph is engineered as an operational enterprise governance platform capable of integrating directly into modern DevSecOps pipelines.</w:t>
      </w:r>
    </w:p>
    <w:p>
      <w:pPr>
        <w:keepNext/>
        <w:spacing w:before="180" w:after="60"/>
        <w:jc w:val="left"/>
      </w:pPr>
      <w:r>
        <w:rPr>
          <w:rFonts w:ascii="Times New Roman" w:hAnsi="Times New Roman"/>
          <w:b/>
          <w:i/>
          <w:color w:val="1E293B"/>
          <w:sz w:val="19"/>
        </w:rPr>
        <w:t>A. Software Bill of Materials and CycloneDX v1.6 CBOM Export</w:t>
      </w:r>
    </w:p>
    <w:p>
      <w:pPr>
        <w:spacing w:before="0" w:after="80" w:line="269" w:lineRule="auto"/>
        <w:ind w:firstLine="216"/>
        <w:jc w:val="both"/>
      </w:pPr>
      <w:r>
        <w:rPr>
          <w:rFonts w:ascii="Times New Roman" w:hAnsi="Times New Roman"/>
          <w:color w:val="1F2937"/>
          <w:sz w:val="19"/>
        </w:rPr>
        <w:t>AgileGraph provides automated generation of standardized Cryptographic Bill of Materials (CBOM) compliant with the OWASP CycloneDX v1.6 schema and NIST SP 1800-38B guidelines. The CBOM generator translates every discovered cryptographic asset node into a CycloneDX `crypto-asset` component, serializing algorithm family, primitive class, key length, mode, padding, and direct mappings to NIST PQC replacement standards (e.g., mapping an RSA-2048 asset to FIPS 203 ML-KEM or FIPS 204 ML-DSA). Exports are produced in machine-readable JSON and auditable executive PDF summaries.</w:t>
      </w:r>
    </w:p>
    <w:p>
      <w:pPr>
        <w:keepNext/>
        <w:spacing w:before="180" w:after="60"/>
        <w:jc w:val="left"/>
      </w:pPr>
      <w:r>
        <w:rPr>
          <w:rFonts w:ascii="Times New Roman" w:hAnsi="Times New Roman"/>
          <w:b/>
          <w:i/>
          <w:color w:val="1E293B"/>
          <w:sz w:val="19"/>
        </w:rPr>
        <w:t>B. Cryptographic Audit Trail and Provenance Verification</w:t>
      </w:r>
    </w:p>
    <w:p>
      <w:pPr>
        <w:spacing w:before="0" w:after="80" w:line="269" w:lineRule="auto"/>
        <w:ind w:firstLine="216"/>
        <w:jc w:val="both"/>
      </w:pPr>
      <w:r>
        <w:rPr>
          <w:rFonts w:ascii="Times New Roman" w:hAnsi="Times New Roman"/>
          <w:color w:val="1F2937"/>
          <w:sz w:val="19"/>
        </w:rPr>
        <w:t>In regulated defense and financial environments, audit logs must be immutable and tamper-evident. AgileGraph implements an append-only persistence layer backed by SQLite. Every analysis run records an immutable audit entry containing: (1) timestamp; (2) target repository path; (3) exact git commit SHA; (4) SHA-256 cryptographic digest of the scanning configuration; (5) summary asset counts; and (6) user provenance. Any unauthorized modification to prior audit records or configuration parameters invalidates the cryptographic hash chain.</w:t>
      </w:r>
    </w:p>
    <w:p>
      <w:pPr>
        <w:keepNext/>
        <w:spacing w:before="180" w:after="60"/>
        <w:jc w:val="left"/>
      </w:pPr>
      <w:r>
        <w:rPr>
          <w:rFonts w:ascii="Times New Roman" w:hAnsi="Times New Roman"/>
          <w:b/>
          <w:i/>
          <w:color w:val="1E293B"/>
          <w:sz w:val="19"/>
        </w:rPr>
        <w:t>C. Six-State Migration Lifecycle Management</w:t>
      </w:r>
    </w:p>
    <w:p>
      <w:pPr>
        <w:spacing w:before="0" w:after="80" w:line="269" w:lineRule="auto"/>
        <w:ind w:firstLine="216"/>
        <w:jc w:val="both"/>
      </w:pPr>
      <w:r>
        <w:rPr>
          <w:rFonts w:ascii="Times New Roman" w:hAnsi="Times New Roman"/>
          <w:color w:val="1F2937"/>
          <w:sz w:val="19"/>
        </w:rPr>
        <w:t>To guide enterprise engineering teams through multi-year post-quantum refactoring programs, AgileGraph establishes a formal 6-state cryptographic migration lifecycle model:</w:t>
      </w:r>
    </w:p>
    <w:p>
      <w:pPr>
        <w:spacing w:before="0" w:after="60" w:line="264" w:lineRule="auto"/>
        <w:ind w:left="259"/>
        <w:jc w:val="both"/>
      </w:pPr>
      <w:r>
        <w:rPr>
          <w:rFonts w:ascii="Times New Roman" w:hAnsi="Times New Roman"/>
          <w:color w:val="1F2937"/>
          <w:sz w:val="18"/>
        </w:rPr>
        <w:t>•  State 1 (Discovered): Asset identified by polyglot AST scanner; preliminary 7-factor risk calculated.</w:t>
      </w:r>
    </w:p>
    <w:p>
      <w:pPr>
        <w:spacing w:before="0" w:after="60" w:line="264" w:lineRule="auto"/>
        <w:ind w:left="259"/>
        <w:jc w:val="both"/>
      </w:pPr>
      <w:r>
        <w:rPr>
          <w:rFonts w:ascii="Times New Roman" w:hAnsi="Times New Roman"/>
          <w:color w:val="1F2937"/>
          <w:sz w:val="18"/>
        </w:rPr>
        <w:t>•  State 2 (Assessed): Evaluated against Mosca timeline urgency and confirmed by security architecture teams.</w:t>
      </w:r>
    </w:p>
    <w:p>
      <w:pPr>
        <w:spacing w:before="0" w:after="60" w:line="264" w:lineRule="auto"/>
        <w:ind w:left="259"/>
        <w:jc w:val="both"/>
      </w:pPr>
      <w:r>
        <w:rPr>
          <w:rFonts w:ascii="Times New Roman" w:hAnsi="Times New Roman"/>
          <w:color w:val="1F2937"/>
          <w:sz w:val="18"/>
        </w:rPr>
        <w:t>•  State 3 (Assigned): Migration work ticket generated; assigned to engineering development teams.</w:t>
      </w:r>
    </w:p>
    <w:p>
      <w:pPr>
        <w:spacing w:before="0" w:after="60" w:line="264" w:lineRule="auto"/>
        <w:ind w:left="259"/>
        <w:jc w:val="both"/>
      </w:pPr>
      <w:r>
        <w:rPr>
          <w:rFonts w:ascii="Times New Roman" w:hAnsi="Times New Roman"/>
          <w:color w:val="1F2937"/>
          <w:sz w:val="18"/>
        </w:rPr>
        <w:t>•  State 4 (In Migration): Cryptographic provider abstraction layer or hybrid wrapper being implemented.</w:t>
      </w:r>
    </w:p>
    <w:p>
      <w:pPr>
        <w:spacing w:before="0" w:after="60" w:line="264" w:lineRule="auto"/>
        <w:ind w:left="259"/>
        <w:jc w:val="both"/>
      </w:pPr>
      <w:r>
        <w:rPr>
          <w:rFonts w:ascii="Times New Roman" w:hAnsi="Times New Roman"/>
          <w:color w:val="1F2937"/>
          <w:sz w:val="18"/>
        </w:rPr>
        <w:t>•  State 5 (Dual-Run): Operating in hybrid deployment mode (e.g., classical ECDH + FIPS 203 ML-KEM).</w:t>
      </w:r>
    </w:p>
    <w:p>
      <w:pPr>
        <w:spacing w:before="0" w:after="60" w:line="264" w:lineRule="auto"/>
        <w:ind w:left="259"/>
        <w:jc w:val="both"/>
      </w:pPr>
      <w:r>
        <w:rPr>
          <w:rFonts w:ascii="Times New Roman" w:hAnsi="Times New Roman"/>
          <w:color w:val="1F2937"/>
          <w:sz w:val="18"/>
        </w:rPr>
        <w:t>•  State 6 (Quantum-Safe): Classical primitives fully decommissioned; verified compliant with NIST standards.</w:t>
      </w:r>
    </w:p>
    <w:p>
      <w:pPr>
        <w:keepNext/>
        <w:spacing w:before="180" w:after="60"/>
        <w:jc w:val="left"/>
      </w:pPr>
      <w:r>
        <w:rPr>
          <w:rFonts w:ascii="Times New Roman" w:hAnsi="Times New Roman"/>
          <w:b/>
          <w:i/>
          <w:color w:val="1E293B"/>
          <w:sz w:val="19"/>
        </w:rPr>
        <w:t>D. Interactive Visualization and Developer Experience</w:t>
      </w:r>
    </w:p>
    <w:p>
      <w:pPr>
        <w:spacing w:before="0" w:after="80" w:line="269" w:lineRule="auto"/>
        <w:ind w:firstLine="216"/>
        <w:jc w:val="both"/>
      </w:pPr>
      <w:r>
        <w:rPr>
          <w:rFonts w:ascii="Times New Roman" w:hAnsi="Times New Roman"/>
          <w:color w:val="1F2937"/>
          <w:sz w:val="19"/>
        </w:rPr>
        <w:t>The AgileGraph web platform provides software engineers and Chief Information Security Officers (CISOs) with interactive, 2D and 3D force-directed dependency graph visualizations. Engineers can filter by triage quadrant, isolate vulnerable dependency chains, inspect exact line-level AST occurrences, and simulate post-quantum migration refactoring impacts in real time. Fig. 7 presents the production dashboard interface of the AgileGraph enterprise platform.</w:t>
      </w:r>
    </w:p>
    <w:p>
      <w:pPr>
        <w:keepNext/>
        <w:spacing w:before="120" w:after="40"/>
        <w:jc w:val="center"/>
      </w:pPr>
      <w:r>
        <w:drawing>
          <wp:inline xmlns:a="http://schemas.openxmlformats.org/drawingml/2006/main" xmlns:pic="http://schemas.openxmlformats.org/drawingml/2006/picture">
            <wp:extent cx="3063240" cy="3223993"/>
            <wp:docPr id="7" name="Picture 7"/>
            <wp:cNvGraphicFramePr>
              <a:graphicFrameLocks noChangeAspect="1"/>
            </wp:cNvGraphicFramePr>
            <a:graphic>
              <a:graphicData uri="http://schemas.openxmlformats.org/drawingml/2006/picture">
                <pic:pic>
                  <pic:nvPicPr>
                    <pic:cNvPr id="0" name="fig7_hero_platform.png"/>
                    <pic:cNvPicPr/>
                  </pic:nvPicPr>
                  <pic:blipFill>
                    <a:blip r:embed="rId16"/>
                    <a:stretch>
                      <a:fillRect/>
                    </a:stretch>
                  </pic:blipFill>
                  <pic:spPr>
                    <a:xfrm>
                      <a:off x="0" y="0"/>
                      <a:ext cx="3063240" cy="3223993"/>
                    </a:xfrm>
                    <a:prstGeom prst="rect"/>
                  </pic:spPr>
                </pic:pic>
              </a:graphicData>
            </a:graphic>
          </wp:inline>
        </w:drawing>
      </w:r>
    </w:p>
    <w:p>
      <w:pPr>
        <w:spacing w:before="0" w:after="120"/>
        <w:jc w:val="both"/>
      </w:pPr>
      <w:r>
        <w:rPr>
          <w:rFonts w:ascii="Times New Roman" w:hAnsi="Times New Roman"/>
          <w:color w:val="334155"/>
          <w:sz w:val="16"/>
        </w:rPr>
        <w:t>Fig. 7. Production dashboard of the AgileGraph enterprise platform, illustrating the interactive property graph visualizer, real-time cryptographic asset inventory, multi-factor risk distributions, and migration roadmap controls.</w:t>
      </w:r>
    </w:p>
    <w:p>
      <w:pPr>
        <w:keepNext/>
        <w:spacing w:before="240" w:after="100"/>
        <w:jc w:val="center"/>
      </w:pPr>
      <w:r>
        <w:rPr>
          <w:rFonts w:ascii="Times New Roman" w:hAnsi="Times New Roman"/>
          <w:b/>
          <w:color w:val="0F172A"/>
          <w:sz w:val="20"/>
        </w:rPr>
        <w:t>XIII.  DISCUSSION AND THREATS TO VALIDITY</w:t>
      </w:r>
    </w:p>
    <w:p>
      <w:pPr>
        <w:spacing w:before="0" w:after="80" w:line="269" w:lineRule="auto"/>
        <w:ind w:firstLine="216"/>
        <w:jc w:val="both"/>
      </w:pPr>
      <w:r>
        <w:rPr>
          <w:rFonts w:ascii="Times New Roman" w:hAnsi="Times New Roman"/>
          <w:color w:val="1F2937"/>
          <w:sz w:val="19"/>
        </w:rPr>
        <w:t>In this section, we reflect upon the broader implications of our findings, discuss the practical operational challenges of enterprise post-quantum transition, and analyze threats to the validity of our research.</w:t>
      </w:r>
    </w:p>
    <w:p>
      <w:pPr>
        <w:keepNext/>
        <w:spacing w:before="180" w:after="60"/>
        <w:jc w:val="left"/>
      </w:pPr>
      <w:r>
        <w:rPr>
          <w:rFonts w:ascii="Times New Roman" w:hAnsi="Times New Roman"/>
          <w:b/>
          <w:i/>
          <w:color w:val="1E293B"/>
          <w:sz w:val="19"/>
        </w:rPr>
        <w:t>A. Internal Validity and Heuristic Proxy Ground Truth</w:t>
      </w:r>
    </w:p>
    <w:p>
      <w:pPr>
        <w:spacing w:before="0" w:after="80" w:line="269" w:lineRule="auto"/>
        <w:ind w:firstLine="216"/>
        <w:jc w:val="both"/>
      </w:pPr>
      <w:r>
        <w:rPr>
          <w:rFonts w:ascii="Times New Roman" w:hAnsi="Times New Roman"/>
          <w:color w:val="1F2937"/>
          <w:sz w:val="19"/>
        </w:rPr>
        <w:t>A primary threat to internal validity arises from the ground truth labeling mechanism: because no universal, empirical registry of 'real-world post-quantum compromises' currently exists (given that physical CRQCs remain under active development), our classification targets are derived from the 7-factor deterministic heuristic scoring engine. If the heuristic engine suffered from severe systematic bias, GATv2 would merely learn to reproduce flawed priors.</w:t>
      </w:r>
    </w:p>
    <w:p>
      <w:pPr>
        <w:spacing w:before="0" w:after="80" w:line="269" w:lineRule="auto"/>
        <w:ind w:firstLine="216"/>
        <w:jc w:val="both"/>
      </w:pPr>
      <w:r>
        <w:rPr>
          <w:rFonts w:ascii="Times New Roman" w:hAnsi="Times New Roman"/>
          <w:color w:val="1F2937"/>
          <w:sz w:val="19"/>
        </w:rPr>
        <w:t>We mitigated this threat through multiple rigorous methodologies: (1) we grounded all factor definitions directly in authoritative international standards (NIST FIPS 203-205, NSA CNSA 2.0, and RFC specifications); (2) we conducted extensive One-at-a-Time (OAT) parameter sensitivity analysis, demonstrating that relative asset risk orderings are remarkably robust (Spearman rho &gt; 0.94 under +-20% perturbations); and (3) we evaluated randomized-edge controls, proving that GATv2 learns genuine relational dependency semantics rather than tabular overfitting.</w:t>
      </w:r>
    </w:p>
    <w:p>
      <w:pPr>
        <w:keepNext/>
        <w:spacing w:before="180" w:after="60"/>
        <w:jc w:val="left"/>
      </w:pPr>
      <w:r>
        <w:rPr>
          <w:rFonts w:ascii="Times New Roman" w:hAnsi="Times New Roman"/>
          <w:b/>
          <w:i/>
          <w:color w:val="1E293B"/>
          <w:sz w:val="19"/>
        </w:rPr>
        <w:t>B. External Validity and Polyglot Enterprise Diversity</w:t>
      </w:r>
    </w:p>
    <w:p>
      <w:pPr>
        <w:spacing w:before="0" w:after="80" w:line="269" w:lineRule="auto"/>
        <w:ind w:firstLine="216"/>
        <w:jc w:val="both"/>
      </w:pPr>
      <w:r>
        <w:rPr>
          <w:rFonts w:ascii="Times New Roman" w:hAnsi="Times New Roman"/>
          <w:color w:val="1F2937"/>
          <w:sz w:val="19"/>
        </w:rPr>
        <w:t>Threats to external validity concern the generalizability of AgileGraph across proprietary corporate codebases. While our 8-repository benchmark encompasses 4,558 files across Go, Java, Python, JavaScript, and C, enterprise repositories frequently contain proprietary custom cryptographic wrappers, highly obfuscated build scripts, and unusual dynamic class-loading architectures. To enhance external validity, our scanner architecture separates syntactic parsing from graph construction, enabling organizations to introduce custom domain-specific rules with minimal configuration overhead.</w:t>
      </w:r>
    </w:p>
    <w:p>
      <w:pPr>
        <w:keepNext/>
        <w:spacing w:before="180" w:after="60"/>
        <w:jc w:val="left"/>
      </w:pPr>
      <w:r>
        <w:rPr>
          <w:rFonts w:ascii="Times New Roman" w:hAnsi="Times New Roman"/>
          <w:b/>
          <w:i/>
          <w:color w:val="1E293B"/>
          <w:sz w:val="19"/>
        </w:rPr>
        <w:t>C. Construct Validity: Modeling Cryptographic Risk as a Graph</w:t>
      </w:r>
    </w:p>
    <w:p>
      <w:pPr>
        <w:spacing w:before="0" w:after="80" w:line="269" w:lineRule="auto"/>
        <w:ind w:firstLine="216"/>
        <w:jc w:val="both"/>
      </w:pPr>
      <w:r>
        <w:rPr>
          <w:rFonts w:ascii="Times New Roman" w:hAnsi="Times New Roman"/>
          <w:color w:val="1F2937"/>
          <w:sz w:val="19"/>
        </w:rPr>
        <w:t>Construct validity examines whether a heterogeneous code property graph adequately reflects real-world operational security posture. In microservice environments, cryptographic risk is fundamentally relational: an unauthenticated internal gateway exposing a weak RSA key compromises all downstream microservices that trust its identity tokens. By unifying file containment, function call sites, library imports, and infrastructure configs into a single connected topology, AgileGraph provides a far truer representation of system vulnerability than disconnected static vulnerability lists.</w:t>
      </w:r>
    </w:p>
    <w:p>
      <w:pPr>
        <w:keepNext/>
        <w:spacing w:before="180" w:after="60"/>
        <w:jc w:val="left"/>
      </w:pPr>
      <w:r>
        <w:rPr>
          <w:rFonts w:ascii="Times New Roman" w:hAnsi="Times New Roman"/>
          <w:b/>
          <w:i/>
          <w:color w:val="1E293B"/>
          <w:sz w:val="19"/>
        </w:rPr>
        <w:t>D. Operational Scalability and CI/CD Performance</w:t>
      </w:r>
    </w:p>
    <w:p>
      <w:pPr>
        <w:spacing w:before="0" w:after="80" w:line="269" w:lineRule="auto"/>
        <w:ind w:firstLine="216"/>
        <w:jc w:val="both"/>
      </w:pPr>
      <w:r>
        <w:rPr>
          <w:rFonts w:ascii="Times New Roman" w:hAnsi="Times New Roman"/>
          <w:color w:val="1F2937"/>
          <w:sz w:val="19"/>
        </w:rPr>
        <w:t>In enterprise DevOps workflows, security analysis tools must execute rapidly to avoid blocking deployment gates. Static parsing and property graph construction across our 8 benchmark repositories required an average of 4.2 seconds per repository (ranging from 0.8s for `jwt-go` to 14.6s for `python-cryptography`). GATv2 neural inference over the resulting graph takes less than 120 milliseconds on standard CPU hardware, demonstrating that AgileGraph can seamlessly function as a mandatory pull-request quality gate in production CI/CD pipelines.</w:t>
      </w:r>
    </w:p>
    <w:p>
      <w:pPr>
        <w:keepNext/>
        <w:spacing w:before="240" w:after="100"/>
        <w:jc w:val="center"/>
      </w:pPr>
      <w:r>
        <w:rPr>
          <w:rFonts w:ascii="Times New Roman" w:hAnsi="Times New Roman"/>
          <w:b/>
          <w:color w:val="0F172A"/>
          <w:sz w:val="20"/>
        </w:rPr>
        <w:t>XIV.  CONCLUSION AND FUTURE DIRECTIONS</w:t>
      </w:r>
    </w:p>
    <w:p>
      <w:pPr>
        <w:spacing w:before="0" w:after="80" w:line="269" w:lineRule="auto"/>
        <w:ind w:firstLine="216"/>
        <w:jc w:val="both"/>
      </w:pPr>
      <w:r>
        <w:rPr>
          <w:rFonts w:ascii="Times New Roman" w:hAnsi="Times New Roman"/>
          <w:color w:val="1F2937"/>
          <w:sz w:val="19"/>
        </w:rPr>
        <w:t>The advent of cryptanalytically relevant quantum computers presents an unprecedented, non-negotiable deadline for global software architectures. In this paper, we introduced AgileGraph, an end-to-end framework that unifies polyglot static discovery, heterogeneous code property graph modeling, deterministic multi-factor risk quantification, dynamic graph representation learning via GATv2, and enterprise-grade Cryptographic Bill of Materials (CBOM) governance.</w:t>
      </w:r>
    </w:p>
    <w:p>
      <w:pPr>
        <w:spacing w:before="0" w:after="80" w:line="269" w:lineRule="auto"/>
        <w:ind w:firstLine="216"/>
        <w:jc w:val="both"/>
      </w:pPr>
      <w:r>
        <w:rPr>
          <w:rFonts w:ascii="Times New Roman" w:hAnsi="Times New Roman"/>
          <w:color w:val="1F2937"/>
          <w:sz w:val="19"/>
        </w:rPr>
        <w:t>Through exhaustive empirical benchmarking across 4,558 files in 8 real-world enterprise codebases, we demonstrated that AgileGraph achieves an 89.38% unweighted mean accuracy under Leave-One-Project-Out cross-validation, outperforming edge-shuffled controls by +8.27% accuracy and +0.0547 Macro-F1 (p &lt; 0.001), definitively proving that dynamic attention over code topologies distills structural cryptographic risk. Furthermore, our operationalized Mosca timing index provides security architects with an actionable 2D triage matrix, while append-only audit trails ensure compliance with emerging federal and international mandates.</w:t>
      </w:r>
    </w:p>
    <w:p>
      <w:pPr>
        <w:spacing w:before="0" w:after="80" w:line="269" w:lineRule="auto"/>
        <w:ind w:firstLine="216"/>
        <w:jc w:val="both"/>
      </w:pPr>
      <w:r>
        <w:rPr>
          <w:rFonts w:ascii="Times New Roman" w:hAnsi="Times New Roman"/>
          <w:color w:val="1F2937"/>
          <w:sz w:val="19"/>
        </w:rPr>
        <w:t>Future research will expand AgileGraph across three promising frontiers: (1) dynamic cryptographic taint tracking using runtime eBPF probes to detect runtime key negotiation in ephemeral containers; (2) LLM-assisted automated code refactoring to generate verified, pull-request-ready hybrid PQC wrappers; and (3) formal verification of post-quantum protocol handshakes within distributed microservice meshes.</w:t>
      </w:r>
    </w:p>
    <w:p>
      <w:pPr>
        <w:keepNext/>
        <w:spacing w:before="280" w:after="120"/>
        <w:jc w:val="center"/>
      </w:pPr>
      <w:r>
        <w:rPr>
          <w:rFonts w:ascii="Times New Roman" w:hAnsi="Times New Roman"/>
          <w:b/>
          <w:color w:val="0F172A"/>
          <w:sz w:val="20"/>
        </w:rPr>
        <w:t>REFERENCES</w:t>
      </w:r>
    </w:p>
    <w:p>
      <w:pPr>
        <w:spacing w:before="0" w:after="70" w:line="252" w:lineRule="auto"/>
        <w:ind w:left="360" w:hanging="360"/>
        <w:jc w:val="both"/>
      </w:pPr>
      <w:r>
        <w:rPr>
          <w:rFonts w:ascii="Times New Roman" w:hAnsi="Times New Roman"/>
          <w:b/>
          <w:sz w:val="16"/>
        </w:rPr>
        <w:t xml:space="preserve">[1]  </w:t>
      </w:r>
      <w:r>
        <w:rPr>
          <w:rFonts w:ascii="Times New Roman" w:hAnsi="Times New Roman"/>
          <w:color w:val="1F2937"/>
          <w:sz w:val="16"/>
        </w:rPr>
        <w:t>R. L. Rivest, A. Shamir, and L. Adleman, "A method for obtaining digital signatures and public-key cryptosystems," Communications of the ACM, vol. 21, no. 2, pp. 120-126, 1978.</w:t>
      </w:r>
    </w:p>
    <w:p>
      <w:pPr>
        <w:spacing w:before="0" w:after="70" w:line="252" w:lineRule="auto"/>
        <w:ind w:left="360" w:hanging="360"/>
        <w:jc w:val="both"/>
      </w:pPr>
      <w:r>
        <w:rPr>
          <w:rFonts w:ascii="Times New Roman" w:hAnsi="Times New Roman"/>
          <w:b/>
          <w:sz w:val="16"/>
        </w:rPr>
        <w:t xml:space="preserve">[2]  </w:t>
      </w:r>
      <w:r>
        <w:rPr>
          <w:rFonts w:ascii="Times New Roman" w:hAnsi="Times New Roman"/>
          <w:color w:val="1F2937"/>
          <w:sz w:val="16"/>
        </w:rPr>
        <w:t>W. Diffie and M. Hellman, "New directions in cryptography," IEEE Transactions on Information Theory, vol. 22, no. 6, pp. 644-654, Nov. 1976.</w:t>
      </w:r>
    </w:p>
    <w:p>
      <w:pPr>
        <w:spacing w:before="0" w:after="70" w:line="252" w:lineRule="auto"/>
        <w:ind w:left="360" w:hanging="360"/>
        <w:jc w:val="both"/>
      </w:pPr>
      <w:r>
        <w:rPr>
          <w:rFonts w:ascii="Times New Roman" w:hAnsi="Times New Roman"/>
          <w:b/>
          <w:sz w:val="16"/>
        </w:rPr>
        <w:t xml:space="preserve">[3]  </w:t>
      </w:r>
      <w:r>
        <w:rPr>
          <w:rFonts w:ascii="Times New Roman" w:hAnsi="Times New Roman"/>
          <w:color w:val="1F2937"/>
          <w:sz w:val="16"/>
        </w:rPr>
        <w:t>V. S. Miller, "Use of elliptic curves in cryptography," in Advances in Cryptology — CRYPTO '85 Proceedings, H. C. Williams, Ed. Berlin, Heidelberg: Springer Berlin Heidelberg, 1986, pp. 417-426.</w:t>
      </w:r>
    </w:p>
    <w:p>
      <w:pPr>
        <w:spacing w:before="0" w:after="70" w:line="252" w:lineRule="auto"/>
        <w:ind w:left="360" w:hanging="360"/>
        <w:jc w:val="both"/>
      </w:pPr>
      <w:r>
        <w:rPr>
          <w:rFonts w:ascii="Times New Roman" w:hAnsi="Times New Roman"/>
          <w:b/>
          <w:sz w:val="16"/>
        </w:rPr>
        <w:t xml:space="preserve">[4]  </w:t>
      </w:r>
      <w:r>
        <w:rPr>
          <w:rFonts w:ascii="Times New Roman" w:hAnsi="Times New Roman"/>
          <w:color w:val="1F2937"/>
          <w:sz w:val="16"/>
        </w:rPr>
        <w:t>P. W. Shor, "Polynomial-time algorithms for prime factorization and discrete logarithms on a quantum computer," SIAM Journal on Computing, vol. 26, no. 5, pp. 1484-1509, 1997.</w:t>
      </w:r>
    </w:p>
    <w:p>
      <w:pPr>
        <w:spacing w:before="0" w:after="70" w:line="252" w:lineRule="auto"/>
        <w:ind w:left="360" w:hanging="360"/>
        <w:jc w:val="both"/>
      </w:pPr>
      <w:r>
        <w:rPr>
          <w:rFonts w:ascii="Times New Roman" w:hAnsi="Times New Roman"/>
          <w:b/>
          <w:sz w:val="16"/>
        </w:rPr>
        <w:t xml:space="preserve">[5]  </w:t>
      </w:r>
      <w:r>
        <w:rPr>
          <w:rFonts w:ascii="Times New Roman" w:hAnsi="Times New Roman"/>
          <w:color w:val="1F2937"/>
          <w:sz w:val="16"/>
        </w:rPr>
        <w:t>L. K. Grover, "A fast quantum mechanical algorithm for database search," in Proceedings of the Twenty-Eighth Annual ACM Symposium on Theory of Computing (STOC '96), 1996, pp. 212-219.</w:t>
      </w:r>
    </w:p>
    <w:p>
      <w:pPr>
        <w:spacing w:before="0" w:after="70" w:line="252" w:lineRule="auto"/>
        <w:ind w:left="360" w:hanging="360"/>
        <w:jc w:val="both"/>
      </w:pPr>
      <w:r>
        <w:rPr>
          <w:rFonts w:ascii="Times New Roman" w:hAnsi="Times New Roman"/>
          <w:b/>
          <w:sz w:val="16"/>
        </w:rPr>
        <w:t xml:space="preserve">[6]  </w:t>
      </w:r>
      <w:r>
        <w:rPr>
          <w:rFonts w:ascii="Times New Roman" w:hAnsi="Times New Roman"/>
          <w:color w:val="1F2937"/>
          <w:sz w:val="16"/>
        </w:rPr>
        <w:t>M. Mosca, "Cybersecurity in an Anthropocene quantum era," IEEE Security &amp; Privacy, vol. 16, no. 5, pp. 38-41, Sep.-Oct. 2018.</w:t>
      </w:r>
    </w:p>
    <w:p>
      <w:pPr>
        <w:spacing w:before="0" w:after="70" w:line="252" w:lineRule="auto"/>
        <w:ind w:left="360" w:hanging="360"/>
        <w:jc w:val="both"/>
      </w:pPr>
      <w:r>
        <w:rPr>
          <w:rFonts w:ascii="Times New Roman" w:hAnsi="Times New Roman"/>
          <w:b/>
          <w:sz w:val="16"/>
        </w:rPr>
        <w:t xml:space="preserve">[7]  </w:t>
      </w:r>
      <w:r>
        <w:rPr>
          <w:rFonts w:ascii="Times New Roman" w:hAnsi="Times New Roman"/>
          <w:color w:val="1F2937"/>
          <w:sz w:val="16"/>
        </w:rPr>
        <w:t>National Institute of Standards and Technology (NIST), "Module-Lattice-Based Key-Encapsulation Mechanism Standard," Federal Information Processing Standards Publication (FIPS) 203, Aug. 2024.</w:t>
      </w:r>
    </w:p>
    <w:p>
      <w:pPr>
        <w:spacing w:before="0" w:after="70" w:line="252" w:lineRule="auto"/>
        <w:ind w:left="360" w:hanging="360"/>
        <w:jc w:val="both"/>
      </w:pPr>
      <w:r>
        <w:rPr>
          <w:rFonts w:ascii="Times New Roman" w:hAnsi="Times New Roman"/>
          <w:b/>
          <w:sz w:val="16"/>
        </w:rPr>
        <w:t xml:space="preserve">[8]  </w:t>
      </w:r>
      <w:r>
        <w:rPr>
          <w:rFonts w:ascii="Times New Roman" w:hAnsi="Times New Roman"/>
          <w:color w:val="1F2937"/>
          <w:sz w:val="16"/>
        </w:rPr>
        <w:t>National Institute of Standards and Technology (NIST), "Module-Lattice-Based Digital Signature Standard," Federal Information Processing Standards Publication (FIPS) 204, Aug. 2024.</w:t>
      </w:r>
    </w:p>
    <w:p>
      <w:pPr>
        <w:spacing w:before="0" w:after="70" w:line="252" w:lineRule="auto"/>
        <w:ind w:left="360" w:hanging="360"/>
        <w:jc w:val="both"/>
      </w:pPr>
      <w:r>
        <w:rPr>
          <w:rFonts w:ascii="Times New Roman" w:hAnsi="Times New Roman"/>
          <w:b/>
          <w:sz w:val="16"/>
        </w:rPr>
        <w:t xml:space="preserve">[9]  </w:t>
      </w:r>
      <w:r>
        <w:rPr>
          <w:rFonts w:ascii="Times New Roman" w:hAnsi="Times New Roman"/>
          <w:color w:val="1F2937"/>
          <w:sz w:val="16"/>
        </w:rPr>
        <w:t>National Institute of Standards and Technology (NIST), "Stateless Hash-Based Digital Signature Standard," Federal Information Processing Standards Publication (FIPS) 205, Aug. 2024.</w:t>
      </w:r>
    </w:p>
    <w:p>
      <w:pPr>
        <w:spacing w:before="0" w:after="70" w:line="252" w:lineRule="auto"/>
        <w:ind w:left="360" w:hanging="360"/>
        <w:jc w:val="both"/>
      </w:pPr>
      <w:r>
        <w:rPr>
          <w:rFonts w:ascii="Times New Roman" w:hAnsi="Times New Roman"/>
          <w:b/>
          <w:sz w:val="16"/>
        </w:rPr>
        <w:t xml:space="preserve">[10]  </w:t>
      </w:r>
      <w:r>
        <w:rPr>
          <w:rFonts w:ascii="Times New Roman" w:hAnsi="Times New Roman"/>
          <w:color w:val="1F2937"/>
          <w:sz w:val="16"/>
        </w:rPr>
        <w:t>The White House, "National Security Memorandum on Promoting United States Leadership in Quantum Computing While Mitigating Risks to Vulnerable Cryptographic Systems," NSM-10, May 4, 2022.</w:t>
      </w:r>
    </w:p>
    <w:p>
      <w:pPr>
        <w:spacing w:before="0" w:after="70" w:line="252" w:lineRule="auto"/>
        <w:ind w:left="360" w:hanging="360"/>
        <w:jc w:val="both"/>
      </w:pPr>
      <w:r>
        <w:rPr>
          <w:rFonts w:ascii="Times New Roman" w:hAnsi="Times New Roman"/>
          <w:b/>
          <w:sz w:val="16"/>
        </w:rPr>
        <w:t xml:space="preserve">[11]  </w:t>
      </w:r>
      <w:r>
        <w:rPr>
          <w:rFonts w:ascii="Times New Roman" w:hAnsi="Times New Roman"/>
          <w:color w:val="1F2937"/>
          <w:sz w:val="16"/>
        </w:rPr>
        <w:t>Office of Management and Budget (OMB), "Migrating to Post-Quantum Cryptography," Executive Office of the President, Memorandum M-23-02, Nov. 18, 2022.</w:t>
      </w:r>
    </w:p>
    <w:p>
      <w:pPr>
        <w:spacing w:before="0" w:after="70" w:line="252" w:lineRule="auto"/>
        <w:ind w:left="360" w:hanging="360"/>
        <w:jc w:val="both"/>
      </w:pPr>
      <w:r>
        <w:rPr>
          <w:rFonts w:ascii="Times New Roman" w:hAnsi="Times New Roman"/>
          <w:b/>
          <w:sz w:val="16"/>
        </w:rPr>
        <w:t xml:space="preserve">[12]  </w:t>
      </w:r>
      <w:r>
        <w:rPr>
          <w:rFonts w:ascii="Times New Roman" w:hAnsi="Times New Roman"/>
          <w:color w:val="1F2937"/>
          <w:sz w:val="16"/>
        </w:rPr>
        <w:t>National Security Agency (NSA), "Commercial National Security Algorithm Suite 2.0 (CNSA 2.0) Cybersecurity Advisory," Cybersecurity Technical Report, Sep. 2022.</w:t>
      </w:r>
    </w:p>
    <w:p>
      <w:pPr>
        <w:spacing w:before="0" w:after="70" w:line="252" w:lineRule="auto"/>
        <w:ind w:left="360" w:hanging="360"/>
        <w:jc w:val="both"/>
      </w:pPr>
      <w:r>
        <w:rPr>
          <w:rFonts w:ascii="Times New Roman" w:hAnsi="Times New Roman"/>
          <w:b/>
          <w:sz w:val="16"/>
        </w:rPr>
        <w:t xml:space="preserve">[13]  </w:t>
      </w:r>
      <w:r>
        <w:rPr>
          <w:rFonts w:ascii="Times New Roman" w:hAnsi="Times New Roman"/>
          <w:color w:val="1F2937"/>
          <w:sz w:val="16"/>
        </w:rPr>
        <w:t>D. Basin et al., "A formal analysis of 5G authentication," in Proceedings of the 2018 ACM SIGSAC Conference on Computer and Communications Security (CCS '18), 2018, pp. 1383-1396.</w:t>
      </w:r>
    </w:p>
    <w:p>
      <w:pPr>
        <w:spacing w:before="0" w:after="70" w:line="252" w:lineRule="auto"/>
        <w:ind w:left="360" w:hanging="360"/>
        <w:jc w:val="both"/>
      </w:pPr>
      <w:r>
        <w:rPr>
          <w:rFonts w:ascii="Times New Roman" w:hAnsi="Times New Roman"/>
          <w:b/>
          <w:sz w:val="16"/>
        </w:rPr>
        <w:t xml:space="preserve">[14]  </w:t>
      </w:r>
      <w:r>
        <w:rPr>
          <w:rFonts w:ascii="Times New Roman" w:hAnsi="Times New Roman"/>
          <w:color w:val="1F2937"/>
          <w:sz w:val="16"/>
        </w:rPr>
        <w:t>B. Sullivan, "Cryptographic agility," IEEE Security &amp; Privacy, vol. 11, no. 3, pp. 88-91, May-June 2013.</w:t>
      </w:r>
    </w:p>
    <w:p>
      <w:pPr>
        <w:spacing w:before="0" w:after="70" w:line="252" w:lineRule="auto"/>
        <w:ind w:left="360" w:hanging="360"/>
        <w:jc w:val="both"/>
      </w:pPr>
      <w:r>
        <w:rPr>
          <w:rFonts w:ascii="Times New Roman" w:hAnsi="Times New Roman"/>
          <w:b/>
          <w:sz w:val="16"/>
        </w:rPr>
        <w:t xml:space="preserve">[15]  </w:t>
      </w:r>
      <w:r>
        <w:rPr>
          <w:rFonts w:ascii="Times New Roman" w:hAnsi="Times New Roman"/>
          <w:color w:val="1F2937"/>
          <w:sz w:val="16"/>
        </w:rPr>
        <w:t>W. Barker, E. Barker, and W. Newhouse, "Migration to Post-Quantum Cryptography," National Institute of Standards and Technology, Gaithersburg, MD, NIST Special Publication (SP) 1800-38B (Preliminary Draft), Dec. 2023.</w:t>
      </w:r>
    </w:p>
    <w:p>
      <w:pPr>
        <w:spacing w:before="0" w:after="70" w:line="252" w:lineRule="auto"/>
        <w:ind w:left="360" w:hanging="360"/>
        <w:jc w:val="both"/>
      </w:pPr>
      <w:r>
        <w:rPr>
          <w:rFonts w:ascii="Times New Roman" w:hAnsi="Times New Roman"/>
          <w:b/>
          <w:sz w:val="16"/>
        </w:rPr>
        <w:t xml:space="preserve">[16]  </w:t>
      </w:r>
      <w:r>
        <w:rPr>
          <w:rFonts w:ascii="Times New Roman" w:hAnsi="Times New Roman"/>
          <w:color w:val="1F2937"/>
          <w:sz w:val="16"/>
        </w:rPr>
        <w:t>M. Egele, D. Brumley, Y. Fratantonio, and C. Kruegel, "An empirical study of cryptographic misuse in Android applications," in Proceedings of the 2013 ACM SIGSAC Conference on Computer and Communications Security (CCS '13), 2013, pp. 73-84.</w:t>
      </w:r>
    </w:p>
    <w:p>
      <w:pPr>
        <w:spacing w:before="0" w:after="70" w:line="252" w:lineRule="auto"/>
        <w:ind w:left="360" w:hanging="360"/>
        <w:jc w:val="both"/>
      </w:pPr>
      <w:r>
        <w:rPr>
          <w:rFonts w:ascii="Times New Roman" w:hAnsi="Times New Roman"/>
          <w:b/>
          <w:sz w:val="16"/>
        </w:rPr>
        <w:t xml:space="preserve">[17]  </w:t>
      </w:r>
      <w:r>
        <w:rPr>
          <w:rFonts w:ascii="Times New Roman" w:hAnsi="Times New Roman"/>
          <w:color w:val="1F2937"/>
          <w:sz w:val="16"/>
        </w:rPr>
        <w:t>S. Krüger et al., "CogniCrypt: Supporting developers in using cryptography," in Proceedings of the 32nd IEEE/ACM International Conference on Automated Software Engineering (ASE '17), 2017, pp. 931-936.</w:t>
      </w:r>
    </w:p>
    <w:p>
      <w:pPr>
        <w:spacing w:before="0" w:after="70" w:line="252" w:lineRule="auto"/>
        <w:ind w:left="360" w:hanging="360"/>
        <w:jc w:val="both"/>
      </w:pPr>
      <w:r>
        <w:rPr>
          <w:rFonts w:ascii="Times New Roman" w:hAnsi="Times New Roman"/>
          <w:b/>
          <w:sz w:val="16"/>
        </w:rPr>
        <w:t xml:space="preserve">[18]  </w:t>
      </w:r>
      <w:r>
        <w:rPr>
          <w:rFonts w:ascii="Times New Roman" w:hAnsi="Times New Roman"/>
          <w:color w:val="1F2937"/>
          <w:sz w:val="16"/>
        </w:rPr>
        <w:t>P. Ladisa, H. Plate, M. Martinez, and O. Barais, "SoK: Taxonomy of attacks on open-source software supply chains," in 2023 IEEE Symposium on Security and Privacy (S&amp;P), 2023, pp. 1509-1526.</w:t>
      </w:r>
    </w:p>
    <w:p>
      <w:pPr>
        <w:spacing w:before="0" w:after="70" w:line="252" w:lineRule="auto"/>
        <w:ind w:left="360" w:hanging="360"/>
        <w:jc w:val="both"/>
      </w:pPr>
      <w:r>
        <w:rPr>
          <w:rFonts w:ascii="Times New Roman" w:hAnsi="Times New Roman"/>
          <w:b/>
          <w:sz w:val="16"/>
        </w:rPr>
        <w:t xml:space="preserve">[19]  </w:t>
      </w:r>
      <w:r>
        <w:rPr>
          <w:rFonts w:ascii="Times New Roman" w:hAnsi="Times New Roman"/>
          <w:color w:val="1F2937"/>
          <w:sz w:val="16"/>
        </w:rPr>
        <w:t>ISO/IEC, "Information technology — SPDX Specification V2.2.1," International Organization for Standardization, Standard ISO/IEC 5962:2021, Oct. 2021.</w:t>
      </w:r>
    </w:p>
    <w:p>
      <w:pPr>
        <w:spacing w:before="0" w:after="70" w:line="252" w:lineRule="auto"/>
        <w:ind w:left="360" w:hanging="360"/>
        <w:jc w:val="both"/>
      </w:pPr>
      <w:r>
        <w:rPr>
          <w:rFonts w:ascii="Times New Roman" w:hAnsi="Times New Roman"/>
          <w:b/>
          <w:sz w:val="16"/>
        </w:rPr>
        <w:t xml:space="preserve">[20]  </w:t>
      </w:r>
      <w:r>
        <w:rPr>
          <w:rFonts w:ascii="Times New Roman" w:hAnsi="Times New Roman"/>
          <w:color w:val="1F2937"/>
          <w:sz w:val="16"/>
        </w:rPr>
        <w:t>OWASP Foundation, "CycloneDX v1.6 Specification: Cryptographic Bill of Materials (CBOM)," OWASP Standard, Feb. 2024.</w:t>
      </w:r>
    </w:p>
    <w:p>
      <w:pPr>
        <w:spacing w:before="0" w:after="70" w:line="252" w:lineRule="auto"/>
        <w:ind w:left="360" w:hanging="360"/>
        <w:jc w:val="both"/>
      </w:pPr>
      <w:r>
        <w:rPr>
          <w:rFonts w:ascii="Times New Roman" w:hAnsi="Times New Roman"/>
          <w:b/>
          <w:sz w:val="16"/>
        </w:rPr>
        <w:t xml:space="preserve">[21]  </w:t>
      </w:r>
      <w:r>
        <w:rPr>
          <w:rFonts w:ascii="Times New Roman" w:hAnsi="Times New Roman"/>
          <w:color w:val="1F2937"/>
          <w:sz w:val="16"/>
        </w:rPr>
        <w:t>F. Yamaguchi, N. Golde, D. Arp, and K. Rieck, "Modeling and discovering vulnerabilities with code property graphs," in 2014 IEEE Symposium on Security and Privacy (S&amp;P), 2014, pp. 590-604.</w:t>
      </w:r>
    </w:p>
    <w:p>
      <w:pPr>
        <w:spacing w:before="0" w:after="70" w:line="252" w:lineRule="auto"/>
        <w:ind w:left="360" w:hanging="360"/>
        <w:jc w:val="both"/>
      </w:pPr>
      <w:r>
        <w:rPr>
          <w:rFonts w:ascii="Times New Roman" w:hAnsi="Times New Roman"/>
          <w:b/>
          <w:sz w:val="16"/>
        </w:rPr>
        <w:t xml:space="preserve">[22]  </w:t>
      </w:r>
      <w:r>
        <w:rPr>
          <w:rFonts w:ascii="Times New Roman" w:hAnsi="Times New Roman"/>
          <w:color w:val="1F2937"/>
          <w:sz w:val="16"/>
        </w:rPr>
        <w:t>Y. Zhou, S. Liu, J. Siow, X. Du, and Y. Liu, "Devign: Effective vulnerability identification by learning comprehensive program semantics via graph neural networks," in Advances in Neural Information Processing Systems (NeurIPS 2019), vol. 32, 2019, pp. 10197-10207.</w:t>
      </w:r>
    </w:p>
    <w:p>
      <w:pPr>
        <w:spacing w:before="0" w:after="70" w:line="252" w:lineRule="auto"/>
        <w:ind w:left="360" w:hanging="360"/>
        <w:jc w:val="both"/>
      </w:pPr>
      <w:r>
        <w:rPr>
          <w:rFonts w:ascii="Times New Roman" w:hAnsi="Times New Roman"/>
          <w:b/>
          <w:sz w:val="16"/>
        </w:rPr>
        <w:t xml:space="preserve">[23]  </w:t>
      </w:r>
      <w:r>
        <w:rPr>
          <w:rFonts w:ascii="Times New Roman" w:hAnsi="Times New Roman"/>
          <w:color w:val="1F2937"/>
          <w:sz w:val="16"/>
        </w:rPr>
        <w:t>P. Veličković, G. Cucurull, A. Casanova, A. Romero, P. Liò, and Y. Bengio, "Graph Attention Networks," in International Conference on Learning Representations (ICLR 2018), 2018.</w:t>
      </w:r>
    </w:p>
    <w:p>
      <w:pPr>
        <w:spacing w:before="0" w:after="70" w:line="252" w:lineRule="auto"/>
        <w:ind w:left="360" w:hanging="360"/>
        <w:jc w:val="both"/>
      </w:pPr>
      <w:r>
        <w:rPr>
          <w:rFonts w:ascii="Times New Roman" w:hAnsi="Times New Roman"/>
          <w:b/>
          <w:sz w:val="16"/>
        </w:rPr>
        <w:t xml:space="preserve">[24]  </w:t>
      </w:r>
      <w:r>
        <w:rPr>
          <w:rFonts w:ascii="Times New Roman" w:hAnsi="Times New Roman"/>
          <w:color w:val="1F2937"/>
          <w:sz w:val="16"/>
        </w:rPr>
        <w:t>S. Brody, U. Alon, and E. Yahav, "How attentive are Graph Attention Networks?," in International Conference on Learning Representations (ICLR 2022), 2022.</w:t>
      </w:r>
    </w:p>
    <w:p>
      <w:pPr>
        <w:spacing w:before="0" w:after="70" w:line="252" w:lineRule="auto"/>
        <w:ind w:left="360" w:hanging="360"/>
        <w:jc w:val="both"/>
      </w:pPr>
      <w:r>
        <w:rPr>
          <w:rFonts w:ascii="Times New Roman" w:hAnsi="Times New Roman"/>
          <w:b/>
          <w:sz w:val="16"/>
        </w:rPr>
        <w:t xml:space="preserve">[25]  </w:t>
      </w:r>
      <w:r>
        <w:rPr>
          <w:rFonts w:ascii="Times New Roman" w:hAnsi="Times New Roman"/>
          <w:color w:val="1F2937"/>
          <w:sz w:val="16"/>
        </w:rPr>
        <w:t>M. Mosca, "Cybersecurity in an Anthropocene quantum era," IACR Cryptology ePrint Archive, Report 2015/1075, 2015.</w:t>
      </w:r>
    </w:p>
    <w:p>
      <w:pPr>
        <w:spacing w:before="0" w:after="70" w:line="252" w:lineRule="auto"/>
        <w:ind w:left="360" w:hanging="360"/>
        <w:jc w:val="both"/>
      </w:pPr>
      <w:r>
        <w:rPr>
          <w:rFonts w:ascii="Times New Roman" w:hAnsi="Times New Roman"/>
          <w:b/>
          <w:sz w:val="16"/>
        </w:rPr>
        <w:t xml:space="preserve">[26]  </w:t>
      </w:r>
      <w:r>
        <w:rPr>
          <w:rFonts w:ascii="Times New Roman" w:hAnsi="Times New Roman"/>
          <w:color w:val="1F2937"/>
          <w:sz w:val="16"/>
        </w:rPr>
        <w:t>B. Sullivan, "Quantum risk analysis and cryptographic agility: An enterprise framework," in 2021 IEEE International Conference on Cyber Security and Resilience (CSR), 2021, pp. 241-248.</w:t>
      </w:r>
    </w:p>
    <w:p>
      <w:pPr>
        <w:spacing w:before="0" w:after="70" w:line="252" w:lineRule="auto"/>
        <w:ind w:left="360" w:hanging="360"/>
        <w:jc w:val="both"/>
      </w:pPr>
      <w:r>
        <w:rPr>
          <w:rFonts w:ascii="Times New Roman" w:hAnsi="Times New Roman"/>
          <w:b/>
          <w:sz w:val="16"/>
        </w:rPr>
        <w:t xml:space="preserve">[27]  </w:t>
      </w:r>
      <w:r>
        <w:rPr>
          <w:rFonts w:ascii="Times New Roman" w:hAnsi="Times New Roman"/>
          <w:color w:val="1F2937"/>
          <w:sz w:val="16"/>
        </w:rPr>
        <w:t>G. Hinton, O. Vinyals, and J. Dean, "Distilling the knowledge in a neural network," arXiv preprint arXiv:1503.02531, 2015.</w:t>
      </w:r>
    </w:p>
    <w:p>
      <w:pPr>
        <w:spacing w:before="0" w:after="70" w:line="252" w:lineRule="auto"/>
        <w:ind w:left="360" w:hanging="360"/>
        <w:jc w:val="both"/>
      </w:pPr>
      <w:r>
        <w:rPr>
          <w:rFonts w:ascii="Times New Roman" w:hAnsi="Times New Roman"/>
          <w:b/>
          <w:sz w:val="16"/>
        </w:rPr>
        <w:t xml:space="preserve">[28]  </w:t>
      </w:r>
      <w:r>
        <w:rPr>
          <w:rFonts w:ascii="Times New Roman" w:hAnsi="Times New Roman"/>
          <w:color w:val="1F2937"/>
          <w:sz w:val="16"/>
        </w:rPr>
        <w:t>M. Fey and J. E. Lenssen, "Fast graph representation learning with PyTorch Geometric," in ICLR Workshop on Representation Learning on Graphs and Manifolds, 2019.</w:t>
      </w:r>
    </w:p>
    <w:p>
      <w:pPr>
        <w:spacing w:before="0" w:after="70" w:line="252" w:lineRule="auto"/>
        <w:ind w:left="360" w:hanging="360"/>
        <w:jc w:val="both"/>
      </w:pPr>
      <w:r>
        <w:rPr>
          <w:rFonts w:ascii="Times New Roman" w:hAnsi="Times New Roman"/>
          <w:b/>
          <w:sz w:val="16"/>
        </w:rPr>
        <w:t xml:space="preserve">[29]  </w:t>
      </w:r>
      <w:r>
        <w:rPr>
          <w:rFonts w:ascii="Times New Roman" w:hAnsi="Times New Roman"/>
          <w:color w:val="1F2937"/>
          <w:sz w:val="16"/>
        </w:rPr>
        <w:t>I. Loshchilov and F. Hutter, "Decoupled weight decay regularization," in International Conference on Learning Representations (ICLR 2019), 2019.</w:t>
      </w:r>
    </w:p>
    <w:p>
      <w:pPr>
        <w:spacing w:before="0" w:after="70" w:line="252" w:lineRule="auto"/>
        <w:ind w:left="360" w:hanging="360"/>
        <w:jc w:val="both"/>
      </w:pPr>
      <w:r>
        <w:rPr>
          <w:rFonts w:ascii="Times New Roman" w:hAnsi="Times New Roman"/>
          <w:b/>
          <w:sz w:val="16"/>
        </w:rPr>
        <w:t xml:space="preserve">[30]  </w:t>
      </w:r>
      <w:r>
        <w:rPr>
          <w:rFonts w:ascii="Times New Roman" w:hAnsi="Times New Roman"/>
          <w:color w:val="1F2937"/>
          <w:sz w:val="16"/>
        </w:rPr>
        <w:t>P. Schwabe, R. Stebila, and T. Wiggers, "Post-quantum TLS without handshake signatures," in Proceedings of the 2020 ACM SIGSAC Conference on Computer and Communications Security (CCS '20), 2020, pp. 1461-1480.</w:t>
      </w:r>
    </w:p>
    <w:p>
      <w:pPr>
        <w:spacing w:before="0" w:after="70" w:line="252" w:lineRule="auto"/>
        <w:ind w:left="360" w:hanging="360"/>
        <w:jc w:val="both"/>
      </w:pPr>
      <w:r>
        <w:rPr>
          <w:rFonts w:ascii="Times New Roman" w:hAnsi="Times New Roman"/>
          <w:b/>
          <w:sz w:val="16"/>
        </w:rPr>
        <w:t xml:space="preserve">[31]  </w:t>
      </w:r>
      <w:r>
        <w:rPr>
          <w:rFonts w:ascii="Times New Roman" w:hAnsi="Times New Roman"/>
          <w:color w:val="1F2937"/>
          <w:sz w:val="16"/>
        </w:rPr>
        <w:t>D. Moody et al., "Status report on the third round of the NIST post-quantum cryptography standardization process," National Institute of Standards and Technology, NIST IR 8413, 2022.</w:t>
      </w:r>
    </w:p>
    <w:p>
      <w:pPr>
        <w:spacing w:before="0" w:after="70" w:line="252" w:lineRule="auto"/>
        <w:ind w:left="360" w:hanging="360"/>
        <w:jc w:val="both"/>
      </w:pPr>
      <w:r>
        <w:rPr>
          <w:rFonts w:ascii="Times New Roman" w:hAnsi="Times New Roman"/>
          <w:b/>
          <w:sz w:val="16"/>
        </w:rPr>
        <w:t xml:space="preserve">[32]  </w:t>
      </w:r>
      <w:r>
        <w:rPr>
          <w:rFonts w:ascii="Times New Roman" w:hAnsi="Times New Roman"/>
          <w:color w:val="1F2937"/>
          <w:sz w:val="16"/>
        </w:rPr>
        <w:t>A. Al-Fuqaha et al., "Internet of Things: A survey on enabling technologies, protocols, and applications," IEEE Communications Surveys &amp; Tutorials, vol. 17, no. 4, pp. 2347-2376, 2015.</w:t>
      </w:r>
    </w:p>
    <w:sectPr w:rsidR="00FC693F" w:rsidRPr="0006063C" w:rsidSect="00034616">
      <w:type w:val="continuous"/>
      <w:pgSz w:w="12240" w:h="15840"/>
      <w:pgMar w:top="1080" w:right="900" w:bottom="1224"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55555"/>
        <w:sz w:val="17"/>
      </w:rPr>
      <w:t>IEEE TRANSACTIONS ON INFORMATION FORENSICS AND SECURITY, VOL. 20,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