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2"/>
        </w:rPr>
        <w:t>PROJECT SYNOPSIS</w:t>
        <w:br/>
        <w:t>“AGILEGRAPH”</w:t>
      </w:r>
    </w:p>
    <w:p>
      <w:pPr>
        <w:spacing w:after="360"/>
        <w:jc w:val="center"/>
      </w:pPr>
      <w:r>
        <w:rPr>
          <w:i/>
          <w:sz w:val="24"/>
        </w:rPr>
        <w:t>Graph-Learned Crypto-Agility Risk Scoring for Post-Quantum Migration</w:t>
        <w:br/>
        <w:t>(Heterogeneous GNN Risk Propagation and Explainable Migration Prioritization)</w:t>
      </w:r>
    </w:p>
    <w:p>
      <w:pPr>
        <w:spacing w:after="360"/>
        <w:jc w:val="left"/>
      </w:pPr>
      <w:r>
        <w:rPr>
          <w:b/>
        </w:rPr>
        <w:t>Students Names &amp; USN:</w:t>
        <w:br/>
      </w:r>
      <w:r>
        <w:t>1. Spoorthi — NNM23CB058</w:t>
        <w:br/>
      </w:r>
      <w:r>
        <w:t>2. Sindhoora R — NNM23CB057</w:t>
        <w:br/>
      </w:r>
      <w:r>
        <w:t>3. Nivedita V Shetty — NNM23CB033</w:t>
        <w:br/>
      </w:r>
      <w:r>
        <w:t>4. Sujan S — NNM23CB062</w:t>
        <w:br/>
        <w:br/>
      </w:r>
      <w:r>
        <w:rPr>
          <w:b/>
        </w:rPr>
        <w:t xml:space="preserve">Guide Name: </w:t>
      </w:r>
      <w:r>
        <w:t>Ms. Madhushree</w:t>
        <w:br/>
      </w:r>
      <w:r>
        <w:rPr>
          <w:b/>
        </w:rPr>
        <w:t xml:space="preserve">Department: </w:t>
      </w:r>
      <w:r>
        <w:t>Department of Computer Science and Engineering (Cyber Security)</w:t>
        <w:br/>
      </w:r>
      <w:r>
        <w:rPr>
          <w:b/>
        </w:rPr>
        <w:t xml:space="preserve">Institution: </w:t>
      </w:r>
      <w:r>
        <w:t>NMAM Institute of Technology (NMAMIT), Nitte (Deemed to be University), Karnataka</w:t>
        <w:br/>
      </w:r>
      <w:r>
        <w:rPr>
          <w:b/>
        </w:rPr>
        <w:t xml:space="preserve">Academic Year: </w:t>
      </w:r>
      <w:r>
        <w:t>2023 – 2027 (Final Year, B.Tech)</w:t>
      </w:r>
    </w:p>
    <w:p>
      <w:pPr>
        <w:spacing w:after="240"/>
      </w:pPr>
      <w:r>
        <w:t>—————————————————————————————————————————————</w:t>
      </w:r>
    </w:p>
    <w:p>
      <w:pPr>
        <w:keepNext/>
        <w:spacing w:before="280" w:after="120"/>
      </w:pPr>
      <w:r>
        <w:rPr>
          <w:b/>
          <w:sz w:val="28"/>
        </w:rPr>
        <w:t>1. Introduction</w:t>
      </w:r>
    </w:p>
    <w:p>
      <w:r>
        <w:t>The advent of Cryptanalytically Relevant Quantum Computers (CRQCs) presents an existential threat to modern asymmetric cryptography. Shor’s algorithm shows that a cryptanalytically relevant quantum computer operating in polynomial time can compromise public-key cryptosystems based on integer factorization (RSA) and discrete logarithms over finite fields and elliptic curves (DSA, ECDSA, ECDH). In response, the National Institute of Standards and Technology (NIST) finalized the primary post-quantum cryptographic standards in August 2024: FIPS 203 (ML-KEM), FIPS 204 (ML-DSA), and FIPS 205 (SLH-DSA).</w:t>
      </w:r>
    </w:p>
    <w:p>
      <w:r>
        <w:t>However, transitioning modern polyglot enterprise software architectures to quantum-resistant primitives is an arduous systems engineering challenge. Organizations face the critical threat of Harvest Now, Decrypt Later (HNDL) attacks, where adversarial entities intercept and store encrypted sensitive data today to decrypt once quantum machines emerge. Because modern software is deeply modular and dependent on third-party supply chains, cryptographic primitives are dispersed across application source code, containerized endpoints, external package manifests, digital certificates, and continuous integration pipelines.</w:t>
      </w:r>
    </w:p>
    <w:p>
      <w:r>
        <w:t>AgileGraph is proposed as an automated cryptographic discovery, typed property-graph modeling, and crypto-agility risk scoring system. Rather than treating codebases as flat lists of dependencies, AgileGraph structures polyglot source code (Python, Java, Go), dependency manifests, and infrastructure endpoints into a formal 6-node typed property graph. It evaluates migration urgency through Michele Mosca’s Theorem (U = (x+y)/z), computes deterministic 7-factor heuristic risk scores with missing-context handling, tracks asset remediation across a 6-state lifecycle roadmap, and investigates a Heterogeneous Graph Attention Network (GATv2) for topological risk propagation and representation distillation.</w:t>
      </w:r>
    </w:p>
    <w:p>
      <w:pPr>
        <w:keepNext/>
        <w:spacing w:before="280" w:after="120"/>
      </w:pPr>
      <w:r>
        <w:rPr>
          <w:b/>
          <w:sz w:val="28"/>
        </w:rPr>
        <w:t>2. Problem Statement</w:t>
      </w:r>
    </w:p>
    <w:p>
      <w:r>
        <w:t>Current software supply chain and cryptographic inventory approaches suffer from four fundamental limitations:</w:t>
        <w:br/>
        <w:t>1. Flat, Disconnected Inventories: Conventional Software Bill of Materials (SBOM) and Software Composition Analysis (SCA) tools treat software as flat dependency manifests, failing to capture architectural call paths, data flow exposure, or the structural centrality of cryptographic primitives.</w:t>
        <w:br/>
        <w:t>2. Ignorance of Post-Quantum Urgency: Standard vulnerability scanners evaluate severity based on historical Common Vulnerability Scoring System (CVSS) metrics rather than forward-looking quantum threat timelines and data confidentiality retention requirements (Mosca's Theorem).</w:t>
        <w:br/>
        <w:t>3. Rigid, Monolithic Scoring Without Context Handling: Existing rule engines fail when operational context (e.g., internet exposure or dynamic data classification) cannot be statically observed, either defaulting to zero risk (dangerous underestimation) or failing completely.</w:t>
        <w:br/>
        <w:t>4. Lack of Lifecycle Remediation Tracking: Security scanners report point-in-time vulnerability lists without supporting the multi-year, phased cryptographic agility migration lifecycle (from discovery through dual-mode hybrid testing to full algorithm decommissioning).</w:t>
      </w:r>
    </w:p>
    <w:p>
      <w:pPr>
        <w:keepNext/>
        <w:spacing w:before="280" w:after="120"/>
      </w:pPr>
      <w:r>
        <w:rPr>
          <w:b/>
          <w:sz w:val="28"/>
        </w:rPr>
        <w:t>3. Objectives</w:t>
      </w:r>
    </w:p>
    <w:p>
      <w:r>
        <w:t>The primary objectives of the proposed AgileGraph project are:</w:t>
        <w:br/>
        <w:t>1. Comprehensive 7-Scanner Discovery Suite: To build a deterministic static discovery engine comprising 7 specialized scanners across 3 programming languages (Python AST, Java JCA/JCE, Go) and 4 structural/environmental analyzers (Dependency Manifests with OSV CVE intelligence, X.509 Certificate &amp; Key parser, Network Endpoint scanner, and Sensitive Data/Secret scanner).</w:t>
        <w:br/>
        <w:t>2. Formal Typed Property Graph Modeling: To design and construct an in-memory 6-node typed property graph (File, CryptoUsage, Certificate, Endpoint, Library, SensitiveData) interconnected by 7 canonical directed relationships (CONTAINS, IMPORTS, DEPENDS_ON, CALLS, EXPOSES, PROTECTS, USES_CERT).</w:t>
        <w:br/>
        <w:t>3. Deterministic 7-Factor Heuristic Risk Engine: To implement a normalized composite risk formula evaluating algorithmic weakness, asset criticality, data sensitivity, internet exposure, migration difficulty, library centrality, and known CVE risks, featuring configurable missing-evidence policies (RENORMALIZE and CONSERVATIVE).</w:t>
        <w:br/>
        <w:t>4. Mosca Urgency &amp; 4-Tier Triage Matrix: To quantify post-quantum migration urgency (U = (x+y)/z) against quantum threat horizons and assign cryptographic assets into actionable triage bands (CRITICAL, HIGH, MEDIUM, LOW).</w:t>
        <w:br/>
        <w:t>5. Heterogeneous Graph Neural Network (GATv2) Representation Distillation: To evaluate a PyG Heterogeneous GATv2 model trained on weak labels derived from the deterministic heuristic risk engine to explore topological representation distillation across code property graphs under Leave-One-Project-Out (LOPO) cross-validation (evaluating representation learning rather than claiming independent prediction of unverified real-world cryptanalytic risk).</w:t>
        <w:br/>
        <w:t>6. 6-State Remediation Lifecycle &amp; Interactive Dashboard: To deliver an enterprise-grade React/TypeScript web dashboard and REST API backed by an append-only audit trail tracking assets across a 6-state migration roadmap (DISCOVERED -&gt; EVALUATED -&gt; IN_PLANNING -&gt; IN_MIGRATION -&gt; VALIDATED -&gt; DECOMMISSIONED).</w:t>
      </w:r>
    </w:p>
    <w:p>
      <w:pPr>
        <w:keepNext/>
        <w:spacing w:before="280" w:after="120"/>
      </w:pPr>
      <w:r>
        <w:rPr>
          <w:b/>
          <w:sz w:val="28"/>
        </w:rPr>
        <w:t>4. Literature Survey</w:t>
      </w:r>
    </w:p>
    <w:p>
      <w:pPr>
        <w:keepNext/>
        <w:spacing w:before="200" w:after="80"/>
      </w:pPr>
      <w:r>
        <w:rPr>
          <w:b/>
          <w:sz w:val="25"/>
        </w:rPr>
        <w:t>4.1 Existing System</w:t>
      </w:r>
    </w:p>
    <w:p>
      <w:r>
        <w:t>Existing enterprise crypto-inventory mechanisms typically rely on basic static analysis (SAST) linters (e.g., Bandit for Python, SpotBugs/FindSecBugs for Java) or commercial SCA tools (e.g., Snyk, Mend). These tools execute regex-based or token-based searches to flag deprecated algorithm names (such as MD5, SHA-1, or DES). Recently, cryptographic bill of materials (CBOM) standards (e.g., OWASP CycloneDX) have emerged to catalog cryptographic libraries declared in software build manifests.</w:t>
      </w:r>
    </w:p>
    <w:p>
      <w:pPr>
        <w:keepNext/>
        <w:spacing w:before="200" w:after="80"/>
      </w:pPr>
      <w:r>
        <w:rPr>
          <w:b/>
          <w:sz w:val="25"/>
        </w:rPr>
        <w:t>4.2 Limitations of Existing System</w:t>
      </w:r>
    </w:p>
    <w:p>
      <w:r>
        <w:t>Existing systems fail to model the relational architecture connecting code files to endpoints and libraries. A deprecated cipher buried in an offline test suite is given the same severity rating as the same cipher securing a public API endpoint. Furthermore, none of the current tools incorporate Michele Mosca's post-quantum urgency timeline, making it impossible for engineering teams to prioritize migration based on data retention requirements.</w:t>
      </w:r>
    </w:p>
    <w:p>
      <w:pPr>
        <w:keepNext/>
        <w:spacing w:before="200" w:after="80"/>
      </w:pPr>
      <w:r>
        <w:rPr>
          <w:b/>
          <w:sz w:val="25"/>
        </w:rPr>
        <w:t>4.3 Related Research Papers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576"/>
            <w:shd w:fill="1F2937"/>
            <w:tcMar>
              <w:top w:w="120" w:type="dxa"/>
              <w:bottom w:w="120" w:type="dxa"/>
              <w:left w:w="100" w:type="dxa"/>
              <w:right w:w="100" w:type="dxa"/>
            </w:tcMar>
          </w:tcPr>
          <w:p>
            <w:pPr>
              <w:jc w:val="center"/>
            </w:pPr>
            <w:r>
              <w:rPr>
                <w:b/>
                <w:color w:val="FFFFFF"/>
                <w:sz w:val="20"/>
              </w:rPr>
              <w:t>Sl.</w:t>
            </w:r>
          </w:p>
        </w:tc>
        <w:tc>
          <w:tcPr>
            <w:tcW w:type="dxa" w:w="2592"/>
            <w:shd w:fill="1F2937"/>
            <w:tcMar>
              <w:top w:w="120" w:type="dxa"/>
              <w:bottom w:w="120" w:type="dxa"/>
              <w:left w:w="100" w:type="dxa"/>
              <w:right w:w="100" w:type="dxa"/>
            </w:tcMar>
          </w:tcPr>
          <w:p>
            <w:pPr>
              <w:jc w:val="center"/>
            </w:pPr>
            <w:r>
              <w:rPr>
                <w:b/>
                <w:color w:val="FFFFFF"/>
                <w:sz w:val="20"/>
              </w:rPr>
              <w:t>Paper Title &amp; Venue</w:t>
            </w:r>
          </w:p>
        </w:tc>
        <w:tc>
          <w:tcPr>
            <w:tcW w:type="dxa" w:w="1728"/>
            <w:shd w:fill="1F2937"/>
            <w:tcMar>
              <w:top w:w="120" w:type="dxa"/>
              <w:bottom w:w="120" w:type="dxa"/>
              <w:left w:w="100" w:type="dxa"/>
              <w:right w:w="100" w:type="dxa"/>
            </w:tcMar>
          </w:tcPr>
          <w:p>
            <w:pPr>
              <w:jc w:val="center"/>
            </w:pPr>
            <w:r>
              <w:rPr>
                <w:b/>
                <w:color w:val="FFFFFF"/>
                <w:sz w:val="20"/>
              </w:rPr>
              <w:t>Authors &amp; Year</w:t>
            </w:r>
          </w:p>
        </w:tc>
        <w:tc>
          <w:tcPr>
            <w:tcW w:type="dxa" w:w="2160"/>
            <w:shd w:fill="1F2937"/>
            <w:tcMar>
              <w:top w:w="120" w:type="dxa"/>
              <w:bottom w:w="120" w:type="dxa"/>
              <w:left w:w="100" w:type="dxa"/>
              <w:right w:w="100" w:type="dxa"/>
            </w:tcMar>
          </w:tcPr>
          <w:p>
            <w:pPr>
              <w:jc w:val="center"/>
            </w:pPr>
            <w:r>
              <w:rPr>
                <w:b/>
                <w:color w:val="FFFFFF"/>
                <w:sz w:val="20"/>
              </w:rPr>
              <w:t>Key Contribution</w:t>
            </w:r>
          </w:p>
        </w:tc>
        <w:tc>
          <w:tcPr>
            <w:tcW w:type="dxa" w:w="2304"/>
            <w:shd w:fill="1F2937"/>
            <w:tcMar>
              <w:top w:w="120" w:type="dxa"/>
              <w:bottom w:w="120" w:type="dxa"/>
              <w:left w:w="100" w:type="dxa"/>
              <w:right w:w="100" w:type="dxa"/>
            </w:tcMar>
          </w:tcPr>
          <w:p>
            <w:pPr>
              <w:jc w:val="center"/>
            </w:pPr>
            <w:r>
              <w:rPr>
                <w:b/>
                <w:color w:val="FFFFFF"/>
                <w:sz w:val="20"/>
              </w:rPr>
              <w:t>Gap Addressed by AgileGraph</w:t>
            </w:r>
          </w:p>
        </w:tc>
      </w:tr>
      <w:tr>
        <w:tc>
          <w:tcPr>
            <w:tcW w:type="dxa" w:w="576"/>
            <w:shd w:fill="FFFFFF"/>
            <w:tcMar>
              <w:top w:w="80" w:type="dxa"/>
              <w:bottom w:w="80" w:type="dxa"/>
              <w:left w:w="90" w:type="dxa"/>
              <w:right w:w="90" w:type="dxa"/>
            </w:tcMar>
          </w:tcPr>
          <w:p>
            <w:pPr>
              <w:spacing w:line="276" w:lineRule="auto" w:after="40"/>
              <w:jc w:val="center"/>
            </w:pPr>
            <w:r>
              <w:rPr>
                <w:sz w:val="19"/>
              </w:rPr>
              <w:t>1</w:t>
            </w:r>
          </w:p>
        </w:tc>
        <w:tc>
          <w:tcPr>
            <w:tcW w:type="dxa" w:w="2592"/>
            <w:shd w:fill="FFFFFF"/>
            <w:tcMar>
              <w:top w:w="80" w:type="dxa"/>
              <w:bottom w:w="80" w:type="dxa"/>
              <w:left w:w="90" w:type="dxa"/>
              <w:right w:w="90" w:type="dxa"/>
            </w:tcMar>
          </w:tcPr>
          <w:p>
            <w:pPr>
              <w:spacing w:line="276" w:lineRule="auto" w:after="40"/>
              <w:jc w:val="left"/>
            </w:pPr>
            <w:r>
              <w:rPr>
                <w:sz w:val="19"/>
              </w:rPr>
              <w:t>Cybersecurity in an Era with Quantum Computers: Will We Be Ready? (IEEE Security &amp; Privacy)</w:t>
            </w:r>
          </w:p>
        </w:tc>
        <w:tc>
          <w:tcPr>
            <w:tcW w:type="dxa" w:w="1728"/>
            <w:shd w:fill="FFFFFF"/>
            <w:tcMar>
              <w:top w:w="80" w:type="dxa"/>
              <w:bottom w:w="80" w:type="dxa"/>
              <w:left w:w="90" w:type="dxa"/>
              <w:right w:w="90" w:type="dxa"/>
            </w:tcMar>
          </w:tcPr>
          <w:p>
            <w:pPr>
              <w:spacing w:line="276" w:lineRule="auto" w:after="40"/>
              <w:jc w:val="left"/>
            </w:pPr>
            <w:r>
              <w:rPr>
                <w:sz w:val="19"/>
              </w:rPr>
              <w:t>M. Mosca (2018)</w:t>
            </w:r>
          </w:p>
        </w:tc>
        <w:tc>
          <w:tcPr>
            <w:tcW w:type="dxa" w:w="2160"/>
            <w:shd w:fill="FFFFFF"/>
            <w:tcMar>
              <w:top w:w="80" w:type="dxa"/>
              <w:bottom w:w="80" w:type="dxa"/>
              <w:left w:w="90" w:type="dxa"/>
              <w:right w:w="90" w:type="dxa"/>
            </w:tcMar>
          </w:tcPr>
          <w:p>
            <w:pPr>
              <w:spacing w:line="276" w:lineRule="auto" w:after="40"/>
              <w:jc w:val="left"/>
            </w:pPr>
            <w:r>
              <w:rPr>
                <w:sz w:val="19"/>
              </w:rPr>
              <w:t>Formulated Mosca’s inequality (x+y &gt; z) defining quantum migration deadlines and shelf-life urgency.</w:t>
            </w:r>
          </w:p>
        </w:tc>
        <w:tc>
          <w:tcPr>
            <w:tcW w:type="dxa" w:w="2304"/>
            <w:shd w:fill="FFFFFF"/>
            <w:tcMar>
              <w:top w:w="80" w:type="dxa"/>
              <w:bottom w:w="80" w:type="dxa"/>
              <w:left w:w="90" w:type="dxa"/>
              <w:right w:w="90" w:type="dxa"/>
            </w:tcMar>
          </w:tcPr>
          <w:p>
            <w:pPr>
              <w:spacing w:line="276" w:lineRule="auto" w:after="40"/>
              <w:jc w:val="left"/>
            </w:pPr>
            <w:r>
              <w:rPr>
                <w:sz w:val="19"/>
              </w:rPr>
              <w:t>Lacks an automated static analysis engine to extract x, y, and code-level vulnerability parameters.</w:t>
            </w:r>
          </w:p>
        </w:tc>
      </w:tr>
      <w:tr>
        <w:tc>
          <w:tcPr>
            <w:tcW w:type="dxa" w:w="576"/>
            <w:shd w:fill="F9FAFB"/>
            <w:tcMar>
              <w:top w:w="80" w:type="dxa"/>
              <w:bottom w:w="80" w:type="dxa"/>
              <w:left w:w="90" w:type="dxa"/>
              <w:right w:w="90" w:type="dxa"/>
            </w:tcMar>
          </w:tcPr>
          <w:p>
            <w:pPr>
              <w:spacing w:line="276" w:lineRule="auto" w:after="40"/>
              <w:jc w:val="center"/>
            </w:pPr>
            <w:r>
              <w:rPr>
                <w:sz w:val="19"/>
              </w:rPr>
              <w:t>2</w:t>
            </w:r>
          </w:p>
        </w:tc>
        <w:tc>
          <w:tcPr>
            <w:tcW w:type="dxa" w:w="2592"/>
            <w:shd w:fill="F9FAFB"/>
            <w:tcMar>
              <w:top w:w="80" w:type="dxa"/>
              <w:bottom w:w="80" w:type="dxa"/>
              <w:left w:w="90" w:type="dxa"/>
              <w:right w:w="90" w:type="dxa"/>
            </w:tcMar>
          </w:tcPr>
          <w:p>
            <w:pPr>
              <w:spacing w:line="276" w:lineRule="auto" w:after="40"/>
              <w:jc w:val="left"/>
            </w:pPr>
            <w:r>
              <w:rPr>
                <w:sz w:val="19"/>
              </w:rPr>
              <w:t>Migration to Post-Quantum Cryptography: Cryptographic Discovery (NIST SP 1800-38B)</w:t>
            </w:r>
          </w:p>
        </w:tc>
        <w:tc>
          <w:tcPr>
            <w:tcW w:type="dxa" w:w="1728"/>
            <w:shd w:fill="F9FAFB"/>
            <w:tcMar>
              <w:top w:w="80" w:type="dxa"/>
              <w:bottom w:w="80" w:type="dxa"/>
              <w:left w:w="90" w:type="dxa"/>
              <w:right w:w="90" w:type="dxa"/>
            </w:tcMar>
          </w:tcPr>
          <w:p>
            <w:pPr>
              <w:spacing w:line="276" w:lineRule="auto" w:after="40"/>
              <w:jc w:val="left"/>
            </w:pPr>
            <w:r>
              <w:rPr>
                <w:sz w:val="19"/>
              </w:rPr>
              <w:t>NIST NCCoE (2023)</w:t>
            </w:r>
          </w:p>
        </w:tc>
        <w:tc>
          <w:tcPr>
            <w:tcW w:type="dxa" w:w="2160"/>
            <w:shd w:fill="F9FAFB"/>
            <w:tcMar>
              <w:top w:w="80" w:type="dxa"/>
              <w:bottom w:w="80" w:type="dxa"/>
              <w:left w:w="90" w:type="dxa"/>
              <w:right w:w="90" w:type="dxa"/>
            </w:tcMar>
          </w:tcPr>
          <w:p>
            <w:pPr>
              <w:spacing w:line="276" w:lineRule="auto" w:after="40"/>
              <w:jc w:val="left"/>
            </w:pPr>
            <w:r>
              <w:rPr>
                <w:sz w:val="19"/>
              </w:rPr>
              <w:t>Outlined architectural guidelines and discovery requirements for finding quantum-vulnerable cryptography.</w:t>
            </w:r>
          </w:p>
        </w:tc>
        <w:tc>
          <w:tcPr>
            <w:tcW w:type="dxa" w:w="2304"/>
            <w:shd w:fill="F9FAFB"/>
            <w:tcMar>
              <w:top w:w="80" w:type="dxa"/>
              <w:bottom w:w="80" w:type="dxa"/>
              <w:left w:w="90" w:type="dxa"/>
              <w:right w:w="90" w:type="dxa"/>
            </w:tcMar>
          </w:tcPr>
          <w:p>
            <w:pPr>
              <w:spacing w:line="276" w:lineRule="auto" w:after="40"/>
              <w:jc w:val="left"/>
            </w:pPr>
            <w:r>
              <w:rPr>
                <w:sz w:val="19"/>
              </w:rPr>
              <w:t>Defines organizational guidance without providing a formal typed property graph model or structural risk engine.</w:t>
            </w:r>
          </w:p>
        </w:tc>
      </w:tr>
      <w:tr>
        <w:tc>
          <w:tcPr>
            <w:tcW w:type="dxa" w:w="576"/>
            <w:shd w:fill="FFFFFF"/>
            <w:tcMar>
              <w:top w:w="80" w:type="dxa"/>
              <w:bottom w:w="80" w:type="dxa"/>
              <w:left w:w="90" w:type="dxa"/>
              <w:right w:w="90" w:type="dxa"/>
            </w:tcMar>
          </w:tcPr>
          <w:p>
            <w:pPr>
              <w:spacing w:line="276" w:lineRule="auto" w:after="40"/>
              <w:jc w:val="center"/>
            </w:pPr>
            <w:r>
              <w:rPr>
                <w:sz w:val="19"/>
              </w:rPr>
              <w:t>3</w:t>
            </w:r>
          </w:p>
        </w:tc>
        <w:tc>
          <w:tcPr>
            <w:tcW w:type="dxa" w:w="2592"/>
            <w:shd w:fill="FFFFFF"/>
            <w:tcMar>
              <w:top w:w="80" w:type="dxa"/>
              <w:bottom w:w="80" w:type="dxa"/>
              <w:left w:w="90" w:type="dxa"/>
              <w:right w:w="90" w:type="dxa"/>
            </w:tcMar>
          </w:tcPr>
          <w:p>
            <w:pPr>
              <w:spacing w:line="276" w:lineRule="auto" w:after="40"/>
              <w:jc w:val="left"/>
            </w:pPr>
            <w:r>
              <w:rPr>
                <w:sz w:val="19"/>
              </w:rPr>
              <w:t>An Empirical Study of Cryptographic Misuse in Software Applications (ACM CCS)</w:t>
            </w:r>
          </w:p>
        </w:tc>
        <w:tc>
          <w:tcPr>
            <w:tcW w:type="dxa" w:w="1728"/>
            <w:shd w:fill="FFFFFF"/>
            <w:tcMar>
              <w:top w:w="80" w:type="dxa"/>
              <w:bottom w:w="80" w:type="dxa"/>
              <w:left w:w="90" w:type="dxa"/>
              <w:right w:w="90" w:type="dxa"/>
            </w:tcMar>
          </w:tcPr>
          <w:p>
            <w:pPr>
              <w:spacing w:line="276" w:lineRule="auto" w:after="40"/>
              <w:jc w:val="left"/>
            </w:pPr>
            <w:r>
              <w:rPr>
                <w:sz w:val="19"/>
              </w:rPr>
              <w:t>M. Egele et al. (2013)</w:t>
            </w:r>
          </w:p>
        </w:tc>
        <w:tc>
          <w:tcPr>
            <w:tcW w:type="dxa" w:w="2160"/>
            <w:shd w:fill="FFFFFF"/>
            <w:tcMar>
              <w:top w:w="80" w:type="dxa"/>
              <w:bottom w:w="80" w:type="dxa"/>
              <w:left w:w="90" w:type="dxa"/>
              <w:right w:w="90" w:type="dxa"/>
            </w:tcMar>
          </w:tcPr>
          <w:p>
            <w:pPr>
              <w:spacing w:line="276" w:lineRule="auto" w:after="40"/>
              <w:jc w:val="left"/>
            </w:pPr>
            <w:r>
              <w:rPr>
                <w:sz w:val="19"/>
              </w:rPr>
              <w:t>Demonstrated automated static analysis rules for detecting cryptographic API misuse across software.</w:t>
            </w:r>
          </w:p>
        </w:tc>
        <w:tc>
          <w:tcPr>
            <w:tcW w:type="dxa" w:w="2304"/>
            <w:shd w:fill="FFFFFF"/>
            <w:tcMar>
              <w:top w:w="80" w:type="dxa"/>
              <w:bottom w:w="80" w:type="dxa"/>
              <w:left w:w="90" w:type="dxa"/>
              <w:right w:w="90" w:type="dxa"/>
            </w:tcMar>
          </w:tcPr>
          <w:p>
            <w:pPr>
              <w:spacing w:line="276" w:lineRule="auto" w:after="40"/>
              <w:jc w:val="left"/>
            </w:pPr>
            <w:r>
              <w:rPr>
                <w:sz w:val="19"/>
              </w:rPr>
              <w:t>Focuses on classical API misuses without evaluating post-quantum threat horizons or multi-layer property graph dependencies.</w:t>
            </w:r>
          </w:p>
        </w:tc>
      </w:tr>
      <w:tr>
        <w:tc>
          <w:tcPr>
            <w:tcW w:type="dxa" w:w="576"/>
            <w:shd w:fill="F9FAFB"/>
            <w:tcMar>
              <w:top w:w="80" w:type="dxa"/>
              <w:bottom w:w="80" w:type="dxa"/>
              <w:left w:w="90" w:type="dxa"/>
              <w:right w:w="90" w:type="dxa"/>
            </w:tcMar>
          </w:tcPr>
          <w:p>
            <w:pPr>
              <w:spacing w:line="276" w:lineRule="auto" w:after="40"/>
              <w:jc w:val="center"/>
            </w:pPr>
            <w:r>
              <w:rPr>
                <w:sz w:val="19"/>
              </w:rPr>
              <w:t>4</w:t>
            </w:r>
          </w:p>
        </w:tc>
        <w:tc>
          <w:tcPr>
            <w:tcW w:type="dxa" w:w="2592"/>
            <w:shd w:fill="F9FAFB"/>
            <w:tcMar>
              <w:top w:w="80" w:type="dxa"/>
              <w:bottom w:w="80" w:type="dxa"/>
              <w:left w:w="90" w:type="dxa"/>
              <w:right w:w="90" w:type="dxa"/>
            </w:tcMar>
          </w:tcPr>
          <w:p>
            <w:pPr>
              <w:spacing w:line="276" w:lineRule="auto" w:after="40"/>
              <w:jc w:val="left"/>
            </w:pPr>
            <w:r>
              <w:rPr>
                <w:sz w:val="19"/>
              </w:rPr>
              <w:t>How Attentive Are Graph Attention Networks? (ICLR)</w:t>
            </w:r>
          </w:p>
        </w:tc>
        <w:tc>
          <w:tcPr>
            <w:tcW w:type="dxa" w:w="1728"/>
            <w:shd w:fill="F9FAFB"/>
            <w:tcMar>
              <w:top w:w="80" w:type="dxa"/>
              <w:bottom w:w="80" w:type="dxa"/>
              <w:left w:w="90" w:type="dxa"/>
              <w:right w:w="90" w:type="dxa"/>
            </w:tcMar>
          </w:tcPr>
          <w:p>
            <w:pPr>
              <w:spacing w:line="276" w:lineRule="auto" w:after="40"/>
              <w:jc w:val="left"/>
            </w:pPr>
            <w:r>
              <w:rPr>
                <w:sz w:val="19"/>
              </w:rPr>
              <w:t>S. Brody et al. (2022)</w:t>
            </w:r>
          </w:p>
        </w:tc>
        <w:tc>
          <w:tcPr>
            <w:tcW w:type="dxa" w:w="2160"/>
            <w:shd w:fill="F9FAFB"/>
            <w:tcMar>
              <w:top w:w="80" w:type="dxa"/>
              <w:bottom w:w="80" w:type="dxa"/>
              <w:left w:w="90" w:type="dxa"/>
              <w:right w:w="90" w:type="dxa"/>
            </w:tcMar>
          </w:tcPr>
          <w:p>
            <w:pPr>
              <w:spacing w:line="276" w:lineRule="auto" w:after="40"/>
              <w:jc w:val="left"/>
            </w:pPr>
            <w:r>
              <w:rPr>
                <w:sz w:val="19"/>
              </w:rPr>
              <w:t>Proved dynamic attention limitations in standard GAT and introduced GATv2 with strictly dynamic attention.</w:t>
            </w:r>
          </w:p>
        </w:tc>
        <w:tc>
          <w:tcPr>
            <w:tcW w:type="dxa" w:w="2304"/>
            <w:shd w:fill="F9FAFB"/>
            <w:tcMar>
              <w:top w:w="80" w:type="dxa"/>
              <w:bottom w:w="80" w:type="dxa"/>
              <w:left w:w="90" w:type="dxa"/>
              <w:right w:w="90" w:type="dxa"/>
            </w:tcMar>
          </w:tcPr>
          <w:p>
            <w:pPr>
              <w:spacing w:line="276" w:lineRule="auto" w:after="40"/>
              <w:jc w:val="left"/>
            </w:pPr>
            <w:r>
              <w:rPr>
                <w:sz w:val="19"/>
              </w:rPr>
              <w:t>Evaluated only on citation and synthetic benchmark graphs, not on heterogeneous code security dependency graphs.</w:t>
            </w:r>
          </w:p>
        </w:tc>
      </w:tr>
      <w:tr>
        <w:tc>
          <w:tcPr>
            <w:tcW w:type="dxa" w:w="576"/>
            <w:shd w:fill="FFFFFF"/>
            <w:tcMar>
              <w:top w:w="80" w:type="dxa"/>
              <w:bottom w:w="80" w:type="dxa"/>
              <w:left w:w="90" w:type="dxa"/>
              <w:right w:w="90" w:type="dxa"/>
            </w:tcMar>
          </w:tcPr>
          <w:p>
            <w:pPr>
              <w:spacing w:line="276" w:lineRule="auto" w:after="40"/>
              <w:jc w:val="center"/>
            </w:pPr>
            <w:r>
              <w:rPr>
                <w:sz w:val="19"/>
              </w:rPr>
              <w:t>5</w:t>
            </w:r>
          </w:p>
        </w:tc>
        <w:tc>
          <w:tcPr>
            <w:tcW w:type="dxa" w:w="2592"/>
            <w:shd w:fill="FFFFFF"/>
            <w:tcMar>
              <w:top w:w="80" w:type="dxa"/>
              <w:bottom w:w="80" w:type="dxa"/>
              <w:left w:w="90" w:type="dxa"/>
              <w:right w:w="90" w:type="dxa"/>
            </w:tcMar>
          </w:tcPr>
          <w:p>
            <w:pPr>
              <w:spacing w:line="276" w:lineRule="auto" w:after="40"/>
              <w:jc w:val="left"/>
            </w:pPr>
            <w:r>
              <w:rPr>
                <w:sz w:val="19"/>
              </w:rPr>
              <w:t>CogniCrypt: Supporting Developers in using Cryptography (IEEE/ACM ASE)</w:t>
            </w:r>
          </w:p>
        </w:tc>
        <w:tc>
          <w:tcPr>
            <w:tcW w:type="dxa" w:w="1728"/>
            <w:shd w:fill="FFFFFF"/>
            <w:tcMar>
              <w:top w:w="80" w:type="dxa"/>
              <w:bottom w:w="80" w:type="dxa"/>
              <w:left w:w="90" w:type="dxa"/>
              <w:right w:w="90" w:type="dxa"/>
            </w:tcMar>
          </w:tcPr>
          <w:p>
            <w:pPr>
              <w:spacing w:line="276" w:lineRule="auto" w:after="40"/>
              <w:jc w:val="left"/>
            </w:pPr>
            <w:r>
              <w:rPr>
                <w:sz w:val="19"/>
              </w:rPr>
              <w:t>S. Krüger et al. (2017)</w:t>
            </w:r>
          </w:p>
        </w:tc>
        <w:tc>
          <w:tcPr>
            <w:tcW w:type="dxa" w:w="2160"/>
            <w:shd w:fill="FFFFFF"/>
            <w:tcMar>
              <w:top w:w="80" w:type="dxa"/>
              <w:bottom w:w="80" w:type="dxa"/>
              <w:left w:w="90" w:type="dxa"/>
              <w:right w:w="90" w:type="dxa"/>
            </w:tcMar>
          </w:tcPr>
          <w:p>
            <w:pPr>
              <w:spacing w:line="276" w:lineRule="auto" w:after="40"/>
              <w:jc w:val="left"/>
            </w:pPr>
            <w:r>
              <w:rPr>
                <w:sz w:val="19"/>
              </w:rPr>
              <w:t>Integrated continuous static analysis into developer workflows to detect cryptographic API misuse rules.</w:t>
            </w:r>
          </w:p>
        </w:tc>
        <w:tc>
          <w:tcPr>
            <w:tcW w:type="dxa" w:w="2304"/>
            <w:shd w:fill="FFFFFF"/>
            <w:tcMar>
              <w:top w:w="80" w:type="dxa"/>
              <w:bottom w:w="80" w:type="dxa"/>
              <w:left w:w="90" w:type="dxa"/>
              <w:right w:w="90" w:type="dxa"/>
            </w:tcMar>
          </w:tcPr>
          <w:p>
            <w:pPr>
              <w:spacing w:line="276" w:lineRule="auto" w:after="40"/>
              <w:jc w:val="left"/>
            </w:pPr>
            <w:r>
              <w:rPr>
                <w:sz w:val="19"/>
              </w:rPr>
              <w:t>Restricted to single-language (Java) rule checking without post-quantum urgency scoring or multi-layer dependency graph triage.</w:t>
            </w:r>
          </w:p>
        </w:tc>
      </w:tr>
    </w:tbl>
    <w:p>
      <w:pPr>
        <w:spacing w:after="120"/>
      </w:pPr>
    </w:p>
    <w:p>
      <w:pPr>
        <w:keepNext/>
        <w:spacing w:before="280" w:after="120"/>
      </w:pPr>
      <w:r>
        <w:rPr>
          <w:b/>
          <w:sz w:val="28"/>
        </w:rPr>
        <w:t>5. Proposed System</w:t>
      </w:r>
    </w:p>
    <w:p>
      <w:r>
        <w:t>The proposed AgileGraph architecture operates through six cohesive technical layers:</w:t>
        <w:br/>
        <w:t>1. Comprehensive 7-Scanner Discovery Suite: Executes 7 specialized static scanners mapping directly into the 6 property-graph node categories: (a) Python AST Scanner (hashlib, hmac, cryptography.hazmat, PyCryptodome), (b) Java Scanner (JCA/JCE Cipher, KeyPairGenerator, jjwt, java-jwt), (c) Go Scanner (crypto/*, golang-jwt), (d) Dependency Manifest Scanner (requirements.txt, pom.xml, go.mod with local OSV CVE cache), (e) Certificate &amp; Key Scanner (X.509 RFC 5280 parsing, inline PEM blocks, private keys), (f) Network Endpoint Scanner (service bindings, port configurations, route decorators), and (g) Sensitive Data Scanner (Shannon entropy calculation, secret tokens, private credentials).</w:t>
        <w:br/>
        <w:t>2. 6-Node Typed Property Graph: Models software architecture in NetworkX across File, CryptoUsage, Certificate, Endpoint, Library, and SensitiveData nodes interconnected by 7 canonical relations (CONTAINS, IMPORTS, DEPENDS_ON, CALLS, EXPOSES, PROTECTS, USES_CERT).</w:t>
        <w:br/>
        <w:t>3. Deterministic 7-Factor Risk Engine: Computes normalized risk scores based on algorithmic weakness (NIST PQC status), asset criticality, data sensitivity, internet exposure, migration difficulty, library centrality, and CVE severity, with robust missing-evidence handling (RENORMALIZE and CONSERVATIVE).</w:t>
        <w:br/>
        <w:t>4. Mosca Urgency &amp; Triage Matrix: Computes U = (x+y)/z to categorize assets into AT_RISK, URGENT, and SAFE, triaging vulnerabilities into CRITICAL, HIGH, MEDIUM, and LOW priority bands.</w:t>
        <w:br/>
        <w:t>5. Heterogeneous GATv2 Neural Network (Representation Distillation): Implements a PyG HeteroGATv2 model trained on weak labels derived from the deterministic heuristic risk engine to evaluate topological representation distillation under Leave-One-Project-Out cross-validation (empirically evaluating weak-label distillation across domain shift rather than claiming independent prediction of unverified real-world cryptanalytic outcomes).</w:t>
        <w:br/>
        <w:t>6. Presentation &amp; Lifecycle: An interactive React 19/TypeScript web dashboard featuring 2D force-directed graph rendering, a migration roadmap view tracking assets across 6 remediation states, and verifiable audit report exports carrying Git commit SHA and heuristic configuration SHA-256 verification hashes.</w:t>
      </w:r>
    </w:p>
    <w:p>
      <w:pPr>
        <w:keepNext/>
        <w:spacing w:before="280" w:after="120"/>
      </w:pPr>
      <w:r>
        <w:rPr>
          <w:b/>
          <w:sz w:val="28"/>
        </w:rPr>
        <w:t>6. System Requirements</w:t>
      </w:r>
    </w:p>
    <w:p>
      <w:pPr>
        <w:keepNext/>
        <w:spacing w:before="200" w:after="80"/>
      </w:pPr>
      <w:r>
        <w:rPr>
          <w:b/>
          <w:sz w:val="25"/>
        </w:rPr>
        <w:t>6.1 Software Requirements</w:t>
      </w:r>
    </w:p>
    <w:p>
      <w:r>
        <w:t>• Operating System: Ubuntu Linux 22.04 LTS / Windows 11 / macOS Sonoma</w:t>
        <w:br/>
        <w:t>• Programming Languages: Python 3.10+ (Backend &amp; GNN), TypeScript 5.0+ (Frontend)</w:t>
        <w:br/>
        <w:t>• Frameworks: FastAPI, Uvicorn, Pydantic v2, React 19, Vite, TailwindCSS v4</w:t>
        <w:br/>
        <w:t>• Libraries: NetworkX 3.2+, PyTorch 2.4+, PyTorch Geometric (PyG) 2.6+, Scikit-Learn, SciPy</w:t>
        <w:br/>
        <w:t>• Database: SQLite (relational storage for session security and append-only lifecycle audit trail)</w:t>
        <w:br/>
        <w:t>• Security: bcrypt (12 rounds) + PyJWT (HS256) bearer authentication</w:t>
        <w:br/>
        <w:t>• Packaging: Dockerfile (containerized CLI runner)</w:t>
      </w:r>
    </w:p>
    <w:p>
      <w:pPr>
        <w:keepNext/>
        <w:spacing w:before="200" w:after="80"/>
      </w:pPr>
      <w:r>
        <w:rPr>
          <w:b/>
          <w:sz w:val="25"/>
        </w:rPr>
        <w:t>6.2 Hardware Requirements</w:t>
      </w:r>
    </w:p>
    <w:p>
      <w:r>
        <w:t>• Processor: Quad-Core Intel Core i5 / AMD Ryzen 5 or higher (Apple Silicon supported)</w:t>
        <w:br/>
        <w:t>• RAM: 8 GB minimum (16 GB recommended for GATv2 model training)</w:t>
        <w:br/>
        <w:t>• Storage: 10 GB available SSD space</w:t>
      </w:r>
    </w:p>
    <w:p>
      <w:pPr>
        <w:keepNext/>
        <w:spacing w:before="280" w:after="120"/>
      </w:pPr>
      <w:r>
        <w:rPr>
          <w:b/>
          <w:sz w:val="28"/>
        </w:rPr>
        <w:t>7. Expected Outcomes</w:t>
      </w:r>
    </w:p>
    <w:p>
      <w:r>
        <w:t>1. Automated Polyglot 7-Scanner Suite: A deterministic CLI and FastAPI REST service executing 7 specialized scanners across Python, Java, Go, package manifests, certificates, endpoints, and secrets.</w:t>
        <w:br/>
        <w:t>2. Interactive Web Dashboard: A full-stack application featuring 2D force-directed graph visualization, inventory ledgers, and Mosca calculators.</w:t>
        <w:br/>
        <w:t>3. Migration Roadmap Lifecycle Workflow: Lifecycle tracking enabling engineering teams to transition assets from DISCOVERED to DECOMMISSIONED with an append-only SQLite audit log.</w:t>
        <w:br/>
        <w:t>4. Reproducible LOPO Benchmark Study: Empirical cross-validation across 8 benchmark repositories (520 files) documenting representation distillation.</w:t>
        <w:br/>
        <w:t>5. Verifiable Audit Exporters: Export of compliance documentation in JSON and Markdown formats carrying Git commit SHA and heuristic configuration SHA-256 verification hashes.</w:t>
      </w:r>
    </w:p>
    <w:p>
      <w:pPr>
        <w:keepNext/>
        <w:spacing w:before="280" w:after="120"/>
      </w:pPr>
      <w:r>
        <w:rPr>
          <w:b/>
          <w:sz w:val="28"/>
        </w:rPr>
        <w:t>8. Applications</w:t>
      </w:r>
    </w:p>
    <w:p>
      <w:r>
        <w:t>• Enterprise Post-Quantum Migration: Enables CISOs and security architects to identify and prioritize high-risk cryptographic dependencies before quantum hardware scales.</w:t>
        <w:br/>
        <w:t>• DevSecOps &amp; CI/CD Gating: Integrates into continuous deployment pipelines to prevent developers from introducing non-agile, quantum-vulnerable cryptographic algorithms into production.</w:t>
        <w:br/>
        <w:t>• Cybersecurity Compliance Auditing: Automatically generates verifiable cryptographic compliance documentation aligned with NIST FIPS 203/204/205, BSI post-quantum roadmaps, and NSA CNSA 2.0 timelines.</w:t>
        <w:br/>
        <w:t>• Software Supply Chain Risk Management: Evaluates open-source libraries and proprietary vendor packages to assess transitive cryptographic exposure and structural library centrality.</w:t>
      </w:r>
    </w:p>
    <w:p>
      <w:pPr>
        <w:keepNext/>
        <w:spacing w:before="280" w:after="120"/>
      </w:pPr>
      <w:r>
        <w:rPr>
          <w:b/>
          <w:sz w:val="28"/>
        </w:rPr>
        <w:t>9. Future Scope</w:t>
      </w:r>
    </w:p>
    <w:p>
      <w:r>
        <w:t>• Automated Code Patching via LLMs: Integrating fine-tuned Large Language Models to automatically generate code pull requests that refactor deprecated cryptographic calls into quantum-safe primitives.</w:t>
        <w:br/>
        <w:t>• Runtime Passive eBPF Agent: Expanding discovery from static code analysis to kernel-level eBPF probes that monitor live TLS handshakes, dynamic certificate rotations, and active socket connections in production Kubernetes clusters.</w:t>
        <w:br/>
        <w:t>• Distributed Graph Database Migration: Upgrading the in-memory NetworkX storage to distributed graph databases (such as Neo4j or Memgraph) to support enterprise code repositories exceeding millions of source files.</w:t>
      </w:r>
    </w:p>
    <w:p>
      <w:pPr>
        <w:keepNext/>
        <w:spacing w:before="280" w:after="120"/>
      </w:pPr>
      <w:r>
        <w:rPr>
          <w:b/>
          <w:sz w:val="28"/>
        </w:rPr>
        <w:t>10. Project Timeline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1F2937"/>
            <w:tcMar>
              <w:top w:w="100" w:type="dxa"/>
              <w:bottom w:w="100" w:type="dxa"/>
              <w:left w:w="90" w:type="dxa"/>
              <w:right w:w="90" w:type="dxa"/>
            </w:tcMar>
          </w:tcPr>
          <w:p>
            <w:pPr>
              <w:jc w:val="center"/>
            </w:pPr>
            <w:r>
              <w:rPr>
                <w:b/>
                <w:color w:val="FFFFFF"/>
                <w:sz w:val="20"/>
              </w:rPr>
              <w:t>Phase</w:t>
            </w:r>
          </w:p>
        </w:tc>
        <w:tc>
          <w:tcPr>
            <w:tcW w:type="dxa" w:w="4032"/>
            <w:shd w:fill="1F2937"/>
            <w:tcMar>
              <w:top w:w="100" w:type="dxa"/>
              <w:bottom w:w="100" w:type="dxa"/>
              <w:left w:w="90" w:type="dxa"/>
              <w:right w:w="90" w:type="dxa"/>
            </w:tcMar>
          </w:tcPr>
          <w:p>
            <w:pPr>
              <w:jc w:val="center"/>
            </w:pPr>
            <w:r>
              <w:rPr>
                <w:b/>
                <w:color w:val="FFFFFF"/>
                <w:sz w:val="20"/>
              </w:rPr>
              <w:t>Milestone / Activity Description</w:t>
            </w:r>
          </w:p>
        </w:tc>
        <w:tc>
          <w:tcPr>
            <w:tcW w:type="dxa" w:w="1440"/>
            <w:shd w:fill="1F2937"/>
            <w:tcMar>
              <w:top w:w="100" w:type="dxa"/>
              <w:bottom w:w="100" w:type="dxa"/>
              <w:left w:w="90" w:type="dxa"/>
              <w:right w:w="90" w:type="dxa"/>
            </w:tcMar>
          </w:tcPr>
          <w:p>
            <w:pPr>
              <w:jc w:val="center"/>
            </w:pPr>
            <w:r>
              <w:rPr>
                <w:b/>
                <w:color w:val="FFFFFF"/>
                <w:sz w:val="20"/>
              </w:rPr>
              <w:t>Duration</w:t>
            </w:r>
          </w:p>
        </w:tc>
        <w:tc>
          <w:tcPr>
            <w:tcW w:type="dxa" w:w="2448"/>
            <w:shd w:fill="1F2937"/>
            <w:tcMar>
              <w:top w:w="100" w:type="dxa"/>
              <w:bottom w:w="100" w:type="dxa"/>
              <w:left w:w="90" w:type="dxa"/>
              <w:right w:w="90" w:type="dxa"/>
            </w:tcMar>
          </w:tcPr>
          <w:p>
            <w:pPr>
              <w:jc w:val="center"/>
            </w:pPr>
            <w:r>
              <w:rPr>
                <w:b/>
                <w:color w:val="FFFFFF"/>
                <w:sz w:val="20"/>
              </w:rPr>
              <w:t>Target Deliverable</w:t>
            </w:r>
          </w:p>
        </w:tc>
      </w:tr>
      <w:tr>
        <w:tc>
          <w:tcPr>
            <w:tcW w:type="dxa" w:w="1440"/>
            <w:shd w:fill="FFFFFF"/>
            <w:tcMar>
              <w:top w:w="80" w:type="dxa"/>
              <w:bottom w:w="80" w:type="dxa"/>
              <w:left w:w="90" w:type="dxa"/>
              <w:right w:w="90" w:type="dxa"/>
            </w:tcMar>
          </w:tcPr>
          <w:p>
            <w:pPr>
              <w:spacing w:line="276" w:lineRule="auto" w:after="40"/>
              <w:jc w:val="center"/>
            </w:pPr>
            <w:r>
              <w:rPr>
                <w:sz w:val="19"/>
              </w:rPr>
              <w:t>Phase 1</w:t>
            </w:r>
          </w:p>
        </w:tc>
        <w:tc>
          <w:tcPr>
            <w:tcW w:type="dxa" w:w="4032"/>
            <w:shd w:fill="FFFFFF"/>
            <w:tcMar>
              <w:top w:w="80" w:type="dxa"/>
              <w:bottom w:w="80" w:type="dxa"/>
              <w:left w:w="90" w:type="dxa"/>
              <w:right w:w="90" w:type="dxa"/>
            </w:tcMar>
          </w:tcPr>
          <w:p>
            <w:pPr>
              <w:spacing w:line="276" w:lineRule="auto" w:after="40"/>
              <w:jc w:val="left"/>
            </w:pPr>
            <w:r>
              <w:rPr>
                <w:sz w:val="19"/>
              </w:rPr>
              <w:t>Requirement analysis, NIST PQC review, AST scanner development for Python, Java, Go.</w:t>
            </w:r>
          </w:p>
        </w:tc>
        <w:tc>
          <w:tcPr>
            <w:tcW w:type="dxa" w:w="1440"/>
            <w:shd w:fill="FFFFFF"/>
            <w:tcMar>
              <w:top w:w="80" w:type="dxa"/>
              <w:bottom w:w="80" w:type="dxa"/>
              <w:left w:w="90" w:type="dxa"/>
              <w:right w:w="90" w:type="dxa"/>
            </w:tcMar>
          </w:tcPr>
          <w:p>
            <w:pPr>
              <w:spacing w:line="276" w:lineRule="auto" w:after="40"/>
              <w:jc w:val="center"/>
            </w:pPr>
            <w:r>
              <w:rPr>
                <w:sz w:val="19"/>
              </w:rPr>
              <w:t>Weeks 1–4</w:t>
            </w:r>
          </w:p>
        </w:tc>
        <w:tc>
          <w:tcPr>
            <w:tcW w:type="dxa" w:w="2448"/>
            <w:shd w:fill="FFFFFF"/>
            <w:tcMar>
              <w:top w:w="80" w:type="dxa"/>
              <w:bottom w:w="80" w:type="dxa"/>
              <w:left w:w="90" w:type="dxa"/>
              <w:right w:w="90" w:type="dxa"/>
            </w:tcMar>
          </w:tcPr>
          <w:p>
            <w:pPr>
              <w:spacing w:line="276" w:lineRule="auto" w:after="40"/>
              <w:jc w:val="left"/>
            </w:pPr>
            <w:r>
              <w:rPr>
                <w:sz w:val="19"/>
              </w:rPr>
              <w:t>Multi-language AST discovery modules and reference test fixtures.</w:t>
            </w:r>
          </w:p>
        </w:tc>
      </w:tr>
      <w:tr>
        <w:tc>
          <w:tcPr>
            <w:tcW w:type="dxa" w:w="1440"/>
            <w:shd w:fill="F9FAFB"/>
            <w:tcMar>
              <w:top w:w="80" w:type="dxa"/>
              <w:bottom w:w="80" w:type="dxa"/>
              <w:left w:w="90" w:type="dxa"/>
              <w:right w:w="90" w:type="dxa"/>
            </w:tcMar>
          </w:tcPr>
          <w:p>
            <w:pPr>
              <w:spacing w:line="276" w:lineRule="auto" w:after="40"/>
              <w:jc w:val="center"/>
            </w:pPr>
            <w:r>
              <w:rPr>
                <w:sz w:val="19"/>
              </w:rPr>
              <w:t>Phase 2</w:t>
            </w:r>
          </w:p>
        </w:tc>
        <w:tc>
          <w:tcPr>
            <w:tcW w:type="dxa" w:w="4032"/>
            <w:shd w:fill="F9FAFB"/>
            <w:tcMar>
              <w:top w:w="80" w:type="dxa"/>
              <w:bottom w:w="80" w:type="dxa"/>
              <w:left w:w="90" w:type="dxa"/>
              <w:right w:w="90" w:type="dxa"/>
            </w:tcMar>
          </w:tcPr>
          <w:p>
            <w:pPr>
              <w:spacing w:line="276" w:lineRule="auto" w:after="40"/>
              <w:jc w:val="left"/>
            </w:pPr>
            <w:r>
              <w:rPr>
                <w:sz w:val="19"/>
              </w:rPr>
              <w:t>Graph schema formulation, 6-node ontology design, and NetworkX property graph builder.</w:t>
            </w:r>
          </w:p>
        </w:tc>
        <w:tc>
          <w:tcPr>
            <w:tcW w:type="dxa" w:w="1440"/>
            <w:shd w:fill="F9FAFB"/>
            <w:tcMar>
              <w:top w:w="80" w:type="dxa"/>
              <w:bottom w:w="80" w:type="dxa"/>
              <w:left w:w="90" w:type="dxa"/>
              <w:right w:w="90" w:type="dxa"/>
            </w:tcMar>
          </w:tcPr>
          <w:p>
            <w:pPr>
              <w:spacing w:line="276" w:lineRule="auto" w:after="40"/>
              <w:jc w:val="center"/>
            </w:pPr>
            <w:r>
              <w:rPr>
                <w:sz w:val="19"/>
              </w:rPr>
              <w:t>Weeks 5–8</w:t>
            </w:r>
          </w:p>
        </w:tc>
        <w:tc>
          <w:tcPr>
            <w:tcW w:type="dxa" w:w="2448"/>
            <w:shd w:fill="F9FAFB"/>
            <w:tcMar>
              <w:top w:w="80" w:type="dxa"/>
              <w:bottom w:w="80" w:type="dxa"/>
              <w:left w:w="90" w:type="dxa"/>
              <w:right w:w="90" w:type="dxa"/>
            </w:tcMar>
          </w:tcPr>
          <w:p>
            <w:pPr>
              <w:spacing w:line="276" w:lineRule="auto" w:after="40"/>
              <w:jc w:val="left"/>
            </w:pPr>
            <w:r>
              <w:rPr>
                <w:sz w:val="19"/>
              </w:rPr>
              <w:t>Validated property graph generator producing verified edge triplets.</w:t>
            </w:r>
          </w:p>
        </w:tc>
      </w:tr>
      <w:tr>
        <w:tc>
          <w:tcPr>
            <w:tcW w:type="dxa" w:w="1440"/>
            <w:shd w:fill="FFFFFF"/>
            <w:tcMar>
              <w:top w:w="80" w:type="dxa"/>
              <w:bottom w:w="80" w:type="dxa"/>
              <w:left w:w="90" w:type="dxa"/>
              <w:right w:w="90" w:type="dxa"/>
            </w:tcMar>
          </w:tcPr>
          <w:p>
            <w:pPr>
              <w:spacing w:line="276" w:lineRule="auto" w:after="40"/>
              <w:jc w:val="center"/>
            </w:pPr>
            <w:r>
              <w:rPr>
                <w:sz w:val="19"/>
              </w:rPr>
              <w:t>Phase 3</w:t>
            </w:r>
          </w:p>
        </w:tc>
        <w:tc>
          <w:tcPr>
            <w:tcW w:type="dxa" w:w="4032"/>
            <w:shd w:fill="FFFFFF"/>
            <w:tcMar>
              <w:top w:w="80" w:type="dxa"/>
              <w:bottom w:w="80" w:type="dxa"/>
              <w:left w:w="90" w:type="dxa"/>
              <w:right w:w="90" w:type="dxa"/>
            </w:tcMar>
          </w:tcPr>
          <w:p>
            <w:pPr>
              <w:spacing w:line="276" w:lineRule="auto" w:after="40"/>
              <w:jc w:val="left"/>
            </w:pPr>
            <w:r>
              <w:rPr>
                <w:sz w:val="19"/>
              </w:rPr>
              <w:t>Deterministic 7-factor risk engine, missing data policies, and Mosca theorem urgency integration.</w:t>
            </w:r>
          </w:p>
        </w:tc>
        <w:tc>
          <w:tcPr>
            <w:tcW w:type="dxa" w:w="1440"/>
            <w:shd w:fill="FFFFFF"/>
            <w:tcMar>
              <w:top w:w="80" w:type="dxa"/>
              <w:bottom w:w="80" w:type="dxa"/>
              <w:left w:w="90" w:type="dxa"/>
              <w:right w:w="90" w:type="dxa"/>
            </w:tcMar>
          </w:tcPr>
          <w:p>
            <w:pPr>
              <w:spacing w:line="276" w:lineRule="auto" w:after="40"/>
              <w:jc w:val="center"/>
            </w:pPr>
            <w:r>
              <w:rPr>
                <w:sz w:val="19"/>
              </w:rPr>
              <w:t>Weeks 9–12</w:t>
            </w:r>
          </w:p>
        </w:tc>
        <w:tc>
          <w:tcPr>
            <w:tcW w:type="dxa" w:w="2448"/>
            <w:shd w:fill="FFFFFF"/>
            <w:tcMar>
              <w:top w:w="80" w:type="dxa"/>
              <w:bottom w:w="80" w:type="dxa"/>
              <w:left w:w="90" w:type="dxa"/>
              <w:right w:w="90" w:type="dxa"/>
            </w:tcMar>
          </w:tcPr>
          <w:p>
            <w:pPr>
              <w:spacing w:line="276" w:lineRule="auto" w:after="40"/>
              <w:jc w:val="left"/>
            </w:pPr>
            <w:r>
              <w:rPr>
                <w:sz w:val="19"/>
              </w:rPr>
              <w:t>Verified mathematical scoring engine and JSON export utilities.</w:t>
            </w:r>
          </w:p>
        </w:tc>
      </w:tr>
      <w:tr>
        <w:tc>
          <w:tcPr>
            <w:tcW w:type="dxa" w:w="1440"/>
            <w:shd w:fill="F9FAFB"/>
            <w:tcMar>
              <w:top w:w="80" w:type="dxa"/>
              <w:bottom w:w="80" w:type="dxa"/>
              <w:left w:w="90" w:type="dxa"/>
              <w:right w:w="90" w:type="dxa"/>
            </w:tcMar>
          </w:tcPr>
          <w:p>
            <w:pPr>
              <w:spacing w:line="276" w:lineRule="auto" w:after="40"/>
              <w:jc w:val="center"/>
            </w:pPr>
            <w:r>
              <w:rPr>
                <w:sz w:val="19"/>
              </w:rPr>
              <w:t>Phase 4</w:t>
            </w:r>
          </w:p>
        </w:tc>
        <w:tc>
          <w:tcPr>
            <w:tcW w:type="dxa" w:w="4032"/>
            <w:shd w:fill="F9FAFB"/>
            <w:tcMar>
              <w:top w:w="80" w:type="dxa"/>
              <w:bottom w:w="80" w:type="dxa"/>
              <w:left w:w="90" w:type="dxa"/>
              <w:right w:w="90" w:type="dxa"/>
            </w:tcMar>
          </w:tcPr>
          <w:p>
            <w:pPr>
              <w:spacing w:line="276" w:lineRule="auto" w:after="40"/>
              <w:jc w:val="left"/>
            </w:pPr>
            <w:r>
              <w:rPr>
                <w:sz w:val="19"/>
              </w:rPr>
              <w:t>Benchmark corpus compilation (8 repos, 520 files), GATv2 model engineering, and LOPO cross-validation.</w:t>
            </w:r>
          </w:p>
        </w:tc>
        <w:tc>
          <w:tcPr>
            <w:tcW w:type="dxa" w:w="1440"/>
            <w:shd w:fill="F9FAFB"/>
            <w:tcMar>
              <w:top w:w="80" w:type="dxa"/>
              <w:bottom w:w="80" w:type="dxa"/>
              <w:left w:w="90" w:type="dxa"/>
              <w:right w:w="90" w:type="dxa"/>
            </w:tcMar>
          </w:tcPr>
          <w:p>
            <w:pPr>
              <w:spacing w:line="276" w:lineRule="auto" w:after="40"/>
              <w:jc w:val="center"/>
            </w:pPr>
            <w:r>
              <w:rPr>
                <w:sz w:val="19"/>
              </w:rPr>
              <w:t>Weeks 13–16</w:t>
            </w:r>
          </w:p>
        </w:tc>
        <w:tc>
          <w:tcPr>
            <w:tcW w:type="dxa" w:w="2448"/>
            <w:shd w:fill="F9FAFB"/>
            <w:tcMar>
              <w:top w:w="80" w:type="dxa"/>
              <w:bottom w:w="80" w:type="dxa"/>
              <w:left w:w="90" w:type="dxa"/>
              <w:right w:w="90" w:type="dxa"/>
            </w:tcMar>
          </w:tcPr>
          <w:p>
            <w:pPr>
              <w:spacing w:line="276" w:lineRule="auto" w:after="40"/>
              <w:jc w:val="left"/>
            </w:pPr>
            <w:r>
              <w:rPr>
                <w:sz w:val="19"/>
              </w:rPr>
              <w:t>Evaluated PyG GNN pipeline, multi-seed stability results, and baseline comparisons.</w:t>
            </w:r>
          </w:p>
        </w:tc>
      </w:tr>
      <w:tr>
        <w:tc>
          <w:tcPr>
            <w:tcW w:type="dxa" w:w="1440"/>
            <w:shd w:fill="FFFFFF"/>
            <w:tcMar>
              <w:top w:w="80" w:type="dxa"/>
              <w:bottom w:w="80" w:type="dxa"/>
              <w:left w:w="90" w:type="dxa"/>
              <w:right w:w="90" w:type="dxa"/>
            </w:tcMar>
          </w:tcPr>
          <w:p>
            <w:pPr>
              <w:spacing w:line="276" w:lineRule="auto" w:after="40"/>
              <w:jc w:val="center"/>
            </w:pPr>
            <w:r>
              <w:rPr>
                <w:sz w:val="19"/>
              </w:rPr>
              <w:t>Phase 5</w:t>
            </w:r>
          </w:p>
        </w:tc>
        <w:tc>
          <w:tcPr>
            <w:tcW w:type="dxa" w:w="4032"/>
            <w:shd w:fill="FFFFFF"/>
            <w:tcMar>
              <w:top w:w="80" w:type="dxa"/>
              <w:bottom w:w="80" w:type="dxa"/>
              <w:left w:w="90" w:type="dxa"/>
              <w:right w:w="90" w:type="dxa"/>
            </w:tcMar>
          </w:tcPr>
          <w:p>
            <w:pPr>
              <w:spacing w:line="276" w:lineRule="auto" w:after="40"/>
              <w:jc w:val="left"/>
            </w:pPr>
            <w:r>
              <w:rPr>
                <w:sz w:val="19"/>
              </w:rPr>
              <w:t>Protected React 19 web dashboard, Migration Roadmap lifecycle view, JWT authentication, and CLI reporting.</w:t>
            </w:r>
          </w:p>
        </w:tc>
        <w:tc>
          <w:tcPr>
            <w:tcW w:type="dxa" w:w="1440"/>
            <w:shd w:fill="FFFFFF"/>
            <w:tcMar>
              <w:top w:w="80" w:type="dxa"/>
              <w:bottom w:w="80" w:type="dxa"/>
              <w:left w:w="90" w:type="dxa"/>
              <w:right w:w="90" w:type="dxa"/>
            </w:tcMar>
          </w:tcPr>
          <w:p>
            <w:pPr>
              <w:spacing w:line="276" w:lineRule="auto" w:after="40"/>
              <w:jc w:val="center"/>
            </w:pPr>
            <w:r>
              <w:rPr>
                <w:sz w:val="19"/>
              </w:rPr>
              <w:t>Weeks 17–20</w:t>
            </w:r>
          </w:p>
        </w:tc>
        <w:tc>
          <w:tcPr>
            <w:tcW w:type="dxa" w:w="2448"/>
            <w:shd w:fill="FFFFFF"/>
            <w:tcMar>
              <w:top w:w="80" w:type="dxa"/>
              <w:bottom w:w="80" w:type="dxa"/>
              <w:left w:w="90" w:type="dxa"/>
              <w:right w:w="90" w:type="dxa"/>
            </w:tcMar>
          </w:tcPr>
          <w:p>
            <w:pPr>
              <w:spacing w:line="276" w:lineRule="auto" w:after="40"/>
              <w:jc w:val="left"/>
            </w:pPr>
            <w:r>
              <w:rPr>
                <w:sz w:val="19"/>
              </w:rPr>
              <w:t>Fully integrated full-stack web application with force-directed graph rendering.</w:t>
            </w:r>
          </w:p>
        </w:tc>
      </w:tr>
      <w:tr>
        <w:tc>
          <w:tcPr>
            <w:tcW w:type="dxa" w:w="1440"/>
            <w:shd w:fill="F9FAFB"/>
            <w:tcMar>
              <w:top w:w="80" w:type="dxa"/>
              <w:bottom w:w="80" w:type="dxa"/>
              <w:left w:w="90" w:type="dxa"/>
              <w:right w:w="90" w:type="dxa"/>
            </w:tcMar>
          </w:tcPr>
          <w:p>
            <w:pPr>
              <w:spacing w:line="276" w:lineRule="auto" w:after="40"/>
              <w:jc w:val="center"/>
            </w:pPr>
            <w:r>
              <w:rPr>
                <w:sz w:val="19"/>
              </w:rPr>
              <w:t>Phase 6</w:t>
            </w:r>
          </w:p>
        </w:tc>
        <w:tc>
          <w:tcPr>
            <w:tcW w:type="dxa" w:w="4032"/>
            <w:shd w:fill="F9FAFB"/>
            <w:tcMar>
              <w:top w:w="80" w:type="dxa"/>
              <w:bottom w:w="80" w:type="dxa"/>
              <w:left w:w="90" w:type="dxa"/>
              <w:right w:w="90" w:type="dxa"/>
            </w:tcMar>
          </w:tcPr>
          <w:p>
            <w:pPr>
              <w:spacing w:line="276" w:lineRule="auto" w:after="40"/>
              <w:jc w:val="left"/>
            </w:pPr>
            <w:r>
              <w:rPr>
                <w:sz w:val="19"/>
              </w:rPr>
              <w:t>System hardening, Docker container packaging, comprehensive regression testing, documentation, and final viva defense.</w:t>
            </w:r>
          </w:p>
        </w:tc>
        <w:tc>
          <w:tcPr>
            <w:tcW w:type="dxa" w:w="1440"/>
            <w:shd w:fill="F9FAFB"/>
            <w:tcMar>
              <w:top w:w="80" w:type="dxa"/>
              <w:bottom w:w="80" w:type="dxa"/>
              <w:left w:w="90" w:type="dxa"/>
              <w:right w:w="90" w:type="dxa"/>
            </w:tcMar>
          </w:tcPr>
          <w:p>
            <w:pPr>
              <w:spacing w:line="276" w:lineRule="auto" w:after="40"/>
              <w:jc w:val="center"/>
            </w:pPr>
            <w:r>
              <w:rPr>
                <w:sz w:val="19"/>
              </w:rPr>
              <w:t>Weeks 21–24</w:t>
            </w:r>
          </w:p>
        </w:tc>
        <w:tc>
          <w:tcPr>
            <w:tcW w:type="dxa" w:w="2448"/>
            <w:shd w:fill="F9FAFB"/>
            <w:tcMar>
              <w:top w:w="80" w:type="dxa"/>
              <w:bottom w:w="80" w:type="dxa"/>
              <w:left w:w="90" w:type="dxa"/>
              <w:right w:w="90" w:type="dxa"/>
            </w:tcMar>
          </w:tcPr>
          <w:p>
            <w:pPr>
              <w:spacing w:line="276" w:lineRule="auto" w:after="40"/>
              <w:jc w:val="left"/>
            </w:pPr>
            <w:r>
              <w:rPr>
                <w:sz w:val="19"/>
              </w:rPr>
              <w:t>Final project report, research paper manuscript, and production-ready source code.</w:t>
            </w:r>
          </w:p>
        </w:tc>
      </w:tr>
    </w:tbl>
    <w:p>
      <w:pPr>
        <w:spacing w:after="160"/>
      </w:pPr>
    </w:p>
    <w:p>
      <w:pPr>
        <w:keepNext/>
        <w:spacing w:before="280" w:after="120"/>
      </w:pPr>
      <w:r>
        <w:rPr>
          <w:b/>
          <w:sz w:val="28"/>
        </w:rPr>
        <w:t>11. References</w:t>
      </w:r>
    </w:p>
    <w:p>
      <w:pPr>
        <w:spacing w:line="288" w:lineRule="auto" w:after="80"/>
        <w:ind w:left="432" w:hanging="432"/>
      </w:pPr>
      <w:r>
        <w:rPr>
          <w:sz w:val="21"/>
        </w:rPr>
        <w:t>[1] National Institute of Standards and Technology (NIST), “Module-Lattice-Based Key-Encapsulation Mechanism Standard,” Federal Information Processing Standards Publication (FIPS PUB) 203, Aug. 2024.</w:t>
      </w:r>
    </w:p>
    <w:p>
      <w:pPr>
        <w:spacing w:line="288" w:lineRule="auto" w:after="80"/>
        <w:ind w:left="432" w:hanging="432"/>
      </w:pPr>
      <w:r>
        <w:rPr>
          <w:sz w:val="21"/>
        </w:rPr>
        <w:t>[2] National Institute of Standards and Technology (NIST), “Module-Lattice-Based Digital Signature Standard,” Federal Information Processing Standards Publication (FIPS PUB) 204, Aug. 2024.</w:t>
      </w:r>
    </w:p>
    <w:p>
      <w:pPr>
        <w:spacing w:line="288" w:lineRule="auto" w:after="80"/>
        <w:ind w:left="432" w:hanging="432"/>
      </w:pPr>
      <w:r>
        <w:rPr>
          <w:sz w:val="21"/>
        </w:rPr>
        <w:t>[3] National Institute of Standards and Technology (NIST), “Stateless Hash-Based Digital Signature Standard,” Federal Information Processing Standards Publication (FIPS PUB) 205, Aug. 2024.</w:t>
      </w:r>
    </w:p>
    <w:p>
      <w:pPr>
        <w:spacing w:line="288" w:lineRule="auto" w:after="80"/>
        <w:ind w:left="432" w:hanging="432"/>
      </w:pPr>
      <w:r>
        <w:rPr>
          <w:sz w:val="21"/>
        </w:rPr>
        <w:t>[4] M. Mosca, “Cybersecurity in an Era with Quantum Computers: Will We Be Ready?,” IEEE Security &amp; Privacy, vol. 16, no. 5, pp. 38–41, Sep./Oct. 2018, doi: 10.1109/MSP.2018.3761723. (Also: IACR Cryptology ePrint Archive, Report 2015/1075, 2015).</w:t>
      </w:r>
    </w:p>
    <w:p>
      <w:pPr>
        <w:spacing w:line="288" w:lineRule="auto" w:after="80"/>
        <w:ind w:left="432" w:hanging="432"/>
      </w:pPr>
      <w:r>
        <w:rPr>
          <w:sz w:val="21"/>
        </w:rPr>
        <w:t>[5] S. Brody, U. Alon, and E. Yahav, “How Attentive Are Graph Attention Networks?,” in Proc. 10th Int. Conf. Learn. Represent. (ICLR), Virtual Event, Apr. 2022, pp. 1–18.</w:t>
      </w:r>
    </w:p>
    <w:p>
      <w:pPr>
        <w:spacing w:line="288" w:lineRule="auto" w:after="80"/>
        <w:ind w:left="432" w:hanging="432"/>
      </w:pPr>
      <w:r>
        <w:rPr>
          <w:sz w:val="21"/>
        </w:rPr>
        <w:t>[6] National Institute of Standards and Technology (NIST), “Migration to Post-Quantum Cryptography: Quantum Readiness: Cryptographic Discovery,” NIST Special Publication (SP) 1800-38B, NCCoE, Dec. 2023.</w:t>
      </w:r>
    </w:p>
    <w:p>
      <w:pPr>
        <w:spacing w:line="288" w:lineRule="auto" w:after="80"/>
        <w:ind w:left="432" w:hanging="432"/>
      </w:pPr>
      <w:r>
        <w:rPr>
          <w:sz w:val="21"/>
        </w:rPr>
        <w:t>[7] OWASP Foundation, “Authoritative Specification: Cryptographic Bill of Materials (CBOM),” CycloneDX Specification v1.6, 2024.</w:t>
      </w:r>
    </w:p>
    <w:p>
      <w:pPr>
        <w:spacing w:line="288" w:lineRule="auto" w:after="80"/>
        <w:ind w:left="432" w:hanging="432"/>
      </w:pPr>
      <w:r>
        <w:rPr>
          <w:sz w:val="21"/>
        </w:rPr>
        <w:t>[8] M. Egele, D. Brumley, Y. Fratantonio, and C. Kruegel, “An Empirical Study of Cryptographic Misuse in Android Applications,” in Proc. 2013 ACM SIGSAC Conf. Comput. Commun. Secur. (CCS), Berlin, Germany, Nov. 2013, pp. 73–84, doi: 10.1145/2508859.2516693.</w:t>
      </w:r>
    </w:p>
    <w:p>
      <w:pPr>
        <w:spacing w:line="288" w:lineRule="auto" w:after="80"/>
        <w:ind w:left="432" w:hanging="432"/>
      </w:pPr>
      <w:r>
        <w:rPr>
          <w:sz w:val="21"/>
        </w:rPr>
        <w:t>[9] S. Krüger et al., “CogniCrypt: Supporting Developers in using Cryptography,” in Proc. 32nd IEEE/ACM Int. Conf. Automated Softw. Eng. (ASE), Urbana, IL, USA, Nov. 2017, pp. 931–936, doi: 10.1109/ASE.2017.8115707.</w:t>
      </w:r>
    </w:p>
    <w:p>
      <w:pPr>
        <w:spacing w:line="288" w:lineRule="auto" w:after="80"/>
        <w:ind w:left="432" w:hanging="432"/>
      </w:pPr>
      <w:r>
        <w:rPr>
          <w:sz w:val="21"/>
        </w:rPr>
        <w:t>[10] National Security Agency (NSA), “Commercial National Security Algorithm Suite 2.0 (CNSA 2.0) Cybersecurity Advisory,” NSA Cybersecurity Technical Report, Sep. 2022.</w:t>
      </w:r>
    </w:p>
    <w:p>
      <w:pPr>
        <w:spacing w:after="240"/>
      </w:pPr>
    </w:p>
    <w:p>
      <w:pPr>
        <w:keepNext/>
      </w:pPr>
      <w:r>
        <w:rPr>
          <w:b/>
        </w:rPr>
        <w:t>Student Signatures:</w:t>
        <w:br/>
        <w:br/>
      </w:r>
      <w:r>
        <w:t>1. Spoorthi (NNM23CB058): ______________________</w:t>
        <w:br/>
        <w:br/>
      </w:r>
      <w:r>
        <w:t>2. Sindhoora R (NNM23CB057): ______________________</w:t>
        <w:br/>
        <w:br/>
      </w:r>
      <w:r>
        <w:t>3. Nivedita V Shetty (NNM23CB033): ______________________</w:t>
        <w:br/>
        <w:br/>
      </w:r>
      <w:r>
        <w:t>4. Sujan S (NNM23CB062): ______________________</w:t>
        <w:br/>
        <w:br/>
        <w:br/>
      </w:r>
      <w:r>
        <w:rPr>
          <w:b/>
        </w:rPr>
        <w:t>Guide Signature: ______________________</w:t>
        <w:br/>
      </w:r>
      <w:r>
        <w:rPr>
          <w:i/>
        </w:rPr>
        <w:t>(Ms. Madhushree)</w:t>
        <w:br/>
        <w:t>Department of Computer Science and Engineering (Cyber Security)</w:t>
        <w:br/>
        <w:t>NMAMIT, Nitte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