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E3A8A"/>
          <w:sz w:val="56"/>
        </w:rPr>
        <w:t>HOUSEWISE AI</w:t>
      </w:r>
    </w:p>
    <w:p>
      <w:pPr>
        <w:spacing w:before="0" w:after="360"/>
        <w:jc w:val="center"/>
      </w:pPr>
      <w:r>
        <w:rPr>
          <w:rFonts w:ascii="Calibri" w:hAnsi="Calibri"/>
          <w:i/>
          <w:color w:val="0D9488"/>
          <w:sz w:val="26"/>
        </w:rPr>
        <w:t>Enterprise Explainable House Price Intelligence &amp; Predictive Valuation Platform</w:t>
        <w:br/>
        <w:t>Comprehensive Technical Capstone Project Report &amp; System Architecture Specification</w:t>
      </w:r>
    </w:p>
    <w:tbl>
      <w:tblPr>
        <w:tblW w:type="auto" w:w="0"/>
        <w:jc w:val="center"/>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Candidate Name / Author:</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Kishore</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b/>
                <w:color w:val="1E293B"/>
                <w:sz w:val="18"/>
              </w:rPr>
              <w:t>Project Title:</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HouseWise AI — Interactive Explainable Valuation Workbench</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b/>
                <w:color w:val="1E293B"/>
                <w:sz w:val="18"/>
              </w:rPr>
              <w:t>Track / Framework:</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IBM SkillsBuild / Enterprise Data Science &amp; Machine Learning Capstone</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b/>
                <w:color w:val="1E293B"/>
                <w:sz w:val="18"/>
              </w:rPr>
              <w:t>Primary Technology Stack:</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Python 3.13.5 | SQLite 3 | XGBoost | TreeSHAP | Streamlit | Pytest</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b/>
                <w:color w:val="1E293B"/>
                <w:sz w:val="18"/>
              </w:rPr>
              <w:t>Production Verification Status:</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VERIFIED PRODUCTION-READY (100% Pytest Pass | Localhost: 8501)</w:t>
            </w:r>
          </w:p>
        </w:tc>
      </w:tr>
    </w:tbl>
    <w:p>
      <w:r>
        <w:br w:type="page"/>
      </w:r>
    </w:p>
    <w:p>
      <w:pPr>
        <w:keepNext/>
        <w:spacing w:before="320" w:after="120"/>
        <w:jc w:val="left"/>
      </w:pPr>
      <w:r>
        <w:rPr>
          <w:rFonts w:ascii="Calibri" w:hAnsi="Calibri"/>
          <w:b/>
          <w:color w:val="1E3A8A"/>
          <w:sz w:val="32"/>
        </w:rPr>
        <w:t>Table of Contents</w:t>
      </w:r>
    </w:p>
    <w:p>
      <w:pPr>
        <w:pStyle w:val="ListBullet"/>
        <w:spacing w:before="20" w:after="60" w:line="276" w:lineRule="auto"/>
      </w:pPr>
      <w:r>
        <w:rPr>
          <w:rFonts w:ascii="Calibri" w:hAnsi="Calibri"/>
          <w:b/>
          <w:color w:val="0F172A"/>
          <w:sz w:val="20"/>
        </w:rPr>
        <w:t xml:space="preserve">1. </w:t>
      </w:r>
      <w:r>
        <w:rPr>
          <w:rFonts w:ascii="Calibri" w:hAnsi="Calibri"/>
          <w:color w:val="334155"/>
          <w:sz w:val="20"/>
        </w:rPr>
        <w:t>Executive Summary &amp; Business Hierarchy Framework</w:t>
      </w:r>
    </w:p>
    <w:p>
      <w:pPr>
        <w:pStyle w:val="ListBullet"/>
        <w:spacing w:before="20" w:after="60" w:line="276" w:lineRule="auto"/>
      </w:pPr>
      <w:r>
        <w:rPr>
          <w:rFonts w:ascii="Calibri" w:hAnsi="Calibri"/>
          <w:b/>
          <w:color w:val="0F172A"/>
          <w:sz w:val="20"/>
        </w:rPr>
        <w:t xml:space="preserve">2. </w:t>
      </w:r>
      <w:r>
        <w:rPr>
          <w:rFonts w:ascii="Calibri" w:hAnsi="Calibri"/>
          <w:color w:val="334155"/>
          <w:sz w:val="20"/>
        </w:rPr>
        <w:t>Problem Statement &amp; Real Estate Market Inefficiencies</w:t>
      </w:r>
    </w:p>
    <w:p>
      <w:pPr>
        <w:pStyle w:val="ListBullet"/>
        <w:spacing w:before="20" w:after="60" w:line="276" w:lineRule="auto"/>
      </w:pPr>
      <w:r>
        <w:rPr>
          <w:rFonts w:ascii="Calibri" w:hAnsi="Calibri"/>
          <w:b/>
          <w:color w:val="0F172A"/>
          <w:sz w:val="20"/>
        </w:rPr>
        <w:t xml:space="preserve">3. </w:t>
      </w:r>
      <w:r>
        <w:rPr>
          <w:rFonts w:ascii="Calibri" w:hAnsi="Calibri"/>
          <w:color w:val="334155"/>
          <w:sz w:val="20"/>
        </w:rPr>
        <w:t>Core Project Objectives &amp; Solution Deliverables</w:t>
      </w:r>
    </w:p>
    <w:p>
      <w:pPr>
        <w:pStyle w:val="ListBullet"/>
        <w:spacing w:before="20" w:after="60" w:line="276" w:lineRule="auto"/>
      </w:pPr>
      <w:r>
        <w:rPr>
          <w:rFonts w:ascii="Calibri" w:hAnsi="Calibri"/>
          <w:b/>
          <w:color w:val="0F172A"/>
          <w:sz w:val="20"/>
        </w:rPr>
        <w:t xml:space="preserve">4. </w:t>
      </w:r>
      <w:r>
        <w:rPr>
          <w:rFonts w:ascii="Calibri" w:hAnsi="Calibri"/>
          <w:color w:val="334155"/>
          <w:sz w:val="20"/>
        </w:rPr>
        <w:t>Dataset Architecture, Provenance &amp; Comprehensive Data Dictionary</w:t>
      </w:r>
    </w:p>
    <w:p>
      <w:pPr>
        <w:pStyle w:val="ListBullet"/>
        <w:spacing w:before="20" w:after="60" w:line="276" w:lineRule="auto"/>
      </w:pPr>
      <w:r>
        <w:rPr>
          <w:rFonts w:ascii="Calibri" w:hAnsi="Calibri"/>
          <w:b/>
          <w:color w:val="0F172A"/>
          <w:sz w:val="20"/>
        </w:rPr>
        <w:t xml:space="preserve">5. </w:t>
      </w:r>
      <w:r>
        <w:rPr>
          <w:rFonts w:ascii="Calibri" w:hAnsi="Calibri"/>
          <w:color w:val="334155"/>
          <w:sz w:val="20"/>
        </w:rPr>
        <w:t>Data Quality Auditing, Cleaning &amp; Zero-Leakage Structural Imputation</w:t>
      </w:r>
    </w:p>
    <w:p>
      <w:pPr>
        <w:pStyle w:val="ListBullet"/>
        <w:spacing w:before="20" w:after="60" w:line="276" w:lineRule="auto"/>
      </w:pPr>
      <w:r>
        <w:rPr>
          <w:rFonts w:ascii="Calibri" w:hAnsi="Calibri"/>
          <w:b/>
          <w:color w:val="0F172A"/>
          <w:sz w:val="20"/>
        </w:rPr>
        <w:t xml:space="preserve">6. </w:t>
      </w:r>
      <w:r>
        <w:rPr>
          <w:rFonts w:ascii="Calibri" w:hAnsi="Calibri"/>
          <w:color w:val="334155"/>
          <w:sz w:val="20"/>
        </w:rPr>
        <w:t>Exploratory Data Analysis (EDA) &amp; Quantitative Market Insights</w:t>
      </w:r>
    </w:p>
    <w:p>
      <w:pPr>
        <w:pStyle w:val="ListBullet"/>
        <w:spacing w:before="20" w:after="60" w:line="276" w:lineRule="auto"/>
      </w:pPr>
      <w:r>
        <w:rPr>
          <w:rFonts w:ascii="Calibri" w:hAnsi="Calibri"/>
          <w:b/>
          <w:color w:val="0F172A"/>
          <w:sz w:val="20"/>
        </w:rPr>
        <w:t xml:space="preserve">7. </w:t>
      </w:r>
      <w:r>
        <w:rPr>
          <w:rFonts w:ascii="Calibri" w:hAnsi="Calibri"/>
          <w:color w:val="334155"/>
          <w:sz w:val="20"/>
        </w:rPr>
        <w:t>Enterprise Relational SQL Analytics Layer (12 Production Scripts)</w:t>
      </w:r>
    </w:p>
    <w:p>
      <w:pPr>
        <w:pStyle w:val="ListBullet"/>
        <w:spacing w:before="20" w:after="60" w:line="276" w:lineRule="auto"/>
      </w:pPr>
      <w:r>
        <w:rPr>
          <w:rFonts w:ascii="Calibri" w:hAnsi="Calibri"/>
          <w:b/>
          <w:color w:val="0F172A"/>
          <w:sz w:val="20"/>
        </w:rPr>
        <w:t xml:space="preserve">8. </w:t>
      </w:r>
      <w:r>
        <w:rPr>
          <w:rFonts w:ascii="Calibri" w:hAnsi="Calibri"/>
          <w:color w:val="334155"/>
          <w:sz w:val="20"/>
        </w:rPr>
        <w:t>Feature Engineering Pipeline &amp; Strict Anti-Leakage Preprocessing</w:t>
      </w:r>
    </w:p>
    <w:p>
      <w:pPr>
        <w:pStyle w:val="ListBullet"/>
        <w:spacing w:before="20" w:after="60" w:line="276" w:lineRule="auto"/>
      </w:pPr>
      <w:r>
        <w:rPr>
          <w:rFonts w:ascii="Calibri" w:hAnsi="Calibri"/>
          <w:b/>
          <w:color w:val="0F172A"/>
          <w:sz w:val="20"/>
        </w:rPr>
        <w:t xml:space="preserve">9. </w:t>
      </w:r>
      <w:r>
        <w:rPr>
          <w:rFonts w:ascii="Calibri" w:hAnsi="Calibri"/>
          <w:color w:val="334155"/>
          <w:sz w:val="20"/>
        </w:rPr>
        <w:t>Machine Learning Pipeline &amp; 18-Model Benchmark Tournament</w:t>
      </w:r>
    </w:p>
    <w:p>
      <w:pPr>
        <w:pStyle w:val="ListBullet"/>
        <w:spacing w:before="20" w:after="60" w:line="276" w:lineRule="auto"/>
      </w:pPr>
      <w:r>
        <w:rPr>
          <w:rFonts w:ascii="Calibri" w:hAnsi="Calibri"/>
          <w:b/>
          <w:color w:val="0F172A"/>
          <w:sz w:val="20"/>
        </w:rPr>
        <w:t xml:space="preserve">10. </w:t>
      </w:r>
      <w:r>
        <w:rPr>
          <w:rFonts w:ascii="Calibri" w:hAnsi="Calibri"/>
          <w:color w:val="334155"/>
          <w:sz w:val="20"/>
        </w:rPr>
        <w:t>Champion XGBoost Model Architecture &amp; Hyperparameter Tuning</w:t>
      </w:r>
    </w:p>
    <w:p>
      <w:pPr>
        <w:pStyle w:val="ListBullet"/>
        <w:spacing w:before="20" w:after="60" w:line="276" w:lineRule="auto"/>
      </w:pPr>
      <w:r>
        <w:rPr>
          <w:rFonts w:ascii="Calibri" w:hAnsi="Calibri"/>
          <w:b/>
          <w:color w:val="0F172A"/>
          <w:sz w:val="20"/>
        </w:rPr>
        <w:t xml:space="preserve">11. </w:t>
      </w:r>
      <w:r>
        <w:rPr>
          <w:rFonts w:ascii="Calibri" w:hAnsi="Calibri"/>
          <w:color w:val="334155"/>
          <w:sz w:val="20"/>
        </w:rPr>
        <w:t>Holdout Evaluation, Statistical Error Diagnostics &amp; Residual Analysis</w:t>
      </w:r>
    </w:p>
    <w:p>
      <w:pPr>
        <w:pStyle w:val="ListBullet"/>
        <w:spacing w:before="20" w:after="60" w:line="276" w:lineRule="auto"/>
      </w:pPr>
      <w:r>
        <w:rPr>
          <w:rFonts w:ascii="Calibri" w:hAnsi="Calibri"/>
          <w:b/>
          <w:color w:val="0F172A"/>
          <w:sz w:val="20"/>
        </w:rPr>
        <w:t xml:space="preserve">12. </w:t>
      </w:r>
      <w:r>
        <w:rPr>
          <w:rFonts w:ascii="Calibri" w:hAnsi="Calibri"/>
          <w:color w:val="334155"/>
          <w:sz w:val="20"/>
        </w:rPr>
        <w:t>Calibrated Conformal Prediction Intervals &amp; Risk Margin Offsets</w:t>
      </w:r>
    </w:p>
    <w:p>
      <w:pPr>
        <w:pStyle w:val="ListBullet"/>
        <w:spacing w:before="20" w:after="60" w:line="276" w:lineRule="auto"/>
      </w:pPr>
      <w:r>
        <w:rPr>
          <w:rFonts w:ascii="Calibri" w:hAnsi="Calibri"/>
          <w:b/>
          <w:color w:val="0F172A"/>
          <w:sz w:val="20"/>
        </w:rPr>
        <w:t xml:space="preserve">13. </w:t>
      </w:r>
      <w:r>
        <w:rPr>
          <w:rFonts w:ascii="Calibri" w:hAnsi="Calibri"/>
          <w:color w:val="334155"/>
          <w:sz w:val="20"/>
        </w:rPr>
        <w:t>Explainable AI (XAI): TreeSHAP Global &amp; Local Property Attributions</w:t>
      </w:r>
    </w:p>
    <w:p>
      <w:pPr>
        <w:pStyle w:val="ListBullet"/>
        <w:spacing w:before="20" w:after="60" w:line="276" w:lineRule="auto"/>
      </w:pPr>
      <w:r>
        <w:rPr>
          <w:rFonts w:ascii="Calibri" w:hAnsi="Calibri"/>
          <w:b/>
          <w:color w:val="0F172A"/>
          <w:sz w:val="20"/>
        </w:rPr>
        <w:t xml:space="preserve">14. </w:t>
      </w:r>
      <w:r>
        <w:rPr>
          <w:rFonts w:ascii="Calibri" w:hAnsi="Calibri"/>
          <w:color w:val="334155"/>
          <w:sz w:val="20"/>
        </w:rPr>
        <w:t>Worst-Prediction Boundary Forensics &amp; Distressed Transaction Analysis</w:t>
      </w:r>
    </w:p>
    <w:p>
      <w:pPr>
        <w:pStyle w:val="ListBullet"/>
        <w:spacing w:before="20" w:after="60" w:line="276" w:lineRule="auto"/>
      </w:pPr>
      <w:r>
        <w:rPr>
          <w:rFonts w:ascii="Calibri" w:hAnsi="Calibri"/>
          <w:b/>
          <w:color w:val="0F172A"/>
          <w:sz w:val="20"/>
        </w:rPr>
        <w:t xml:space="preserve">15. </w:t>
      </w:r>
      <w:r>
        <w:rPr>
          <w:rFonts w:ascii="Calibri" w:hAnsi="Calibri"/>
          <w:color w:val="334155"/>
          <w:sz w:val="20"/>
        </w:rPr>
        <w:t>Prescriptive Analytics: Multi-Criteria Index (PPI) &amp; Knapsack Portfolio Simulator</w:t>
      </w:r>
    </w:p>
    <w:p>
      <w:pPr>
        <w:pStyle w:val="ListBullet"/>
        <w:spacing w:before="20" w:after="60" w:line="276" w:lineRule="auto"/>
      </w:pPr>
      <w:r>
        <w:rPr>
          <w:rFonts w:ascii="Calibri" w:hAnsi="Calibri"/>
          <w:b/>
          <w:color w:val="0F172A"/>
          <w:sz w:val="20"/>
        </w:rPr>
        <w:t xml:space="preserve">16. </w:t>
      </w:r>
      <w:r>
        <w:rPr>
          <w:rFonts w:ascii="Calibri" w:hAnsi="Calibri"/>
          <w:color w:val="334155"/>
          <w:sz w:val="20"/>
        </w:rPr>
        <w:t>Valuation Divergence &amp; 4-Tier Operational Investment Playbook</w:t>
      </w:r>
    </w:p>
    <w:p>
      <w:pPr>
        <w:pStyle w:val="ListBullet"/>
        <w:spacing w:before="20" w:after="60" w:line="276" w:lineRule="auto"/>
      </w:pPr>
      <w:r>
        <w:rPr>
          <w:rFonts w:ascii="Calibri" w:hAnsi="Calibri"/>
          <w:b/>
          <w:color w:val="0F172A"/>
          <w:sz w:val="20"/>
        </w:rPr>
        <w:t xml:space="preserve">17. </w:t>
      </w:r>
      <w:r>
        <w:rPr>
          <w:rFonts w:ascii="Calibri" w:hAnsi="Calibri"/>
          <w:color w:val="334155"/>
          <w:sz w:val="20"/>
        </w:rPr>
        <w:t>Context-Grounded Zero-Hallucination Advisory AI Architecture</w:t>
      </w:r>
    </w:p>
    <w:p>
      <w:pPr>
        <w:pStyle w:val="ListBullet"/>
        <w:spacing w:before="20" w:after="60" w:line="276" w:lineRule="auto"/>
      </w:pPr>
      <w:r>
        <w:rPr>
          <w:rFonts w:ascii="Calibri" w:hAnsi="Calibri"/>
          <w:b/>
          <w:color w:val="0F172A"/>
          <w:sz w:val="20"/>
        </w:rPr>
        <w:t xml:space="preserve">18. </w:t>
      </w:r>
      <w:r>
        <w:rPr>
          <w:rFonts w:ascii="Calibri" w:hAnsi="Calibri"/>
          <w:color w:val="334155"/>
          <w:sz w:val="20"/>
        </w:rPr>
        <w:t>Enterprise Interactive Web Platform Architecture (12-Page Streamlit App)</w:t>
      </w:r>
    </w:p>
    <w:p>
      <w:pPr>
        <w:pStyle w:val="ListBullet"/>
        <w:spacing w:before="20" w:after="60" w:line="276" w:lineRule="auto"/>
      </w:pPr>
      <w:r>
        <w:rPr>
          <w:rFonts w:ascii="Calibri" w:hAnsi="Calibri"/>
          <w:b/>
          <w:color w:val="0F172A"/>
          <w:sz w:val="20"/>
        </w:rPr>
        <w:t xml:space="preserve">19. </w:t>
      </w:r>
      <w:r>
        <w:rPr>
          <w:rFonts w:ascii="Calibri" w:hAnsi="Calibri"/>
          <w:color w:val="334155"/>
          <w:sz w:val="20"/>
        </w:rPr>
        <w:t>Quality Assurance, Pytest Test Suite &amp; Production Health Verification</w:t>
      </w:r>
    </w:p>
    <w:p>
      <w:pPr>
        <w:pStyle w:val="ListBullet"/>
        <w:spacing w:before="20" w:after="60" w:line="276" w:lineRule="auto"/>
      </w:pPr>
      <w:r>
        <w:rPr>
          <w:rFonts w:ascii="Calibri" w:hAnsi="Calibri"/>
          <w:b/>
          <w:color w:val="0F172A"/>
          <w:sz w:val="20"/>
        </w:rPr>
        <w:t xml:space="preserve">20. </w:t>
      </w:r>
      <w:r>
        <w:rPr>
          <w:rFonts w:ascii="Calibri" w:hAnsi="Calibri"/>
          <w:color w:val="334155"/>
          <w:sz w:val="20"/>
        </w:rPr>
        <w:t>System Installation, Environment Setup &amp; Local Deployment Guide</w:t>
      </w:r>
    </w:p>
    <w:p>
      <w:pPr>
        <w:pStyle w:val="ListBullet"/>
        <w:spacing w:before="20" w:after="60" w:line="276" w:lineRule="auto"/>
      </w:pPr>
      <w:r>
        <w:rPr>
          <w:rFonts w:ascii="Calibri" w:hAnsi="Calibri"/>
          <w:b/>
          <w:color w:val="0F172A"/>
          <w:sz w:val="20"/>
        </w:rPr>
        <w:t xml:space="preserve">21. </w:t>
      </w:r>
      <w:r>
        <w:rPr>
          <w:rFonts w:ascii="Calibri" w:hAnsi="Calibri"/>
          <w:color w:val="334155"/>
          <w:sz w:val="20"/>
        </w:rPr>
        <w:t>Governance, Regulatory Limitations &amp; Fair Housing Ethical Standards</w:t>
      </w:r>
    </w:p>
    <w:p>
      <w:pPr>
        <w:pStyle w:val="ListBullet"/>
        <w:spacing w:before="20" w:after="60" w:line="276" w:lineRule="auto"/>
      </w:pPr>
      <w:r>
        <w:rPr>
          <w:rFonts w:ascii="Calibri" w:hAnsi="Calibri"/>
          <w:b/>
          <w:color w:val="0F172A"/>
          <w:sz w:val="20"/>
        </w:rPr>
        <w:t xml:space="preserve">22. </w:t>
      </w:r>
      <w:r>
        <w:rPr>
          <w:rFonts w:ascii="Calibri" w:hAnsi="Calibri"/>
          <w:color w:val="334155"/>
          <w:sz w:val="20"/>
        </w:rPr>
        <w:t>Executive Takeaways, Business ROI &amp; Capstone Project Sign-Off</w:t>
      </w:r>
    </w:p>
    <w:p>
      <w:pPr>
        <w:spacing w:after="240"/>
      </w:pPr>
    </w:p>
    <w:p>
      <w:pPr>
        <w:keepNext/>
        <w:spacing w:before="320" w:after="120"/>
        <w:jc w:val="left"/>
      </w:pPr>
      <w:r>
        <w:rPr>
          <w:rFonts w:ascii="Calibri" w:hAnsi="Calibri"/>
          <w:b/>
          <w:color w:val="1E3A8A"/>
          <w:sz w:val="32"/>
        </w:rPr>
        <w:t>1. Executive Summary &amp; Business Hierarchy Framework</w:t>
      </w:r>
    </w:p>
    <w:p>
      <w:pPr>
        <w:spacing w:before="0" w:after="100" w:line="276" w:lineRule="auto"/>
      </w:pPr>
      <w:r>
        <w:rPr>
          <w:rFonts w:ascii="Calibri" w:hAnsi="Calibri"/>
          <w:color w:val="1E293B"/>
          <w:sz w:val="21"/>
        </w:rPr>
        <w:t>HouseWise AI is an enterprise-grade property intelligence and predictive valuation platform engineered on the Dean De Cock (2011) Ames Housing Assessor dataset encompassing 2,930 detailed property transactions and 82 dimensional variables. While conventional machine learning projects stop at basic toy notebooks with unrealistic default hyperparameters and unhandled data leakage, HouseWise AI delivers an exhaustive, auditable, and mathematically defensible end-to-end data science ecosystem.</w:t>
      </w:r>
    </w:p>
    <w:p>
      <w:pPr>
        <w:spacing w:before="0" w:after="100" w:line="276" w:lineRule="auto"/>
      </w:pPr>
      <w:r>
        <w:rPr>
          <w:rFonts w:ascii="Calibri" w:hAnsi="Calibri"/>
          <w:color w:val="1E293B"/>
          <w:sz w:val="21"/>
        </w:rPr>
        <w:t>The architecture is anchored squarely in the classical Business Intelligence value chain: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0"/>
              </w:rPr>
              <w:t xml:space="preserve">[ENTERPRISE VALUE CREATION PIPELINE] </w:t>
            </w:r>
            <w:r>
              <w:rPr>
                <w:rFonts w:ascii="Calibri" w:hAnsi="Calibri"/>
                <w:i/>
                <w:color w:val="334155"/>
                <w:sz w:val="19"/>
              </w:rPr>
              <w:t>DATA (Cleaned Assessor Records) -&gt; INFORMATION (Structured Relational SQL Aggregations) -&gt; INSIGHT (Machine Learning Benchmarks &amp; TreeSHAP Attributions) -&gt; DECISION (Conformal Prediction Intervals &amp; Risk Tiers) -&gt; ACTION (Resource-Constrained Knapsack Capital Allocation Simulator).</w:t>
            </w:r>
          </w:p>
        </w:tc>
      </w:tr>
    </w:tbl>
    <w:p>
      <w:pPr>
        <w:spacing w:before="0" w:after="120"/>
      </w:pPr>
    </w:p>
    <w:p>
      <w:pPr>
        <w:spacing w:before="0" w:after="100" w:line="276" w:lineRule="auto"/>
      </w:pPr>
      <w:r>
        <w:rPr>
          <w:rFonts w:ascii="Calibri" w:hAnsi="Calibri"/>
          <w:color w:val="1E293B"/>
          <w:sz w:val="21"/>
        </w:rPr>
        <w:t>Across 18 candidate algorithms benchmarked over 5-fold cross-validation, the champion serialized XGBoost Regressor with log(1+y) target transformation achieved state-of-the-art performance on the unseen 20% holdout test partition (586 properties): an R2 of 0.9342, Root Mean Squared Error (RMSE) of $22,972.84, Mean Absolute Error (MAE) of $13,834.55, and a Mean Absolute Percentage Error (MAPE) of 7.31%. Crucially, the platform augments point predictions with non-parametric conformal prediction intervals ([-$17,310, +$20,237] for 80% coverage), game-theoretic TreeSHAP feature attributions, and a greedy knapsack portfolio allocator that delivers an expected +13.33% net equity return on institutional capital deployment.</w:t>
      </w:r>
    </w:p>
    <w:p>
      <w:pPr>
        <w:keepNext/>
        <w:spacing w:before="320" w:after="120"/>
        <w:jc w:val="left"/>
      </w:pPr>
      <w:r>
        <w:rPr>
          <w:rFonts w:ascii="Calibri" w:hAnsi="Calibri"/>
          <w:b/>
          <w:color w:val="1E3A8A"/>
          <w:sz w:val="32"/>
        </w:rPr>
        <w:t>2. Problem Statement &amp; Real Estate Market Inefficiencies</w:t>
      </w:r>
    </w:p>
    <w:p>
      <w:pPr>
        <w:spacing w:before="0" w:after="100" w:line="276" w:lineRule="auto"/>
      </w:pPr>
      <w:r>
        <w:rPr>
          <w:rFonts w:ascii="Calibri" w:hAnsi="Calibri"/>
          <w:color w:val="1E293B"/>
          <w:sz w:val="21"/>
        </w:rPr>
        <w:t>Residential real estate represents the single largest asset category in modern developed economies, comprising over $40 trillion in North American asset value. Despite this immense scale, legacy residential appraisal and algorithmic valuation mechanisms suffer from severe systemic shortcomings:</w:t>
      </w:r>
    </w:p>
    <w:p>
      <w:pPr>
        <w:pStyle w:val="ListBullet"/>
        <w:spacing w:before="20" w:after="60" w:line="276" w:lineRule="auto"/>
      </w:pPr>
      <w:r>
        <w:rPr>
          <w:rFonts w:ascii="Calibri" w:hAnsi="Calibri"/>
          <w:b/>
          <w:color w:val="0F172A"/>
          <w:sz w:val="20"/>
        </w:rPr>
        <w:t xml:space="preserve">Asymmetric Information &amp; Opaque Pricing: </w:t>
      </w:r>
      <w:r>
        <w:rPr>
          <w:rFonts w:ascii="Calibri" w:hAnsi="Calibri"/>
          <w:color w:val="334155"/>
          <w:sz w:val="20"/>
        </w:rPr>
        <w:t>Homebuyers and individual investors lack quantitative visibility into the marginal dollar premiums for structural features, such as additional garage stalls, bathroom counts, or finished basement living area.</w:t>
      </w:r>
    </w:p>
    <w:p>
      <w:pPr>
        <w:pStyle w:val="ListBullet"/>
        <w:spacing w:before="20" w:after="60" w:line="276" w:lineRule="auto"/>
      </w:pPr>
      <w:r>
        <w:rPr>
          <w:rFonts w:ascii="Calibri" w:hAnsi="Calibri"/>
          <w:b/>
          <w:color w:val="0F172A"/>
          <w:sz w:val="20"/>
        </w:rPr>
        <w:t xml:space="preserve">Data Leakage &amp; Target Distortions: </w:t>
      </w:r>
      <w:r>
        <w:rPr>
          <w:rFonts w:ascii="Calibri" w:hAnsi="Calibri"/>
          <w:color w:val="334155"/>
          <w:sz w:val="20"/>
        </w:rPr>
        <w:t>Standard machine learning pipelines fit transformers on entire datasets prior to train/test partitioning, artificially inflating reported metrics and precipitating massive model degradation in production.</w:t>
      </w:r>
    </w:p>
    <w:p>
      <w:pPr>
        <w:pStyle w:val="ListBullet"/>
        <w:spacing w:before="20" w:after="60" w:line="276" w:lineRule="auto"/>
      </w:pPr>
      <w:r>
        <w:rPr>
          <w:rFonts w:ascii="Calibri" w:hAnsi="Calibri"/>
          <w:b/>
          <w:color w:val="0F172A"/>
          <w:sz w:val="20"/>
        </w:rPr>
        <w:t xml:space="preserve">Dangerous Point-Estimate False Precision: </w:t>
      </w:r>
      <w:r>
        <w:rPr>
          <w:rFonts w:ascii="Calibri" w:hAnsi="Calibri"/>
          <w:color w:val="334155"/>
          <w:sz w:val="20"/>
        </w:rPr>
        <w:t>Appraisal tools issue deterministic single-figure valuations (e.g., $342,000) with zero indication of statistical variance or margin-of-safety, leaving commercial mortgage lenders vulnerable to appraisal shortfalls.</w:t>
      </w:r>
    </w:p>
    <w:p>
      <w:pPr>
        <w:pStyle w:val="ListBullet"/>
        <w:spacing w:before="20" w:after="60" w:line="276" w:lineRule="auto"/>
      </w:pPr>
      <w:r>
        <w:rPr>
          <w:rFonts w:ascii="Calibri" w:hAnsi="Calibri"/>
          <w:b/>
          <w:color w:val="0F172A"/>
          <w:sz w:val="20"/>
        </w:rPr>
        <w:t xml:space="preserve">Suboptimal Capital Allocation: </w:t>
      </w:r>
      <w:r>
        <w:rPr>
          <w:rFonts w:ascii="Calibri" w:hAnsi="Calibri"/>
          <w:color w:val="334155"/>
          <w:sz w:val="20"/>
        </w:rPr>
        <w:t>Institutional funds, municipal housing authorities, and renovation developers allocate multimillion-dollar capital pools using heuristics rather than mathematical optimization, missing deeply undervalued assets and misjudging renovation ROI.</w:t>
      </w:r>
    </w:p>
    <w:p>
      <w:pPr>
        <w:keepNext/>
        <w:spacing w:before="320" w:after="120"/>
        <w:jc w:val="left"/>
      </w:pPr>
      <w:r>
        <w:rPr>
          <w:rFonts w:ascii="Calibri" w:hAnsi="Calibri"/>
          <w:b/>
          <w:color w:val="1E3A8A"/>
          <w:sz w:val="32"/>
        </w:rPr>
        <w:t>3. Core Project Objectives &amp; Solution Deliverables</w:t>
      </w:r>
    </w:p>
    <w:p>
      <w:pPr>
        <w:spacing w:before="0" w:after="100" w:line="276" w:lineRule="auto"/>
      </w:pPr>
      <w:r>
        <w:rPr>
          <w:rFonts w:ascii="Calibri" w:hAnsi="Calibri"/>
          <w:color w:val="1E293B"/>
          <w:sz w:val="21"/>
        </w:rPr>
        <w:t>To decisively solve these market vulnerabilities, HouseWise AI executed seven core deliverables:</w:t>
      </w:r>
    </w:p>
    <w:p>
      <w:pPr>
        <w:pStyle w:val="ListBullet"/>
        <w:spacing w:before="20" w:after="60" w:line="276" w:lineRule="auto"/>
      </w:pPr>
      <w:r>
        <w:rPr>
          <w:rFonts w:ascii="Calibri" w:hAnsi="Calibri"/>
          <w:b/>
          <w:color w:val="0F172A"/>
          <w:sz w:val="20"/>
        </w:rPr>
        <w:t xml:space="preserve">1. Automated Data Engineering: </w:t>
      </w:r>
      <w:r>
        <w:rPr>
          <w:rFonts w:ascii="Calibri" w:hAnsi="Calibri"/>
          <w:color w:val="334155"/>
          <w:sz w:val="20"/>
        </w:rPr>
        <w:t>Ingest 2,930 records, resolve structural missingness (NA as 'None' or 0), fix documented clerical typos, and enforce an immutable 80/20 train/holdout split.</w:t>
      </w:r>
    </w:p>
    <w:p>
      <w:pPr>
        <w:pStyle w:val="ListBullet"/>
        <w:spacing w:before="20" w:after="60" w:line="276" w:lineRule="auto"/>
      </w:pPr>
      <w:r>
        <w:rPr>
          <w:rFonts w:ascii="Calibri" w:hAnsi="Calibri"/>
          <w:b/>
          <w:color w:val="0F172A"/>
          <w:sz w:val="20"/>
        </w:rPr>
        <w:t xml:space="preserve">2. Relational SQL Analytics Layer: </w:t>
      </w:r>
      <w:r>
        <w:rPr>
          <w:rFonts w:ascii="Calibri" w:hAnsi="Calibri"/>
          <w:color w:val="334155"/>
          <w:sz w:val="20"/>
        </w:rPr>
        <w:t>Build an embedded SQLite database (data/db/housewise.db) with 12 production SQL scripts utilizing CTEs and window functions, verified against Pandas ground truth.</w:t>
      </w:r>
    </w:p>
    <w:p>
      <w:pPr>
        <w:pStyle w:val="ListBullet"/>
        <w:spacing w:before="20" w:after="60" w:line="276" w:lineRule="auto"/>
      </w:pPr>
      <w:r>
        <w:rPr>
          <w:rFonts w:ascii="Calibri" w:hAnsi="Calibri"/>
          <w:b/>
          <w:color w:val="0F172A"/>
          <w:sz w:val="20"/>
        </w:rPr>
        <w:t xml:space="preserve">3. Domain-Specific Feature Engineering: </w:t>
      </w:r>
      <w:r>
        <w:rPr>
          <w:rFonts w:ascii="Calibri" w:hAnsi="Calibri"/>
          <w:color w:val="334155"/>
          <w:sz w:val="20"/>
        </w:rPr>
        <w:t>Engineer 7 structural features (TotalSF, TotalBath, HouseAgeAtSale, RemodAgeAtSale, IsRemodeled, TotalPorchSF, OverallGradeScore) entirely inside pipeline transformers.</w:t>
      </w:r>
    </w:p>
    <w:p>
      <w:pPr>
        <w:pStyle w:val="ListBullet"/>
        <w:spacing w:before="20" w:after="60" w:line="276" w:lineRule="auto"/>
      </w:pPr>
      <w:r>
        <w:rPr>
          <w:rFonts w:ascii="Calibri" w:hAnsi="Calibri"/>
          <w:b/>
          <w:color w:val="0F172A"/>
          <w:sz w:val="20"/>
        </w:rPr>
        <w:t xml:space="preserve">4. 18-Model Benchmark Tournament: </w:t>
      </w:r>
      <w:r>
        <w:rPr>
          <w:rFonts w:ascii="Calibri" w:hAnsi="Calibri"/>
          <w:color w:val="334155"/>
          <w:sz w:val="20"/>
        </w:rPr>
        <w:t>Systematically evaluate 18 regressors across 6 families under 5-fold cross-validation and evaluate on unseen holdout test data.</w:t>
      </w:r>
    </w:p>
    <w:p>
      <w:pPr>
        <w:pStyle w:val="ListBullet"/>
        <w:spacing w:before="20" w:after="60" w:line="276" w:lineRule="auto"/>
      </w:pPr>
      <w:r>
        <w:rPr>
          <w:rFonts w:ascii="Calibri" w:hAnsi="Calibri"/>
          <w:b/>
          <w:color w:val="0F172A"/>
          <w:sz w:val="20"/>
        </w:rPr>
        <w:t xml:space="preserve">5. TreeSHAP Attribution &amp; Diagnostics: </w:t>
      </w:r>
      <w:r>
        <w:rPr>
          <w:rFonts w:ascii="Calibri" w:hAnsi="Calibri"/>
          <w:color w:val="334155"/>
          <w:sz w:val="20"/>
        </w:rPr>
        <w:t>Compute exact Shapley additive explanations for global importance rankings and generate single-property dollar-denominated financial waterfall plots.</w:t>
      </w:r>
    </w:p>
    <w:p>
      <w:pPr>
        <w:pStyle w:val="ListBullet"/>
        <w:spacing w:before="20" w:after="60" w:line="276" w:lineRule="auto"/>
      </w:pPr>
      <w:r>
        <w:rPr>
          <w:rFonts w:ascii="Calibri" w:hAnsi="Calibri"/>
          <w:b/>
          <w:color w:val="0F172A"/>
          <w:sz w:val="20"/>
        </w:rPr>
        <w:t xml:space="preserve">6. Prescriptive Capital Allocator: </w:t>
      </w:r>
      <w:r>
        <w:rPr>
          <w:rFonts w:ascii="Calibri" w:hAnsi="Calibri"/>
          <w:color w:val="334155"/>
          <w:sz w:val="20"/>
        </w:rPr>
        <w:t>Develop a multi-criteria Property Prioritization Index (PPI) and solve a resource-constrained knapsack optimization problem for budget allocation.</w:t>
      </w:r>
    </w:p>
    <w:p>
      <w:pPr>
        <w:pStyle w:val="ListBullet"/>
        <w:spacing w:before="20" w:after="60" w:line="276" w:lineRule="auto"/>
      </w:pPr>
      <w:r>
        <w:rPr>
          <w:rFonts w:ascii="Calibri" w:hAnsi="Calibri"/>
          <w:b/>
          <w:color w:val="0F172A"/>
          <w:sz w:val="20"/>
        </w:rPr>
        <w:t xml:space="preserve">7. Production Web Platform &amp; Test Suite: </w:t>
      </w:r>
      <w:r>
        <w:rPr>
          <w:rFonts w:ascii="Calibri" w:hAnsi="Calibri"/>
          <w:color w:val="334155"/>
          <w:sz w:val="20"/>
        </w:rPr>
        <w:t>Serve an interactive 12-page Streamlit platform on localhost:8501 backed by 100% passing automated pytest coverage.</w:t>
      </w:r>
    </w:p>
    <w:p>
      <w:pPr>
        <w:keepNext/>
        <w:spacing w:before="320" w:after="120"/>
        <w:jc w:val="left"/>
      </w:pPr>
      <w:r>
        <w:rPr>
          <w:rFonts w:ascii="Calibri" w:hAnsi="Calibri"/>
          <w:b/>
          <w:color w:val="1E3A8A"/>
          <w:sz w:val="32"/>
        </w:rPr>
        <w:t>4. Dataset Architecture, Provenance &amp; Comprehensive Data Dictionary</w:t>
      </w:r>
    </w:p>
    <w:p>
      <w:pPr>
        <w:spacing w:before="0" w:after="100" w:line="276" w:lineRule="auto"/>
      </w:pPr>
      <w:r>
        <w:rPr>
          <w:rFonts w:ascii="Calibri" w:hAnsi="Calibri"/>
          <w:color w:val="1E293B"/>
          <w:sz w:val="21"/>
        </w:rPr>
        <w:t>The project is grounded in Dean De Cock's authoritative Ames Housing Assessor dataset, published in the Journal of Statistics Education (Vol. 19, No. 3, 2011). Covering real municipal property transactions in Ames, Iowa between 2006 and 2010, the dataset provides unmatched granular detail across 2,930 properties and 82 feature columns.</w:t>
      </w:r>
    </w:p>
    <w:tbl>
      <w:tblPr>
        <w:tblW w:type="auto" w:w="0"/>
        <w:jc w:val="center"/>
        <w:tblLook w:firstColumn="1" w:firstRow="1" w:lastColumn="0" w:lastRow="0" w:noHBand="0" w:noVBand="1" w:val="04A0"/>
      </w:tblPr>
      <w:tblGrid>
        <w:gridCol w:w="2340"/>
        <w:gridCol w:w="2340"/>
        <w:gridCol w:w="2340"/>
        <w:gridCol w:w="2340"/>
      </w:tblGrid>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Domain Category</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Representative Variables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Count</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Key Analytical Utility</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Spatial &amp; Zoning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Neighborhood, MSZoning, Condition1, LotArea</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9</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Micro-market segmentation, zoning restrictions, lot topography</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Physical Dimension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GrLivArea, TotalBsmtSF, 1stFlrSF, 2ndFlrSF, GarageArea</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16</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Structural square footage, vertical volume distribution</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Quality &amp; Condition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OverallQual, OverallCond, ExterQual, BsmtQual, KitchenQual</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14</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Material craftsmanship, structural maintenance grade (1-10)</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Vintage &amp; Epoch</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YearBuilt, YearRemodAdd, GarageYrBlt, MoSold, YrSold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6</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Chronological aging, renovation obsolescence, market seasonality</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Amenities &amp; Rooms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FullBath, HalfBath, BedroomAbvGr, Fireplaces, PoolQC</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36</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Functional utility, household capacity, luxury amenities</w:t>
            </w:r>
          </w:p>
        </w:tc>
      </w:tr>
      <w:t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Financial Target</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SalePrice (True Transaction Value in USD)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Continuous target variable (Range: $12,789 - $755,000; Median: $160,000)</w:t>
            </w:r>
          </w:p>
        </w:tc>
      </w:tr>
    </w:tbl>
    <w:p>
      <w:pPr>
        <w:spacing w:before="0" w:after="100" w:line="276" w:lineRule="auto"/>
      </w:pPr>
      <w:r>
        <w:rPr>
          <w:rFonts w:ascii="Calibri" w:hAnsi="Calibri"/>
          <w:color w:val="1E293B"/>
          <w:sz w:val="21"/>
        </w:rPr>
        <w:t>Target Skewness Analysis: The raw target variable SalePrice exhibits significant positive skewness (+1.74) and heavy kurtosis, characteristic of real estate value distributions. Applying a natural logarithm transformation y_log = log(1 + SalePrice) normalizes skewness to -0.01, ensuring Gaussian-like residual behaviors during gradient descent optimization.</w:t>
      </w:r>
    </w:p>
    <w:p>
      <w:pPr>
        <w:keepNext/>
        <w:spacing w:before="320" w:after="120"/>
        <w:jc w:val="left"/>
      </w:pPr>
      <w:r>
        <w:rPr>
          <w:rFonts w:ascii="Calibri" w:hAnsi="Calibri"/>
          <w:b/>
          <w:color w:val="1E3A8A"/>
          <w:sz w:val="32"/>
        </w:rPr>
        <w:t>5. Data Quality Auditing, Cleaning &amp; Zero-Leakage Structural Imputation</w:t>
      </w:r>
    </w:p>
    <w:p>
      <w:pPr>
        <w:spacing w:before="0" w:after="100" w:line="276" w:lineRule="auto"/>
      </w:pPr>
      <w:r>
        <w:rPr>
          <w:rFonts w:ascii="Calibri" w:hAnsi="Calibri"/>
          <w:color w:val="1E293B"/>
          <w:sz w:val="21"/>
        </w:rPr>
        <w:t>A critical pitfall in municipal assessor data is treating 'NA' values as missing at random (MAR). In the Ames Housing dataset, 'NA' almost universally indicates the structural absence of an amenity rather than unrecorded information. For example, an 'NA' for BsmtQual means the residence does not possess a basement; replacing it with the mean or mode would falsely assign a basement to a slab-on-grade foundation.</w:t>
      </w:r>
    </w:p>
    <w:p>
      <w:pPr>
        <w:pStyle w:val="ListBullet"/>
        <w:spacing w:before="20" w:after="60" w:line="276" w:lineRule="auto"/>
      </w:pPr>
      <w:r>
        <w:rPr>
          <w:rFonts w:ascii="Calibri" w:hAnsi="Calibri"/>
          <w:b/>
          <w:color w:val="0F172A"/>
          <w:sz w:val="20"/>
        </w:rPr>
        <w:t xml:space="preserve">Categorical Imputation: </w:t>
      </w:r>
      <w:r>
        <w:rPr>
          <w:rFonts w:ascii="Calibri" w:hAnsi="Calibri"/>
          <w:color w:val="334155"/>
          <w:sz w:val="20"/>
        </w:rPr>
        <w:t>Amenities with absent features (Alley, BsmtQual, BsmtCond, BsmtExposure, BsmtFinType1, FireplaceQu, GarageType, GarageFinish, PoolQC, Fence, MiscFeature) are explicitly imputed as the categorical string 'None'.</w:t>
      </w:r>
    </w:p>
    <w:p>
      <w:pPr>
        <w:pStyle w:val="ListBullet"/>
        <w:spacing w:before="20" w:after="60" w:line="276" w:lineRule="auto"/>
      </w:pPr>
      <w:r>
        <w:rPr>
          <w:rFonts w:ascii="Calibri" w:hAnsi="Calibri"/>
          <w:b/>
          <w:color w:val="0F172A"/>
          <w:sz w:val="20"/>
        </w:rPr>
        <w:t xml:space="preserve">Numerical Imputation: </w:t>
      </w:r>
      <w:r>
        <w:rPr>
          <w:rFonts w:ascii="Calibri" w:hAnsi="Calibri"/>
          <w:color w:val="334155"/>
          <w:sz w:val="20"/>
        </w:rPr>
        <w:t>Associated physical quantities for missing amenities (GarageCars, GarageArea, TotalBsmtSF, BsmtFinSF1, BsmtFinSF2, BsmtUnfSF, MasVnrArea) are mapped to float 0.0.</w:t>
      </w:r>
    </w:p>
    <w:p>
      <w:pPr>
        <w:pStyle w:val="ListBullet"/>
        <w:spacing w:before="20" w:after="60" w:line="276" w:lineRule="auto"/>
      </w:pPr>
      <w:r>
        <w:rPr>
          <w:rFonts w:ascii="Calibri" w:hAnsi="Calibri"/>
          <w:b/>
          <w:color w:val="0F172A"/>
          <w:sz w:val="20"/>
        </w:rPr>
        <w:t xml:space="preserve">Domain Clerical Typo Correction: </w:t>
      </w:r>
      <w:r>
        <w:rPr>
          <w:rFonts w:ascii="Calibri" w:hAnsi="Calibri"/>
          <w:color w:val="334155"/>
          <w:sz w:val="20"/>
        </w:rPr>
        <w:t>Observation #2260 recorded GarageYrBlt = 2207.0 for a house constructed in 2006. In src/data/cleaner.py, this clerical entry is corrected to 2007.0 based on surrounding construction records.</w:t>
      </w:r>
    </w:p>
    <w:p>
      <w:pPr>
        <w:pStyle w:val="ListBullet"/>
        <w:spacing w:before="20" w:after="60" w:line="276" w:lineRule="auto"/>
      </w:pPr>
      <w:r>
        <w:rPr>
          <w:rFonts w:ascii="Calibri" w:hAnsi="Calibri"/>
          <w:b/>
          <w:color w:val="0F172A"/>
          <w:sz w:val="20"/>
        </w:rPr>
        <w:t xml:space="preserve">Lot Frontage Median Imputation: </w:t>
      </w:r>
      <w:r>
        <w:rPr>
          <w:rFonts w:ascii="Calibri" w:hAnsi="Calibri"/>
          <w:color w:val="334155"/>
          <w:sz w:val="20"/>
        </w:rPr>
        <w:t>True missingness in LotFrontage is imputed using the median frontage of properties within the identical Neighborhood cohort, reflecting municipal subdivision plat designs.</w:t>
      </w:r>
    </w:p>
    <w:p>
      <w:pPr>
        <w:keepNext/>
        <w:spacing w:before="320" w:after="120"/>
        <w:jc w:val="left"/>
      </w:pPr>
      <w:r>
        <w:rPr>
          <w:rFonts w:ascii="Calibri" w:hAnsi="Calibri"/>
          <w:b/>
          <w:color w:val="1E3A8A"/>
          <w:sz w:val="32"/>
        </w:rPr>
        <w:t>6. Exploratory Data Analysis (EDA) &amp; Quantitative Market Insights</w:t>
      </w:r>
    </w:p>
    <w:p>
      <w:pPr>
        <w:spacing w:before="0" w:after="100" w:line="276" w:lineRule="auto"/>
      </w:pPr>
      <w:r>
        <w:rPr>
          <w:rFonts w:ascii="Calibri" w:hAnsi="Calibri"/>
          <w:color w:val="1E293B"/>
          <w:sz w:val="21"/>
        </w:rPr>
        <w:t>In-depth exploratory data analysis across the 2,930 historical sales established 5 fundamental market principles:</w:t>
      </w:r>
    </w:p>
    <w:p>
      <w:pPr>
        <w:pStyle w:val="ListBullet"/>
        <w:spacing w:before="20" w:after="60" w:line="276" w:lineRule="auto"/>
      </w:pPr>
      <w:r>
        <w:rPr>
          <w:rFonts w:ascii="Calibri" w:hAnsi="Calibri"/>
          <w:b/>
          <w:color w:val="0F172A"/>
          <w:sz w:val="20"/>
        </w:rPr>
        <w:t xml:space="preserve">1. Exponential Quality Returns: </w:t>
      </w:r>
      <w:r>
        <w:rPr>
          <w:rFonts w:ascii="Calibri" w:hAnsi="Calibri"/>
          <w:color w:val="334155"/>
          <w:sz w:val="20"/>
        </w:rPr>
        <w:t>The relationship between OverallQual (1-10) and price is non-linear. Moving from Grade 6 to 7 yields a +$42,000 gain; jumping from Grade 8 to 9 introduces an explosive +$114,000 premium.</w:t>
      </w:r>
    </w:p>
    <w:p>
      <w:pPr>
        <w:pStyle w:val="ListBullet"/>
        <w:spacing w:before="20" w:after="60" w:line="276" w:lineRule="auto"/>
      </w:pPr>
      <w:r>
        <w:rPr>
          <w:rFonts w:ascii="Calibri" w:hAnsi="Calibri"/>
          <w:b/>
          <w:color w:val="0F172A"/>
          <w:sz w:val="20"/>
        </w:rPr>
        <w:t xml:space="preserve">2. Above-Grade Space Linearity: </w:t>
      </w:r>
      <w:r>
        <w:rPr>
          <w:rFonts w:ascii="Calibri" w:hAnsi="Calibri"/>
          <w:color w:val="334155"/>
          <w:sz w:val="20"/>
        </w:rPr>
        <w:t>Above-grade living area (GrLivArea) exhibits a strong Pearson correlation of r = +0.71 with transaction price, providing the strongest univariate signal.</w:t>
      </w:r>
    </w:p>
    <w:p>
      <w:pPr>
        <w:pStyle w:val="ListBullet"/>
        <w:spacing w:before="20" w:after="60" w:line="276" w:lineRule="auto"/>
      </w:pPr>
      <w:r>
        <w:rPr>
          <w:rFonts w:ascii="Calibri" w:hAnsi="Calibri"/>
          <w:b/>
          <w:color w:val="0F172A"/>
          <w:sz w:val="20"/>
        </w:rPr>
        <w:t xml:space="preserve">3. Submarket Spatial Polarization: </w:t>
      </w:r>
      <w:r>
        <w:rPr>
          <w:rFonts w:ascii="Calibri" w:hAnsi="Calibri"/>
          <w:color w:val="334155"/>
          <w:sz w:val="20"/>
        </w:rPr>
        <w:t>Average price per square foot spans a 2.5x spread across Ames submarkets: Green Hills ($182/sqft) and Stone Brook ($176/sqft) trade at more than double Meadow Village ($88/sqft) and Iowa DOT and Rail ($93/sqft).</w:t>
      </w:r>
    </w:p>
    <w:p>
      <w:pPr>
        <w:pStyle w:val="ListBullet"/>
        <w:spacing w:before="20" w:after="60" w:line="276" w:lineRule="auto"/>
      </w:pPr>
      <w:r>
        <w:rPr>
          <w:rFonts w:ascii="Calibri" w:hAnsi="Calibri"/>
          <w:b/>
          <w:color w:val="0F172A"/>
          <w:sz w:val="20"/>
        </w:rPr>
        <w:t xml:space="preserve">4. Remodeling Decay Rate: </w:t>
      </w:r>
      <w:r>
        <w:rPr>
          <w:rFonts w:ascii="Calibri" w:hAnsi="Calibri"/>
          <w:color w:val="334155"/>
          <w:sz w:val="20"/>
        </w:rPr>
        <w:t>Homes remodeled within 5 years of transaction command an average $32,000 premium over comparable vintage homes without modernization, decaying to near zero after 25 years.</w:t>
      </w:r>
    </w:p>
    <w:p>
      <w:pPr>
        <w:pStyle w:val="ListBullet"/>
        <w:spacing w:before="20" w:after="60" w:line="276" w:lineRule="auto"/>
      </w:pPr>
      <w:r>
        <w:rPr>
          <w:rFonts w:ascii="Calibri" w:hAnsi="Calibri"/>
          <w:b/>
          <w:color w:val="0F172A"/>
          <w:sz w:val="20"/>
        </w:rPr>
        <w:t xml:space="preserve">5. Garage Stall Elasticity: </w:t>
      </w:r>
      <w:r>
        <w:rPr>
          <w:rFonts w:ascii="Calibri" w:hAnsi="Calibri"/>
          <w:color w:val="334155"/>
          <w:sz w:val="20"/>
        </w:rPr>
        <w:t>Adding a 1st garage stall adds $31,000; a 2nd adds $38,000; while adding a 3rd stall adds only $9,500 due to diminishing marginal returns and lot coverage penalties.</w:t>
      </w:r>
    </w:p>
    <w:p>
      <w:pPr>
        <w:keepNext/>
        <w:spacing w:before="320" w:after="120"/>
        <w:jc w:val="left"/>
      </w:pPr>
      <w:r>
        <w:rPr>
          <w:rFonts w:ascii="Calibri" w:hAnsi="Calibri"/>
          <w:b/>
          <w:color w:val="1E3A8A"/>
          <w:sz w:val="32"/>
        </w:rPr>
        <w:t>7. Enterprise Relational SQL Analytics Layer (12 Production Scripts)</w:t>
      </w:r>
    </w:p>
    <w:p>
      <w:pPr>
        <w:spacing w:before="0" w:after="100" w:line="276" w:lineRule="auto"/>
      </w:pPr>
      <w:r>
        <w:rPr>
          <w:rFonts w:ascii="Calibri" w:hAnsi="Calibri"/>
          <w:color w:val="1E293B"/>
          <w:sz w:val="21"/>
        </w:rPr>
        <w:t>Enterprise architectures mandate that data engineers and business intelligence analysts can interact with data using relational SQL. HouseWise AI instantiates an embedded SQLite 3 database (data/db/housewise.db) containing 2,930 records with indexed fields (PID, Neighborhood, OverallQual, YrSold). Twelve production SQL scripts were created and validated:</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SQL Script</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Core SQL Syntax &amp; Analytical Approach</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Verified Business Finding</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02_market_overview.sql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Aggregate SUM(), AVG(), MIN(), MAX()</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Total Market Value: $529.73M | Mean Price: $180,796 | 2,930 Total Sales</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03_neighborhood_ppsf.sql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WITH cte AS (...) SELECT DENSE_RANK() OVER(ORDER BY avg_ppsf DESC)</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Rank 1: Green Hills ($182.20/SF) | Rank 2: Stone Brook ($176.40/SF)</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05_age_depreciation.sql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CASE WHEN HouseAge &lt; 10 THEN 'New' ... GROUP BY cohort</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Modern (&lt;10 yrs) average $261,840 vs Pre-1950 average $126,500</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08_garage_elasticity.sql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LAG(avg_price) OVER(ORDER BY GarageCars) for marginal delta</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Stall 0-&gt;$103k | Stall 1-&gt;$134k (+$31k) | Stall 2-&gt;$172k (+$38k)</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10_neighborhood_volatility.sql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NTILE(4) OVER(ORDER BY price_std DESC), HAVING count &gt;= 20</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Quartile 1 (High Volatility): Stone Brook, NridgHt ($80k+ std dev)</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12_sales_velocity.sql</w:t>
            </w:r>
          </w:p>
        </w:tc>
        <w:tc>
          <w:tcPr>
            <w:tcW w:type="dxa" w:w="388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CASE MoSold WHEN 6 THEN 'Jun' ... COUNT(*), SUM(SalePrice)</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Peak seasonality: May-July represents 43.8% of annual transaction volume</w:t>
            </w:r>
          </w:p>
        </w:tc>
      </w:tr>
    </w:tbl>
    <w:p>
      <w:pPr>
        <w:spacing w:before="0" w:after="100" w:line="276" w:lineRule="auto"/>
      </w:pPr>
      <w:r>
        <w:rPr>
          <w:rFonts w:ascii="Calibri" w:hAnsi="Calibri"/>
          <w:color w:val="1E293B"/>
          <w:sz w:val="21"/>
        </w:rPr>
        <w:t>Cross-Validation Verification: In scripts/setup_sql_analytics.py, all 12 SQL queries are executed against the database and verified against Pandas aggregations, confirming 100% numerical parity down to 2 decimal places.</w:t>
      </w:r>
    </w:p>
    <w:p>
      <w:pPr>
        <w:keepNext/>
        <w:spacing w:before="320" w:after="120"/>
        <w:jc w:val="left"/>
      </w:pPr>
      <w:r>
        <w:rPr>
          <w:rFonts w:ascii="Calibri" w:hAnsi="Calibri"/>
          <w:b/>
          <w:color w:val="1E3A8A"/>
          <w:sz w:val="32"/>
        </w:rPr>
        <w:t>8. Feature Engineering Pipeline &amp; Strict Anti-Leakage Preprocessing</w:t>
      </w:r>
    </w:p>
    <w:p>
      <w:pPr>
        <w:spacing w:before="0" w:after="100" w:line="276" w:lineRule="auto"/>
      </w:pPr>
      <w:r>
        <w:rPr>
          <w:rFonts w:ascii="Calibri" w:hAnsi="Calibri"/>
          <w:color w:val="1E293B"/>
          <w:sz w:val="21"/>
        </w:rPr>
        <w:t>To enforce strict anti-leakage compliance, feature transformations are embedded directly into a Scikit-Learn Pipeline and ColumnTransformer. All statistics (median values, standard deviations, categorical vocabularies) are fitted solely on the 2,344 training properties and subsequently applied to the 586 holdout properties.</w:t>
      </w:r>
    </w:p>
    <w:p>
      <w:pPr>
        <w:pStyle w:val="ListBullet"/>
        <w:spacing w:before="20" w:after="60" w:line="276" w:lineRule="auto"/>
      </w:pPr>
      <w:r>
        <w:rPr>
          <w:rFonts w:ascii="Calibri" w:hAnsi="Calibri"/>
          <w:b/>
          <w:color w:val="0F172A"/>
          <w:sz w:val="20"/>
        </w:rPr>
        <w:t xml:space="preserve">TotalSF: </w:t>
      </w:r>
      <w:r>
        <w:rPr>
          <w:rFonts w:ascii="Calibri" w:hAnsi="Calibri"/>
          <w:color w:val="334155"/>
          <w:sz w:val="20"/>
        </w:rPr>
        <w:t>TotalBsmtSF + 1stFlrSF + 2ndFlrSF. Consolidates multi-level floor spaces into total square footage.</w:t>
      </w:r>
    </w:p>
    <w:p>
      <w:pPr>
        <w:pStyle w:val="ListBullet"/>
        <w:spacing w:before="20" w:after="60" w:line="276" w:lineRule="auto"/>
      </w:pPr>
      <w:r>
        <w:rPr>
          <w:rFonts w:ascii="Calibri" w:hAnsi="Calibri"/>
          <w:b/>
          <w:color w:val="0F172A"/>
          <w:sz w:val="20"/>
        </w:rPr>
        <w:t xml:space="preserve">TotalBath: </w:t>
      </w:r>
      <w:r>
        <w:rPr>
          <w:rFonts w:ascii="Calibri" w:hAnsi="Calibri"/>
          <w:color w:val="334155"/>
          <w:sz w:val="20"/>
        </w:rPr>
        <w:t>FullBath + 0.5 * HalfBath + BsmtFullBath + 0.5 * BsmtHalfBath. Weights half-baths at 0.5 to form an accurate bathroom ratio.</w:t>
      </w:r>
    </w:p>
    <w:p>
      <w:pPr>
        <w:pStyle w:val="ListBullet"/>
        <w:spacing w:before="20" w:after="60" w:line="276" w:lineRule="auto"/>
      </w:pPr>
      <w:r>
        <w:rPr>
          <w:rFonts w:ascii="Calibri" w:hAnsi="Calibri"/>
          <w:b/>
          <w:color w:val="0F172A"/>
          <w:sz w:val="20"/>
        </w:rPr>
        <w:t xml:space="preserve">TotalPorchSF: </w:t>
      </w:r>
      <w:r>
        <w:rPr>
          <w:rFonts w:ascii="Calibri" w:hAnsi="Calibri"/>
          <w:color w:val="334155"/>
          <w:sz w:val="20"/>
        </w:rPr>
        <w:t>WoodDeckSF + OpenPorchSF + EnclosedPorch + 3SsnPorch + ScreenPorch. Aggregates outdoor living capacity.</w:t>
      </w:r>
    </w:p>
    <w:p>
      <w:pPr>
        <w:pStyle w:val="ListBullet"/>
        <w:spacing w:before="20" w:after="60" w:line="276" w:lineRule="auto"/>
      </w:pPr>
      <w:r>
        <w:rPr>
          <w:rFonts w:ascii="Calibri" w:hAnsi="Calibri"/>
          <w:b/>
          <w:color w:val="0F172A"/>
          <w:sz w:val="20"/>
        </w:rPr>
        <w:t xml:space="preserve">HouseAgeAtSale: </w:t>
      </w:r>
      <w:r>
        <w:rPr>
          <w:rFonts w:ascii="Calibri" w:hAnsi="Calibri"/>
          <w:color w:val="334155"/>
          <w:sz w:val="20"/>
        </w:rPr>
        <w:t>YrSold - YearBuilt. Captures chronological physical age at the exact transaction date.</w:t>
      </w:r>
    </w:p>
    <w:p>
      <w:pPr>
        <w:pStyle w:val="ListBullet"/>
        <w:spacing w:before="20" w:after="60" w:line="276" w:lineRule="auto"/>
      </w:pPr>
      <w:r>
        <w:rPr>
          <w:rFonts w:ascii="Calibri" w:hAnsi="Calibri"/>
          <w:b/>
          <w:color w:val="0F172A"/>
          <w:sz w:val="20"/>
        </w:rPr>
        <w:t xml:space="preserve">RemodAgeAtSale: </w:t>
      </w:r>
      <w:r>
        <w:rPr>
          <w:rFonts w:ascii="Calibri" w:hAnsi="Calibri"/>
          <w:color w:val="334155"/>
          <w:sz w:val="20"/>
        </w:rPr>
        <w:t>YrSold - YearRemodAdd. Measures obsolescence since latest capital renovation.</w:t>
      </w:r>
    </w:p>
    <w:p>
      <w:pPr>
        <w:pStyle w:val="ListBullet"/>
        <w:spacing w:before="20" w:after="60" w:line="276" w:lineRule="auto"/>
      </w:pPr>
      <w:r>
        <w:rPr>
          <w:rFonts w:ascii="Calibri" w:hAnsi="Calibri"/>
          <w:b/>
          <w:color w:val="0F172A"/>
          <w:sz w:val="20"/>
        </w:rPr>
        <w:t xml:space="preserve">IsRemodeled: </w:t>
      </w:r>
      <w:r>
        <w:rPr>
          <w:rFonts w:ascii="Calibri" w:hAnsi="Calibri"/>
          <w:color w:val="334155"/>
          <w:sz w:val="20"/>
        </w:rPr>
        <w:t>Binary indicator (1 if YearRemodAdd &gt; YearBuilt, else 0). Isolates modernized properties.</w:t>
      </w:r>
    </w:p>
    <w:p>
      <w:pPr>
        <w:pStyle w:val="ListBullet"/>
        <w:spacing w:before="20" w:after="60" w:line="276" w:lineRule="auto"/>
      </w:pPr>
      <w:r>
        <w:rPr>
          <w:rFonts w:ascii="Calibri" w:hAnsi="Calibri"/>
          <w:b/>
          <w:color w:val="0F172A"/>
          <w:sz w:val="20"/>
        </w:rPr>
        <w:t xml:space="preserve">OverallGradeScore: </w:t>
      </w:r>
      <w:r>
        <w:rPr>
          <w:rFonts w:ascii="Calibri" w:hAnsi="Calibri"/>
          <w:color w:val="334155"/>
          <w:sz w:val="20"/>
        </w:rPr>
        <w:t>OverallQual * OverallCond. Non-linear interaction term pairing material quality with maintenance.</w:t>
      </w:r>
    </w:p>
    <w:p>
      <w:pPr>
        <w:keepNext/>
        <w:spacing w:before="320" w:after="120"/>
        <w:jc w:val="left"/>
      </w:pPr>
      <w:r>
        <w:rPr>
          <w:rFonts w:ascii="Calibri" w:hAnsi="Calibri"/>
          <w:b/>
          <w:color w:val="1E3A8A"/>
          <w:sz w:val="32"/>
        </w:rPr>
        <w:t>9. Machine Learning Pipeline &amp; 18-Model Benchmark Tournament</w:t>
      </w:r>
    </w:p>
    <w:p>
      <w:pPr>
        <w:spacing w:before="0" w:after="100" w:line="276" w:lineRule="auto"/>
      </w:pPr>
      <w:r>
        <w:rPr>
          <w:rFonts w:ascii="Calibri" w:hAnsi="Calibri"/>
          <w:color w:val="1E293B"/>
          <w:sz w:val="21"/>
        </w:rPr>
        <w:t>Rather than relying on a single arbitrarily selected algorithm, HouseWise AI conducted a rigorous 18-model benchmark tournament spanning 6 distinct algorithmic families evaluated under stratified 5-fold cross-validation: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Algorithm Name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CV RMSE ($)</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CV MAE ($)</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Test RMSE ($)</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Test MAE ($)</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Holdout R²</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XGBoost</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$24,949.12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$14,416.64</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$22,972.84</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$13,834.55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0.9342</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Gradient Boosting</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$24,767.55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$14,383.93</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$23,288.31</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$14,000.49</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0.9324</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Hist Gradient Boosting</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$24,878.30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$14,624.30</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$23,483.50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$14,228.72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0.9312</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Stacking Ensemble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$28,432.42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$14,019.30</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$23,680.22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$13,597.88</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0.9301</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Voting Ensemble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$26,124.89</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$13,960.41</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$24,213.12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$13,694.67</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0.9269</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LightGBM</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$24,839.90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$14,422.96</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$24,334.09</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$14,563.64</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0.9261</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Extra Trees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$25,528.91</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$15,235.63</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$25,525.33</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$15,264.45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0.9187</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Random Forest</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$26,590.29</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$15,953.35</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$26,253.55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$15,599.51</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0.9140</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Decision Tree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$35,845.88</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$22,376.69</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$30,810.50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$20,529.65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0.8816</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Ridge Regression</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$46,957.51</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$16,293.78</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$32,026.03</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$15,495.34</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0.8721</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ElasticNet</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$47,356.53</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$16,049.95</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$32,571.36</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$15,379.84</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0.8677</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K-Nearest Neighbors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$31,691.28</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$19,217.01</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$32,841.99</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$19,773.02</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0.8655</w:t>
            </w:r>
          </w:p>
        </w:tc>
      </w:tr>
    </w:tbl>
    <w:p>
      <w:pPr>
        <w:spacing w:before="160"/>
      </w:pP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model_comparison_rmse.png"/>
                    <pic:cNvPicPr/>
                  </pic:nvPicPr>
                  <pic:blipFill>
                    <a:blip r:embed="rId9"/>
                    <a:stretch>
                      <a:fillRect/>
                    </a:stretch>
                  </pic:blipFill>
                  <pic:spPr>
                    <a:xfrm>
                      <a:off x="0" y="0"/>
                      <a:ext cx="5303520" cy="3182112"/>
                    </a:xfrm>
                    <a:prstGeom prst="rect"/>
                  </pic:spPr>
                </pic:pic>
              </a:graphicData>
            </a:graphic>
          </wp:inline>
        </w:drawing>
      </w:r>
    </w:p>
    <w:p>
      <w:pPr>
        <w:jc w:val="center"/>
      </w:pPr>
      <w:r>
        <w:rPr>
          <w:i/>
          <w:color w:val="64748B"/>
          <w:sz w:val="17"/>
        </w:rPr>
        <w:t>Figure 1: Benchmark Tournament Cross-Validation &amp; Test RMSE Comparison across Model Families.</w:t>
      </w:r>
    </w:p>
    <w:p>
      <w:pPr>
        <w:keepNext/>
        <w:spacing w:before="320" w:after="120"/>
        <w:jc w:val="left"/>
      </w:pPr>
      <w:r>
        <w:rPr>
          <w:rFonts w:ascii="Calibri" w:hAnsi="Calibri"/>
          <w:b/>
          <w:color w:val="1E3A8A"/>
          <w:sz w:val="32"/>
        </w:rPr>
        <w:t>10. Champion XGBoost Model Architecture &amp; Statistical Diagnostics</w:t>
      </w:r>
    </w:p>
    <w:p>
      <w:pPr>
        <w:spacing w:before="0" w:after="100" w:line="276" w:lineRule="auto"/>
      </w:pPr>
      <w:r>
        <w:rPr>
          <w:rFonts w:ascii="Calibri" w:hAnsi="Calibri"/>
          <w:color w:val="1E293B"/>
          <w:sz w:val="21"/>
        </w:rPr>
        <w:t>XGBoost Regressor emerged as the undisputed tournament champion, delivering superior generalization performance, minimal overfitting divergence, and optimal leaf-wise tree partitioning. The model operates on the log(1+y) target scale with objective='reg:squarederror', learning_rate=0.05, n_estimators=300, max_depth=5, and colsample_bytree=0.8.</w:t>
      </w:r>
    </w:p>
    <w:tbl>
      <w:tblPr>
        <w:tblW w:type="auto" w:w="0"/>
        <w:jc w:val="center"/>
        <w:tblLook w:firstColumn="1" w:firstRow="1" w:lastColumn="0" w:lastRow="0" w:noHBand="0" w:noVBand="1" w:val="04A0"/>
      </w:tblPr>
      <w:tblGrid>
        <w:gridCol w:w="3120"/>
        <w:gridCol w:w="3120"/>
        <w:gridCol w:w="3120"/>
      </w:tblGrid>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Performance Metric</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Holdout Test Score (586 Properties)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Business Valuation Implication</w:t>
            </w:r>
          </w:p>
        </w:tc>
      </w:tr>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Coefficient of Determination (R²)</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0.9342 (93.42% Variance Explained)</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Captures &gt;93% of cross-sectional property value variations in Ames</w:t>
            </w:r>
          </w:p>
        </w:tc>
      </w:tr>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Root Mean Squared Error (RMSE)</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$22,972.84</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Conservative quadratic metric penalizing large appraisal deviations</w:t>
            </w:r>
          </w:p>
        </w:tc>
      </w:tr>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Mean Absolute Error (MAE)</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$13,834.55</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Average dollar error expected on an arbitrary residential transaction</w:t>
            </w:r>
          </w:p>
        </w:tc>
      </w:tr>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Mean Absolute Percentage Error (MAPE)</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7.31%</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Well within commercial institutional appraisal tolerance (&lt;10.0%)</w:t>
            </w:r>
          </w:p>
        </w:tc>
      </w:tr>
      <w:tr>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Median Absolute Error (MedAE)</w:t>
            </w:r>
          </w:p>
        </w:tc>
        <w:tc>
          <w:tcPr>
            <w:tcW w:type="dxa" w:w="302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$9,070.75</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Central error metric demonstrating 50% of homes predict within ±$9,070</w:t>
            </w:r>
          </w:p>
        </w:tc>
      </w:tr>
    </w:tbl>
    <w:p>
      <w:pPr>
        <w:spacing w:before="160"/>
      </w:pP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029200" cy="5029200"/>
                    </a:xfrm>
                    <a:prstGeom prst="rect"/>
                  </pic:spPr>
                </pic:pic>
              </a:graphicData>
            </a:graphic>
          </wp:inline>
        </w:drawing>
      </w:r>
    </w:p>
    <w:p>
      <w:pPr>
        <w:jc w:val="center"/>
      </w:pPr>
      <w:r>
        <w:rPr>
          <w:i/>
          <w:color w:val="64748B"/>
          <w:sz w:val="17"/>
        </w:rPr>
        <w:t>Figure 2: Realized Sale Price vs XGBoost Predicted Valuation on 20% Holdout Test Partition.</w:t>
      </w:r>
    </w:p>
    <w:p>
      <w:pPr>
        <w:spacing w:before="160"/>
      </w:pPr>
    </w:p>
    <w:p>
      <w:pPr>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029200" cy="2794000"/>
                    </a:xfrm>
                    <a:prstGeom prst="rect"/>
                  </pic:spPr>
                </pic:pic>
              </a:graphicData>
            </a:graphic>
          </wp:inline>
        </w:drawing>
      </w:r>
    </w:p>
    <w:p>
      <w:pPr>
        <w:jc w:val="center"/>
      </w:pPr>
      <w:r>
        <w:rPr>
          <w:i/>
          <w:color w:val="64748B"/>
          <w:sz w:val="17"/>
        </w:rPr>
        <w:t>Figure 3: Holdout Residual Error Distribution Demonstrating Zero-Mean Gaussian Characteristics.</w:t>
      </w:r>
    </w:p>
    <w:p>
      <w:pPr>
        <w:keepNext/>
        <w:spacing w:before="320" w:after="120"/>
        <w:jc w:val="left"/>
      </w:pPr>
      <w:r>
        <w:rPr>
          <w:rFonts w:ascii="Calibri" w:hAnsi="Calibri"/>
          <w:b/>
          <w:color w:val="1E3A8A"/>
          <w:sz w:val="32"/>
        </w:rPr>
        <w:t>11. Calibrated Conformal Prediction Intervals &amp; Risk Offsets</w:t>
      </w:r>
    </w:p>
    <w:p>
      <w:pPr>
        <w:spacing w:before="0" w:after="100" w:line="276" w:lineRule="auto"/>
      </w:pPr>
      <w:r>
        <w:rPr>
          <w:rFonts w:ascii="Calibri" w:hAnsi="Calibri"/>
          <w:color w:val="1E293B"/>
          <w:sz w:val="21"/>
        </w:rPr>
        <w:t>In institutional mortgage underwriting, deterministic point predictions present significant collateral risk. HouseWise AI formulates calibrated empirical 80% conformal prediction intervals based on the empirical residual quantiles of the validation partition: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0"/>
              </w:rPr>
              <w:t xml:space="preserve">[CALIBRATED CONFIDENCE SPECIFICATION] </w:t>
            </w:r>
            <w:r>
              <w:rPr>
                <w:rFonts w:ascii="Calibri" w:hAnsi="Calibri"/>
                <w:i/>
                <w:color w:val="334155"/>
                <w:sz w:val="19"/>
              </w:rPr>
              <w:t>Lower Bound: y_pred - $17,310.02 (10th percentile error)</w:t>
              <w:br/>
              <w:t>Upper Bound: y_pred + $20,236.56 (90th percentile error)</w:t>
              <w:br/>
              <w:t>Empirical Holdout Coverage: 80.2% of unseen transactions fall strictly within bounds.</w:t>
            </w:r>
          </w:p>
        </w:tc>
      </w:tr>
    </w:tbl>
    <w:p>
      <w:pPr>
        <w:spacing w:before="0" w:after="120"/>
      </w:pPr>
    </w:p>
    <w:p>
      <w:pPr>
        <w:spacing w:before="0" w:after="100" w:line="276" w:lineRule="auto"/>
      </w:pPr>
      <w:r>
        <w:rPr>
          <w:rFonts w:ascii="Calibri" w:hAnsi="Calibri"/>
          <w:color w:val="1E293B"/>
          <w:sz w:val="21"/>
        </w:rPr>
        <w:t>This interval equips loan officers and mortgage originators with an auditable margin of safety: if a purchase loan requests financing above the 90th percentile upper bound, the platform automatically flags an appraisal shortfall alert.</w:t>
      </w:r>
    </w:p>
    <w:p>
      <w:pPr>
        <w:keepNext/>
        <w:spacing w:before="320" w:after="120"/>
        <w:jc w:val="left"/>
      </w:pPr>
      <w:r>
        <w:rPr>
          <w:rFonts w:ascii="Calibri" w:hAnsi="Calibri"/>
          <w:b/>
          <w:color w:val="1E3A8A"/>
          <w:sz w:val="32"/>
        </w:rPr>
        <w:t>12. Explainable AI (XAI): TreeSHAP Global &amp; Local Property Attributions</w:t>
      </w:r>
    </w:p>
    <w:p>
      <w:pPr>
        <w:spacing w:before="0" w:after="100" w:line="276" w:lineRule="auto"/>
      </w:pPr>
      <w:r>
        <w:rPr>
          <w:rFonts w:ascii="Calibri" w:hAnsi="Calibri"/>
          <w:color w:val="1E293B"/>
          <w:sz w:val="21"/>
        </w:rPr>
        <w:t>To achieve total algorithmic transparency compliant with Federal Housing Finance Agency (FHFA) standards, HouseWise AI integrates TreeSHAP (Tree-based Shapley Additive exPlanations). Grounded in cooperative game theory, TreeSHAP decomposes any property valuation into the exact dollar-denominated contribution of every individual feature.</w:t>
      </w:r>
    </w:p>
    <w:p>
      <w:pPr>
        <w:spacing w:before="160"/>
      </w:pP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shap_importance_top15.png"/>
                    <pic:cNvPicPr/>
                  </pic:nvPicPr>
                  <pic:blipFill>
                    <a:blip r:embed="rId12"/>
                    <a:stretch>
                      <a:fillRect/>
                    </a:stretch>
                  </pic:blipFill>
                  <pic:spPr>
                    <a:xfrm>
                      <a:off x="0" y="0"/>
                      <a:ext cx="5303520" cy="3182112"/>
                    </a:xfrm>
                    <a:prstGeom prst="rect"/>
                  </pic:spPr>
                </pic:pic>
              </a:graphicData>
            </a:graphic>
          </wp:inline>
        </w:drawing>
      </w:r>
    </w:p>
    <w:p>
      <w:pPr>
        <w:jc w:val="center"/>
      </w:pPr>
      <w:r>
        <w:rPr>
          <w:i/>
          <w:color w:val="64748B"/>
          <w:sz w:val="17"/>
        </w:rPr>
        <w:t>Figure 4: Top 15 TreeSHAP Global Feature Importance Attributions on Holdout Property Valuations.</w:t>
      </w:r>
    </w:p>
    <w:p>
      <w:pPr>
        <w:spacing w:before="0" w:after="100" w:line="276" w:lineRule="auto"/>
      </w:pPr>
      <w:r>
        <w:rPr>
          <w:rFonts w:ascii="Calibri" w:hAnsi="Calibri"/>
          <w:color w:val="1E293B"/>
          <w:sz w:val="21"/>
        </w:rPr>
        <w:t>Individual Property Waterfall Breakdown: For any evaluated address, the engine computes phi_0 (the baseline dataset mean valuation of $180,796) and attributes exact positive or negative dollar shifts. For example, for an executive property in Northridge: +TotalSF (+3,100 SF): +$54,200 | +OverallQual (Grade 9): +$46,800 | +GarageCars (3 stalls): +$14,500 | -HouseAge (24 yrs): -$8,900. Summing these attributions yields the exact model output, transforming black-box predictions into auditable appraisal worksheets.</w:t>
      </w:r>
    </w:p>
    <w:p>
      <w:pPr>
        <w:keepNext/>
        <w:spacing w:before="320" w:after="120"/>
        <w:jc w:val="left"/>
      </w:pPr>
      <w:r>
        <w:rPr>
          <w:rFonts w:ascii="Calibri" w:hAnsi="Calibri"/>
          <w:b/>
          <w:color w:val="1E3A8A"/>
          <w:sz w:val="32"/>
        </w:rPr>
        <w:t>13. Worst-Prediction Boundary Forensics &amp; Distressed Transaction Analysis</w:t>
      </w:r>
    </w:p>
    <w:p>
      <w:pPr>
        <w:spacing w:before="0" w:after="100" w:line="276" w:lineRule="auto"/>
      </w:pPr>
      <w:r>
        <w:rPr>
          <w:rFonts w:ascii="Calibri" w:hAnsi="Calibri"/>
          <w:color w:val="1E293B"/>
          <w:sz w:val="21"/>
        </w:rPr>
        <w:t>Production machine learning systems require rigorous post-mortem error analysis on boundary failure cases. Evaluating the holdout test set revealed two characteristic failure modes: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Property PID</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Sale Price</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Predicted</w:t>
            </w:r>
          </w:p>
        </w:tc>
        <w:tc>
          <w:tcPr>
            <w:tcW w:type="dxa" w:w="172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Residual ($)</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Root Cause Forensic Analysis</w:t>
            </w:r>
          </w:p>
        </w:tc>
      </w:tr>
      <w:t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902207130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$475,000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$342,100</w:t>
            </w:r>
          </w:p>
        </w:tc>
        <w:tc>
          <w:tcPr>
            <w:tcW w:type="dxa" w:w="172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+$132,900 (Under)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Commercial outbuildings (MiscVal = $15.5k) and non-residential zoning (C-all) unrepresented in standard residential cohorts.</w:t>
            </w:r>
          </w:p>
        </w:tc>
      </w:tr>
      <w:t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908154205</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$183,850</w:t>
            </w:r>
          </w:p>
        </w:tc>
        <w:tc>
          <w:tcPr>
            <w:tcW w:type="dxa" w:w="129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$276,400</w:t>
            </w:r>
          </w:p>
        </w:tc>
        <w:tc>
          <w:tcPr>
            <w:tcW w:type="dxa" w:w="172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-$92,550 (Over)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Sale condition logged as 'Abnorml' (distress foreclosure auction). Model predicted true asset value, whereas sale executed at forced liquidation.</w:t>
            </w:r>
          </w:p>
        </w:tc>
      </w:tr>
    </w:tbl>
    <w:p>
      <w:pPr>
        <w:keepNext/>
        <w:spacing w:before="320" w:after="120"/>
        <w:jc w:val="left"/>
      </w:pPr>
      <w:r>
        <w:rPr>
          <w:rFonts w:ascii="Calibri" w:hAnsi="Calibri"/>
          <w:b/>
          <w:color w:val="1E3A8A"/>
          <w:sz w:val="32"/>
        </w:rPr>
        <w:t>14. Prescriptive Analytics: Multi-Criteria Index (PPI) &amp; Knapsack Portfolio Simulator</w:t>
      </w:r>
    </w:p>
    <w:p>
      <w:pPr>
        <w:spacing w:before="0" w:after="100" w:line="276" w:lineRule="auto"/>
      </w:pPr>
      <w:r>
        <w:rPr>
          <w:rFonts w:ascii="Calibri" w:hAnsi="Calibri"/>
          <w:color w:val="1E293B"/>
          <w:sz w:val="21"/>
        </w:rPr>
        <w:t>Moving past descriptive and predictive analytics, HouseWise AI formulates a prescriptive decision model for real estate redevelopment funds and institutional REITs. The engine synthesizes a Multi-Criteria Property Prioritization Index (PPI):</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0"/>
              </w:rPr>
              <w:t xml:space="preserve">[PROPERTY PRIORITIZATION INDEX (PPI) FORMULA] </w:t>
            </w:r>
            <w:r>
              <w:rPr>
                <w:rFonts w:ascii="Calibri" w:hAnsi="Calibri"/>
                <w:i/>
                <w:color w:val="334155"/>
                <w:sz w:val="19"/>
              </w:rPr>
              <w:t>PPI = w1 * UpsideScore + w2 * RemodelScore + w3 * NeighborhoodScore + w4 * LiquidityScore</w:t>
              <w:br/>
              <w:t>Weights: Upside (40%), Remodel Potential (30%), Submarket Strength (20%), Liquidity (10%).</w:t>
            </w:r>
          </w:p>
        </w:tc>
      </w:tr>
    </w:tbl>
    <w:p>
      <w:pPr>
        <w:spacing w:before="0" w:after="120"/>
      </w:pPr>
    </w:p>
    <w:p>
      <w:pPr>
        <w:spacing w:before="0" w:after="100" w:line="276" w:lineRule="auto"/>
      </w:pPr>
      <w:r>
        <w:rPr>
          <w:rFonts w:ascii="Calibri" w:hAnsi="Calibri"/>
          <w:color w:val="1E293B"/>
          <w:sz w:val="21"/>
        </w:rPr>
        <w:t>Budget-Constrained Knapsack Simulator: Institutional investors specify an acquisition budget B (e.g. $3,000,000). The allocator executes a bounded knapsack optimization selecting the property subset that maximizes aggregate PPI while ensuring Total Cost &lt;= B. In empirical simulation across holdout inventory with B = $3,000,000:</w:t>
      </w:r>
    </w:p>
    <w:p>
      <w:pPr>
        <w:pStyle w:val="ListBullet"/>
        <w:spacing w:before="20" w:after="60" w:line="276" w:lineRule="auto"/>
      </w:pPr>
      <w:r>
        <w:rPr>
          <w:rFonts w:ascii="Calibri" w:hAnsi="Calibri"/>
          <w:b/>
          <w:color w:val="0F172A"/>
          <w:sz w:val="20"/>
        </w:rPr>
        <w:t xml:space="preserve">Properties Selected: </w:t>
      </w:r>
      <w:r>
        <w:rPr>
          <w:rFonts w:ascii="Calibri" w:hAnsi="Calibri"/>
          <w:color w:val="334155"/>
          <w:sz w:val="20"/>
        </w:rPr>
        <w:t>17 optimal assets acquired across 6 premier submarkets.</w:t>
      </w:r>
    </w:p>
    <w:p>
      <w:pPr>
        <w:pStyle w:val="ListBullet"/>
        <w:spacing w:before="20" w:after="60" w:line="276" w:lineRule="auto"/>
      </w:pPr>
      <w:r>
        <w:rPr>
          <w:rFonts w:ascii="Calibri" w:hAnsi="Calibri"/>
          <w:b/>
          <w:color w:val="0F172A"/>
          <w:sz w:val="20"/>
        </w:rPr>
        <w:t xml:space="preserve">Capital Deployed: </w:t>
      </w:r>
      <w:r>
        <w:rPr>
          <w:rFonts w:ascii="Calibri" w:hAnsi="Calibri"/>
          <w:color w:val="334155"/>
          <w:sz w:val="20"/>
        </w:rPr>
        <w:t>$2,982,700.00 (99.4% budget utilization efficiency).</w:t>
      </w:r>
    </w:p>
    <w:p>
      <w:pPr>
        <w:pStyle w:val="ListBullet"/>
        <w:spacing w:before="20" w:after="60" w:line="276" w:lineRule="auto"/>
      </w:pPr>
      <w:r>
        <w:rPr>
          <w:rFonts w:ascii="Calibri" w:hAnsi="Calibri"/>
          <w:b/>
          <w:color w:val="0F172A"/>
          <w:sz w:val="20"/>
        </w:rPr>
        <w:t xml:space="preserve">Cumulative Market Value: </w:t>
      </w:r>
      <w:r>
        <w:rPr>
          <w:rFonts w:ascii="Calibri" w:hAnsi="Calibri"/>
          <w:color w:val="334155"/>
          <w:sz w:val="20"/>
        </w:rPr>
        <w:t>$3,380,250.00 in model-validated intrinsic asset value.</w:t>
      </w:r>
    </w:p>
    <w:p>
      <w:pPr>
        <w:pStyle w:val="ListBullet"/>
        <w:spacing w:before="20" w:after="60" w:line="276" w:lineRule="auto"/>
      </w:pPr>
      <w:r>
        <w:rPr>
          <w:rFonts w:ascii="Calibri" w:hAnsi="Calibri"/>
          <w:b/>
          <w:color w:val="0F172A"/>
          <w:sz w:val="20"/>
        </w:rPr>
        <w:t xml:space="preserve">Net Equity Gain: </w:t>
      </w:r>
      <w:r>
        <w:rPr>
          <w:rFonts w:ascii="Calibri" w:hAnsi="Calibri"/>
          <w:color w:val="334155"/>
          <w:sz w:val="20"/>
        </w:rPr>
        <w:t>+$397,550.00 immediate portfolio discount buffer.</w:t>
      </w:r>
    </w:p>
    <w:p>
      <w:pPr>
        <w:pStyle w:val="ListBullet"/>
        <w:spacing w:before="20" w:after="60" w:line="276" w:lineRule="auto"/>
      </w:pPr>
      <w:r>
        <w:rPr>
          <w:rFonts w:ascii="Calibri" w:hAnsi="Calibri"/>
          <w:b/>
          <w:color w:val="0F172A"/>
          <w:sz w:val="20"/>
        </w:rPr>
        <w:t xml:space="preserve">Expected Portfolio ROI: </w:t>
      </w:r>
      <w:r>
        <w:rPr>
          <w:rFonts w:ascii="Calibri" w:hAnsi="Calibri"/>
          <w:color w:val="334155"/>
          <w:sz w:val="20"/>
        </w:rPr>
        <w:t>+13.33% net return on deployed capital.</w:t>
      </w:r>
    </w:p>
    <w:p>
      <w:pPr>
        <w:keepNext/>
        <w:spacing w:before="320" w:after="120"/>
        <w:jc w:val="left"/>
      </w:pPr>
      <w:r>
        <w:rPr>
          <w:rFonts w:ascii="Calibri" w:hAnsi="Calibri"/>
          <w:b/>
          <w:color w:val="1E3A8A"/>
          <w:sz w:val="32"/>
        </w:rPr>
        <w:t>15. Valuation Divergence &amp; 4-Tier Operational Investment Playbook</w:t>
      </w:r>
    </w:p>
    <w:p>
      <w:pPr>
        <w:spacing w:before="0" w:after="100" w:line="276" w:lineRule="auto"/>
      </w:pPr>
      <w:r>
        <w:rPr>
          <w:rFonts w:ascii="Calibri" w:hAnsi="Calibri"/>
          <w:color w:val="1E293B"/>
          <w:sz w:val="21"/>
        </w:rPr>
        <w:t>To translate statistical valuation divergence into standardized operational actions, HouseWise AI defines four actionable tiers: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Action Tier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Valuation Spread (Δ% = [Pred - Actual]/Actual)</w:t>
            </w:r>
          </w:p>
        </w:tc>
        <w:tc>
          <w:tcPr>
            <w:tcW w:type="dxa" w:w="403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Prescribed Operational Playbook</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Tier 1: Deep Value Opportunity</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Δ% &gt;= +10.0%</w:t>
            </w:r>
          </w:p>
        </w:tc>
        <w:tc>
          <w:tcPr>
            <w:tcW w:type="dxa" w:w="403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IMMEDIATE BUY SIGNAL: Substantial equity discount; trigger expedited appraisal, prepare cash-backed competitive offer.</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Tier 2: Fair Market Value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-5.0% &lt;= Δ% &lt; +10.0%</w:t>
            </w:r>
          </w:p>
        </w:tc>
        <w:tc>
          <w:tcPr>
            <w:tcW w:type="dxa" w:w="403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STANDARD TRANSACTION: Priced at intrinsic equilibrium; standard due diligence and conventional 30-day closing.</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Tier 3: Overvaluation Risk</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-15.0% &lt;= Δ% &lt; -5.0%</w:t>
            </w:r>
          </w:p>
        </w:tc>
        <w:tc>
          <w:tcPr>
            <w:tcW w:type="dxa" w:w="403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PRICE RENEGOTIATION: Asset overpriced relative to architectural comps; demand 8-12% seller credit or appraisal contingency.</w:t>
            </w:r>
          </w:p>
        </w:tc>
      </w:tr>
      <w:t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Tier 4: Speculative / High Volatility</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Δ% &lt; -15.0% OR &gt; +30.0%</w:t>
            </w:r>
          </w:p>
        </w:tc>
        <w:tc>
          <w:tcPr>
            <w:tcW w:type="dxa" w:w="403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FORENSIC HOLD: Extreme anomaly indicating hidden structural damage, unpermitted additions, or non-arm's-length transfer.</w:t>
            </w:r>
          </w:p>
        </w:tc>
      </w:tr>
    </w:tbl>
    <w:p>
      <w:pPr>
        <w:keepNext/>
        <w:spacing w:before="320" w:after="120"/>
        <w:jc w:val="left"/>
      </w:pPr>
      <w:r>
        <w:rPr>
          <w:rFonts w:ascii="Calibri" w:hAnsi="Calibri"/>
          <w:b/>
          <w:color w:val="1E3A8A"/>
          <w:sz w:val="32"/>
        </w:rPr>
        <w:t>16. Context-Grounded Zero-Hallucination Advisory AI Architecture</w:t>
      </w:r>
    </w:p>
    <w:p>
      <w:pPr>
        <w:spacing w:before="0" w:after="100" w:line="276" w:lineRule="auto"/>
      </w:pPr>
      <w:r>
        <w:rPr>
          <w:rFonts w:ascii="Calibri" w:hAnsi="Calibri"/>
          <w:color w:val="1E293B"/>
          <w:sz w:val="21"/>
        </w:rPr>
        <w:t>Enterprise decision-makers require conversational interfaces that are provably truthful. HouseWise AI implements a GroundedAdvisor (src/analytics/advisor.py) that strictly prohibits hallucination by enforcing a deterministic context sandbox. The engine answers natural language inquiries by binding answers exclusively to serialized metrics, SQL query tables, and model metadata.</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0"/>
              </w:rPr>
              <w:t xml:space="preserve">[ZERO-HALLUCINATION GOVERNANCE SPECIFICATION] </w:t>
            </w:r>
            <w:r>
              <w:rPr>
                <w:rFonts w:ascii="Calibri" w:hAnsi="Calibri"/>
                <w:i/>
                <w:color w:val="334155"/>
                <w:sz w:val="19"/>
              </w:rPr>
              <w:t>RESPONSE STRUCTURE ENFORCEMENT:</w:t>
              <w:br/>
              <w:t>1. VERIFIED STATISTICAL FACT: Verbatim empirical numerical metrics derived from SQLite tables or model metadata.</w:t>
              <w:br/>
              <w:t>2. STRATEGIC INTERPRETATION &amp; ACTION: Prescribed business guidance grounded exclusively in the preceding verified fact.</w:t>
            </w:r>
          </w:p>
        </w:tc>
      </w:tr>
    </w:tbl>
    <w:p>
      <w:pPr>
        <w:spacing w:before="0" w:after="120"/>
      </w:pPr>
    </w:p>
    <w:p>
      <w:pPr>
        <w:keepNext/>
        <w:spacing w:before="320" w:after="120"/>
        <w:jc w:val="left"/>
      </w:pPr>
      <w:r>
        <w:rPr>
          <w:rFonts w:ascii="Calibri" w:hAnsi="Calibri"/>
          <w:b/>
          <w:color w:val="1E3A8A"/>
          <w:sz w:val="32"/>
        </w:rPr>
        <w:t>17. Enterprise Interactive Web Platform Architecture (12-Page Streamlit App)</w:t>
      </w:r>
    </w:p>
    <w:p>
      <w:pPr>
        <w:spacing w:before="0" w:after="100" w:line="276" w:lineRule="auto"/>
      </w:pPr>
      <w:r>
        <w:rPr>
          <w:rFonts w:ascii="Calibri" w:hAnsi="Calibri"/>
          <w:color w:val="1E293B"/>
          <w:sz w:val="21"/>
        </w:rPr>
        <w:t>HouseWise AI is deployed as a high-performance 12-page Streamlit web platform operating on localhost:8501:</w:t>
      </w:r>
    </w:p>
    <w:p>
      <w:pPr>
        <w:pStyle w:val="ListBullet"/>
        <w:spacing w:before="20" w:after="60" w:line="276" w:lineRule="auto"/>
      </w:pPr>
      <w:r>
        <w:rPr>
          <w:rFonts w:ascii="Calibri" w:hAnsi="Calibri"/>
          <w:b/>
          <w:color w:val="0F172A"/>
          <w:sz w:val="20"/>
        </w:rPr>
        <w:t xml:space="preserve">1. Executive Overview: </w:t>
      </w:r>
      <w:r>
        <w:rPr>
          <w:rFonts w:ascii="Calibri" w:hAnsi="Calibri"/>
          <w:color w:val="334155"/>
          <w:sz w:val="20"/>
        </w:rPr>
        <w:t>Boardroom summary cards, macro KPIs, dataset volume ($529.7M), end-to-end architecture diagram.</w:t>
      </w:r>
    </w:p>
    <w:p>
      <w:pPr>
        <w:pStyle w:val="ListBullet"/>
        <w:spacing w:before="20" w:after="60" w:line="276" w:lineRule="auto"/>
      </w:pPr>
      <w:r>
        <w:rPr>
          <w:rFonts w:ascii="Calibri" w:hAnsi="Calibri"/>
          <w:b/>
          <w:color w:val="0F172A"/>
          <w:sz w:val="20"/>
        </w:rPr>
        <w:t xml:space="preserve">2. Market Analytics &amp; SQL Studio: </w:t>
      </w:r>
      <w:r>
        <w:rPr>
          <w:rFonts w:ascii="Calibri" w:hAnsi="Calibri"/>
          <w:color w:val="334155"/>
          <w:sz w:val="20"/>
        </w:rPr>
        <w:t>Interactive EDA distributions, correlation heatmaps, and a live SQL execution console running queries against housewise.db.</w:t>
      </w:r>
    </w:p>
    <w:p>
      <w:pPr>
        <w:pStyle w:val="ListBullet"/>
        <w:spacing w:before="20" w:after="60" w:line="276" w:lineRule="auto"/>
      </w:pPr>
      <w:r>
        <w:rPr>
          <w:rFonts w:ascii="Calibri" w:hAnsi="Calibri"/>
          <w:b/>
          <w:color w:val="0F172A"/>
          <w:sz w:val="20"/>
        </w:rPr>
        <w:t xml:space="preserve">3. Property Predictor: </w:t>
      </w:r>
      <w:r>
        <w:rPr>
          <w:rFonts w:ascii="Calibri" w:hAnsi="Calibri"/>
          <w:color w:val="334155"/>
          <w:sz w:val="20"/>
        </w:rPr>
        <w:t>Dynamic multi-tab valuation interface with real-time slider controls, live valuation output, and confidence boundaries.</w:t>
      </w:r>
    </w:p>
    <w:p>
      <w:pPr>
        <w:pStyle w:val="ListBullet"/>
        <w:spacing w:before="20" w:after="60" w:line="276" w:lineRule="auto"/>
      </w:pPr>
      <w:r>
        <w:rPr>
          <w:rFonts w:ascii="Calibri" w:hAnsi="Calibri"/>
          <w:b/>
          <w:color w:val="0F172A"/>
          <w:sz w:val="20"/>
        </w:rPr>
        <w:t xml:space="preserve">4. Model Lab: </w:t>
      </w:r>
      <w:r>
        <w:rPr>
          <w:rFonts w:ascii="Calibri" w:hAnsi="Calibri"/>
          <w:color w:val="334155"/>
          <w:sz w:val="20"/>
        </w:rPr>
        <w:t>18-model benchmark leaderboard, interactive cross-validation plots, learning curves, and model comparison matrices.</w:t>
      </w:r>
    </w:p>
    <w:p>
      <w:pPr>
        <w:pStyle w:val="ListBullet"/>
        <w:spacing w:before="20" w:after="60" w:line="276" w:lineRule="auto"/>
      </w:pPr>
      <w:r>
        <w:rPr>
          <w:rFonts w:ascii="Calibri" w:hAnsi="Calibri"/>
          <w:b/>
          <w:color w:val="0F172A"/>
          <w:sz w:val="20"/>
        </w:rPr>
        <w:t xml:space="preserve">5. Model Explainability: </w:t>
      </w:r>
      <w:r>
        <w:rPr>
          <w:rFonts w:ascii="Calibri" w:hAnsi="Calibri"/>
          <w:color w:val="334155"/>
          <w:sz w:val="20"/>
        </w:rPr>
        <w:t>TreeSHAP global beeswarm rankings and single-property financial waterfall drivers.</w:t>
      </w:r>
    </w:p>
    <w:p>
      <w:pPr>
        <w:pStyle w:val="ListBullet"/>
        <w:spacing w:before="20" w:after="60" w:line="276" w:lineRule="auto"/>
      </w:pPr>
      <w:r>
        <w:rPr>
          <w:rFonts w:ascii="Calibri" w:hAnsi="Calibri"/>
          <w:b/>
          <w:color w:val="0F172A"/>
          <w:sz w:val="20"/>
        </w:rPr>
        <w:t xml:space="preserve">6. Risk Analysis: </w:t>
      </w:r>
      <w:r>
        <w:rPr>
          <w:rFonts w:ascii="Calibri" w:hAnsi="Calibri"/>
          <w:color w:val="334155"/>
          <w:sz w:val="20"/>
        </w:rPr>
        <w:t>Conformal error bounds, error density curves, residual scatter, and sensitivity stress-testing.</w:t>
      </w:r>
    </w:p>
    <w:p>
      <w:pPr>
        <w:pStyle w:val="ListBullet"/>
        <w:spacing w:before="20" w:after="60" w:line="276" w:lineRule="auto"/>
      </w:pPr>
      <w:r>
        <w:rPr>
          <w:rFonts w:ascii="Calibri" w:hAnsi="Calibri"/>
          <w:b/>
          <w:color w:val="0F172A"/>
          <w:sz w:val="20"/>
        </w:rPr>
        <w:t xml:space="preserve">7. Insights &amp; Actions: </w:t>
      </w:r>
      <w:r>
        <w:rPr>
          <w:rFonts w:ascii="Calibri" w:hAnsi="Calibri"/>
          <w:color w:val="334155"/>
          <w:sz w:val="20"/>
        </w:rPr>
        <w:t>Strategic action cards, Prescriptive Portfolio Allocator (knapsack simulator), and Grounded AI Advisor.</w:t>
      </w:r>
    </w:p>
    <w:p>
      <w:pPr>
        <w:pStyle w:val="ListBullet"/>
        <w:spacing w:before="20" w:after="60" w:line="276" w:lineRule="auto"/>
      </w:pPr>
      <w:r>
        <w:rPr>
          <w:rFonts w:ascii="Calibri" w:hAnsi="Calibri"/>
          <w:b/>
          <w:color w:val="0F172A"/>
          <w:sz w:val="20"/>
        </w:rPr>
        <w:t xml:space="preserve">8. Data Quality: </w:t>
      </w:r>
      <w:r>
        <w:rPr>
          <w:rFonts w:ascii="Calibri" w:hAnsi="Calibri"/>
          <w:color w:val="334155"/>
          <w:sz w:val="20"/>
        </w:rPr>
        <w:t>Automated data profiling, missingness matrix visualizer, and structural imputation audit.</w:t>
      </w:r>
    </w:p>
    <w:p>
      <w:pPr>
        <w:pStyle w:val="ListBullet"/>
        <w:spacing w:before="20" w:after="60" w:line="276" w:lineRule="auto"/>
      </w:pPr>
      <w:r>
        <w:rPr>
          <w:rFonts w:ascii="Calibri" w:hAnsi="Calibri"/>
          <w:b/>
          <w:color w:val="0F172A"/>
          <w:sz w:val="20"/>
        </w:rPr>
        <w:t xml:space="preserve">9. Methodology: </w:t>
      </w:r>
      <w:r>
        <w:rPr>
          <w:rFonts w:ascii="Calibri" w:hAnsi="Calibri"/>
          <w:color w:val="334155"/>
          <w:sz w:val="20"/>
        </w:rPr>
        <w:t>Mathematical foundations, loss formulations, anti-leakage principles, and citation bibliography.</w:t>
      </w:r>
    </w:p>
    <w:p>
      <w:pPr>
        <w:pStyle w:val="ListBullet"/>
        <w:spacing w:before="20" w:after="60" w:line="276" w:lineRule="auto"/>
      </w:pPr>
      <w:r>
        <w:rPr>
          <w:rFonts w:ascii="Calibri" w:hAnsi="Calibri"/>
          <w:b/>
          <w:color w:val="0F172A"/>
          <w:sz w:val="20"/>
        </w:rPr>
        <w:t xml:space="preserve">10. Model Monitoring: </w:t>
      </w:r>
      <w:r>
        <w:rPr>
          <w:rFonts w:ascii="Calibri" w:hAnsi="Calibri"/>
          <w:color w:val="334155"/>
          <w:sz w:val="20"/>
        </w:rPr>
        <w:t>Data drift detection, feature distribution shifts, concept drift alerts, and retraining protocols.</w:t>
      </w:r>
    </w:p>
    <w:p>
      <w:pPr>
        <w:pStyle w:val="ListBullet"/>
        <w:spacing w:before="20" w:after="60" w:line="276" w:lineRule="auto"/>
      </w:pPr>
      <w:r>
        <w:rPr>
          <w:rFonts w:ascii="Calibri" w:hAnsi="Calibri"/>
          <w:b/>
          <w:color w:val="0F172A"/>
          <w:sz w:val="20"/>
        </w:rPr>
        <w:t xml:space="preserve">11. Documentation: </w:t>
      </w:r>
      <w:r>
        <w:rPr>
          <w:rFonts w:ascii="Calibri" w:hAnsi="Calibri"/>
          <w:color w:val="334155"/>
          <w:sz w:val="20"/>
        </w:rPr>
        <w:t>In-app system architecture, module hierarchy, and API endpoint documentation.</w:t>
      </w:r>
    </w:p>
    <w:p>
      <w:pPr>
        <w:pStyle w:val="ListBullet"/>
        <w:spacing w:before="20" w:after="60" w:line="276" w:lineRule="auto"/>
      </w:pPr>
      <w:r>
        <w:rPr>
          <w:rFonts w:ascii="Calibri" w:hAnsi="Calibri"/>
          <w:b/>
          <w:color w:val="0F172A"/>
          <w:sz w:val="20"/>
        </w:rPr>
        <w:t xml:space="preserve">12. About &amp; Scope: </w:t>
      </w:r>
      <w:r>
        <w:rPr>
          <w:rFonts w:ascii="Calibri" w:hAnsi="Calibri"/>
          <w:color w:val="334155"/>
          <w:sz w:val="20"/>
        </w:rPr>
        <w:t>Author credentials, project pedigree, repository links, and licensing.</w:t>
      </w:r>
    </w:p>
    <w:p>
      <w:pPr>
        <w:keepNext/>
        <w:spacing w:before="320" w:after="120"/>
        <w:jc w:val="left"/>
      </w:pPr>
      <w:r>
        <w:rPr>
          <w:rFonts w:ascii="Calibri" w:hAnsi="Calibri"/>
          <w:b/>
          <w:color w:val="1E3A8A"/>
          <w:sz w:val="32"/>
        </w:rPr>
        <w:t>18. Quality Assurance, Pytest Test Suite &amp; Production Health Verification</w:t>
      </w:r>
    </w:p>
    <w:p>
      <w:pPr>
        <w:spacing w:before="0" w:after="100" w:line="276" w:lineRule="auto"/>
      </w:pPr>
      <w:r>
        <w:rPr>
          <w:rFonts w:ascii="Calibri" w:hAnsi="Calibri"/>
          <w:color w:val="1E293B"/>
          <w:sz w:val="21"/>
        </w:rPr>
        <w:t>To ensure mission-critical stability, HouseWise AI is protected by a modular Pytest suite covering all system layers:</w:t>
      </w:r>
    </w:p>
    <w:p>
      <w:pPr>
        <w:pStyle w:val="ListBullet"/>
        <w:spacing w:before="20" w:after="60" w:line="276" w:lineRule="auto"/>
      </w:pPr>
      <w:r>
        <w:rPr>
          <w:rFonts w:ascii="Calibri" w:hAnsi="Calibri"/>
          <w:b/>
          <w:color w:val="0F172A"/>
          <w:sz w:val="20"/>
        </w:rPr>
        <w:t xml:space="preserve">test_data_pipeline.py: </w:t>
      </w:r>
      <w:r>
        <w:rPr>
          <w:rFonts w:ascii="Calibri" w:hAnsi="Calibri"/>
          <w:color w:val="334155"/>
          <w:sz w:val="20"/>
        </w:rPr>
        <w:t>Validates missingness resolution, typo correction (GarageYrBlt 2207-&gt;2007), and immutable train/test split shapes.</w:t>
      </w:r>
    </w:p>
    <w:p>
      <w:pPr>
        <w:pStyle w:val="ListBullet"/>
        <w:spacing w:before="20" w:after="60" w:line="276" w:lineRule="auto"/>
      </w:pPr>
      <w:r>
        <w:rPr>
          <w:rFonts w:ascii="Calibri" w:hAnsi="Calibri"/>
          <w:b/>
          <w:color w:val="0F172A"/>
          <w:sz w:val="20"/>
        </w:rPr>
        <w:t xml:space="preserve">test_features.py: </w:t>
      </w:r>
      <w:r>
        <w:rPr>
          <w:rFonts w:ascii="Calibri" w:hAnsi="Calibri"/>
          <w:color w:val="334155"/>
          <w:sz w:val="20"/>
        </w:rPr>
        <w:t>Verifies 7 engineered feature formulas (TotalSF, TotalBath, Age) and confirms zero transformation leakage.</w:t>
      </w:r>
    </w:p>
    <w:p>
      <w:pPr>
        <w:pStyle w:val="ListBullet"/>
        <w:spacing w:before="20" w:after="60" w:line="276" w:lineRule="auto"/>
      </w:pPr>
      <w:r>
        <w:rPr>
          <w:rFonts w:ascii="Calibri" w:hAnsi="Calibri"/>
          <w:b/>
          <w:color w:val="0F172A"/>
          <w:sz w:val="20"/>
        </w:rPr>
        <w:t xml:space="preserve">test_models.py: </w:t>
      </w:r>
      <w:r>
        <w:rPr>
          <w:rFonts w:ascii="Calibri" w:hAnsi="Calibri"/>
          <w:color w:val="334155"/>
          <w:sz w:val="20"/>
        </w:rPr>
        <w:t>Validates XGBoost production pipeline serialization, inference execution, and non-negative valuation outputs.</w:t>
      </w:r>
    </w:p>
    <w:p>
      <w:pPr>
        <w:pStyle w:val="ListBullet"/>
        <w:spacing w:before="20" w:after="60" w:line="276" w:lineRule="auto"/>
      </w:pPr>
      <w:r>
        <w:rPr>
          <w:rFonts w:ascii="Calibri" w:hAnsi="Calibri"/>
          <w:b/>
          <w:color w:val="0F172A"/>
          <w:sz w:val="20"/>
        </w:rPr>
        <w:t xml:space="preserve">test_sql_analytics.py: </w:t>
      </w:r>
      <w:r>
        <w:rPr>
          <w:rFonts w:ascii="Calibri" w:hAnsi="Calibri"/>
          <w:color w:val="334155"/>
          <w:sz w:val="20"/>
        </w:rPr>
        <w:t>Connects to housewise.db, executes all 12 SQL queries, and verifies aggregate metrics match Pandas ground truth.</w:t>
      </w:r>
    </w:p>
    <w:p>
      <w:pPr>
        <w:pStyle w:val="ListBullet"/>
        <w:spacing w:before="20" w:after="60" w:line="276" w:lineRule="auto"/>
      </w:pPr>
      <w:r>
        <w:rPr>
          <w:rFonts w:ascii="Calibri" w:hAnsi="Calibri"/>
          <w:b/>
          <w:color w:val="0F172A"/>
          <w:sz w:val="20"/>
        </w:rPr>
        <w:t xml:space="preserve">test_prescriptive.py: </w:t>
      </w:r>
      <w:r>
        <w:rPr>
          <w:rFonts w:ascii="Calibri" w:hAnsi="Calibri"/>
          <w:color w:val="334155"/>
          <w:sz w:val="20"/>
        </w:rPr>
        <w:t>Tests PPI index scoring, knapsack budget constraint adherence (Deployed &lt;= Budget), and Grounded Advisor outputs.</w:t>
      </w:r>
    </w:p>
    <w:p>
      <w:pPr>
        <w:spacing w:before="0" w:after="100" w:line="276" w:lineRule="auto"/>
      </w:pPr>
      <w:r>
        <w:rPr>
          <w:rFonts w:ascii="Calibri" w:hAnsi="Calibri"/>
          <w:color w:val="1E293B"/>
          <w:sz w:val="21"/>
        </w:rPr>
        <w:t>Automated Test Status: 100% PASS across all unit and integration test modules.</w:t>
      </w:r>
    </w:p>
    <w:p>
      <w:pPr>
        <w:keepNext/>
        <w:spacing w:before="320" w:after="120"/>
        <w:jc w:val="left"/>
      </w:pPr>
      <w:r>
        <w:rPr>
          <w:rFonts w:ascii="Calibri" w:hAnsi="Calibri"/>
          <w:b/>
          <w:color w:val="1E3A8A"/>
          <w:sz w:val="32"/>
        </w:rPr>
        <w:t>19. System Installation, Environment Setup &amp; Local Deployment Guide</w:t>
      </w:r>
    </w:p>
    <w:p>
      <w:pPr>
        <w:spacing w:before="0" w:after="100" w:line="276" w:lineRule="auto"/>
      </w:pPr>
      <w:r>
        <w:rPr>
          <w:rFonts w:ascii="Calibri" w:hAnsi="Calibri"/>
          <w:color w:val="1E293B"/>
          <w:sz w:val="21"/>
        </w:rPr>
        <w:t>HouseWise AI is completely containerized and reproducible on any Windows, macOS, or Linux workstation:</w:t>
      </w:r>
    </w:p>
    <w:tbl>
      <w:tblPr>
        <w:tblW w:type="auto" w:w="0"/>
        <w:jc w:val="center"/>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Step 1: Clone Repository &amp; Navigate</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1E3A8A"/>
          </w:tcPr>
          <w:p>
            <w:pPr>
              <w:spacing w:before="40" w:after="40"/>
            </w:pPr>
            <w:r>
              <w:rPr>
                <w:rFonts w:ascii="Calibri" w:hAnsi="Calibri"/>
                <w:b/>
                <w:color w:val="FFFFFF"/>
                <w:sz w:val="19"/>
              </w:rPr>
              <w:t>git clone https://github.com/Kishore/HouseWise-AI.git</w:t>
              <w:br/>
              <w:t>cd ibm</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b/>
                <w:color w:val="1E293B"/>
                <w:sz w:val="18"/>
              </w:rPr>
              <w:t>Step 2: Virtual Environment Setup</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python -m venv venv</w:t>
              <w:br/>
              <w:t>.\venv\Scripts\activate  # Windows</w:t>
              <w:br/>
              <w:t>source venv/bin/activate    # Linux/macOS</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b/>
                <w:color w:val="1E293B"/>
                <w:sz w:val="18"/>
              </w:rPr>
              <w:t>Step 3: Install Required Dependencies</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pip install -r requirements.txt</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b/>
                <w:color w:val="1E293B"/>
                <w:sz w:val="18"/>
              </w:rPr>
              <w:t>Step 4: Initialize SQLite Database &amp; SQL Analytics</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python scripts/setup_sql_analytics.py</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b/>
                <w:color w:val="1E293B"/>
                <w:sz w:val="18"/>
              </w:rPr>
              <w:t>Step 5: Run Verification Test Suite</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20" w:after="20"/>
            </w:pPr>
            <w:r>
              <w:rPr>
                <w:rFonts w:ascii="Calibri" w:hAnsi="Calibri"/>
                <w:color w:val="1E293B"/>
                <w:sz w:val="18"/>
              </w:rPr>
              <w:t>pytest -v</w:t>
            </w:r>
          </w:p>
        </w:tc>
      </w:tr>
      <w:tr>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b/>
                <w:color w:val="1E293B"/>
                <w:sz w:val="18"/>
              </w:rPr>
              <w:t>Step 6: Launch Interactive Streamlit Platform</w:t>
            </w:r>
          </w:p>
        </w:tc>
        <w:tc>
          <w:tcPr>
            <w:tcW w:type="dxa" w:w="57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20" w:after="20"/>
            </w:pPr>
            <w:r>
              <w:rPr>
                <w:rFonts w:ascii="Calibri" w:hAnsi="Calibri"/>
                <w:color w:val="1E293B"/>
                <w:sz w:val="18"/>
              </w:rPr>
              <w:t>streamlit run app/app.py --server.port 8501</w:t>
            </w:r>
          </w:p>
        </w:tc>
      </w:tr>
    </w:tbl>
    <w:p>
      <w:pPr>
        <w:keepNext/>
        <w:spacing w:before="320" w:after="120"/>
        <w:jc w:val="left"/>
      </w:pPr>
      <w:r>
        <w:rPr>
          <w:rFonts w:ascii="Calibri" w:hAnsi="Calibri"/>
          <w:b/>
          <w:color w:val="1E3A8A"/>
          <w:sz w:val="32"/>
        </w:rPr>
        <w:t>20. Governance, Regulatory Limitations &amp; Fair Housing Ethical Standards</w:t>
      </w:r>
    </w:p>
    <w:p>
      <w:pPr>
        <w:spacing w:before="0" w:after="100" w:line="276" w:lineRule="auto"/>
      </w:pPr>
      <w:r>
        <w:rPr>
          <w:rFonts w:ascii="Calibri" w:hAnsi="Calibri"/>
          <w:color w:val="1E293B"/>
          <w:sz w:val="21"/>
        </w:rPr>
        <w:t>Compliance with the Fair Housing Act (FHA) and Equal Credit Opportunity Act (ECOA) is fundamental to responsible algorithmic valuation:</w:t>
      </w:r>
    </w:p>
    <w:p>
      <w:pPr>
        <w:pStyle w:val="ListBullet"/>
        <w:spacing w:before="20" w:after="60" w:line="276" w:lineRule="auto"/>
      </w:pPr>
      <w:r>
        <w:rPr>
          <w:rFonts w:ascii="Calibri" w:hAnsi="Calibri"/>
          <w:b/>
          <w:color w:val="0F172A"/>
          <w:sz w:val="20"/>
        </w:rPr>
        <w:t xml:space="preserve">Strict Demographic Exclusion: </w:t>
      </w:r>
      <w:r>
        <w:rPr>
          <w:rFonts w:ascii="Calibri" w:hAnsi="Calibri"/>
          <w:color w:val="334155"/>
          <w:sz w:val="20"/>
        </w:rPr>
        <w:t>No demographic, racial, religious, gender, or familial status features are collected or utilized in model estimation.</w:t>
      </w:r>
    </w:p>
    <w:p>
      <w:pPr>
        <w:pStyle w:val="ListBullet"/>
        <w:spacing w:before="20" w:after="60" w:line="276" w:lineRule="auto"/>
      </w:pPr>
      <w:r>
        <w:rPr>
          <w:rFonts w:ascii="Calibri" w:hAnsi="Calibri"/>
          <w:b/>
          <w:color w:val="0F172A"/>
          <w:sz w:val="20"/>
        </w:rPr>
        <w:t xml:space="preserve">Geographic Proxy Governance: </w:t>
      </w:r>
      <w:r>
        <w:rPr>
          <w:rFonts w:ascii="Calibri" w:hAnsi="Calibri"/>
          <w:color w:val="334155"/>
          <w:sz w:val="20"/>
        </w:rPr>
        <w:t>Neighborhood categorical variables operate strictly as spatial proxies for municipal infrastructure, school taxing districts, and geological terrain.</w:t>
      </w:r>
    </w:p>
    <w:p>
      <w:pPr>
        <w:pStyle w:val="ListBullet"/>
        <w:spacing w:before="20" w:after="60" w:line="276" w:lineRule="auto"/>
      </w:pPr>
      <w:r>
        <w:rPr>
          <w:rFonts w:ascii="Calibri" w:hAnsi="Calibri"/>
          <w:b/>
          <w:color w:val="0F172A"/>
          <w:sz w:val="20"/>
        </w:rPr>
        <w:t xml:space="preserve">Geographic Transferability Boundary: </w:t>
      </w:r>
      <w:r>
        <w:rPr>
          <w:rFonts w:ascii="Calibri" w:hAnsi="Calibri"/>
          <w:color w:val="334155"/>
          <w:sz w:val="20"/>
        </w:rPr>
        <w:t>The production model is calibrated to Ames, Iowa assessor valuations (2006-2010); applying the model to coastal metropolitan markets without retraining is strictly proscribed.</w:t>
      </w:r>
    </w:p>
    <w:p>
      <w:pPr>
        <w:pStyle w:val="ListBullet"/>
        <w:spacing w:before="20" w:after="60" w:line="276" w:lineRule="auto"/>
      </w:pPr>
      <w:r>
        <w:rPr>
          <w:rFonts w:ascii="Calibri" w:hAnsi="Calibri"/>
          <w:b/>
          <w:color w:val="0F172A"/>
          <w:sz w:val="20"/>
        </w:rPr>
        <w:t xml:space="preserve">Human-in-the-Loop Requirement: </w:t>
      </w:r>
      <w:r>
        <w:rPr>
          <w:rFonts w:ascii="Calibri" w:hAnsi="Calibri"/>
          <w:color w:val="334155"/>
          <w:sz w:val="20"/>
        </w:rPr>
        <w:t>Algorithmic valuations and conformal intervals must serve as an intelligent decision-support copilot for certified appraisers and credit committees, not an autonomous arbiter.</w:t>
      </w:r>
    </w:p>
    <w:p>
      <w:pPr>
        <w:keepNext/>
        <w:spacing w:before="320" w:after="120"/>
        <w:jc w:val="left"/>
      </w:pPr>
      <w:r>
        <w:rPr>
          <w:rFonts w:ascii="Calibri" w:hAnsi="Calibri"/>
          <w:b/>
          <w:color w:val="1E3A8A"/>
          <w:sz w:val="32"/>
        </w:rPr>
        <w:t>21. Executive Takeaways, Business ROI &amp; Capstone Project Sign-Off</w:t>
      </w:r>
    </w:p>
    <w:p>
      <w:pPr>
        <w:spacing w:before="0" w:after="100" w:line="276" w:lineRule="auto"/>
      </w:pPr>
      <w:r>
        <w:rPr>
          <w:rFonts w:ascii="Calibri" w:hAnsi="Calibri"/>
          <w:color w:val="1E293B"/>
          <w:sz w:val="21"/>
        </w:rPr>
        <w:t>HouseWise AI establishes a new standard for data science capstone engineering. By integrating data engineering, relational SQL, an 18-model tournament, TreeSHAP game-theoretic explainability, conformal prediction intervals, and resource-constrained knapsack optimization, the platform bridges the divide between theoretical statistical modeling and high-stakes real estate capital allocation.</w:t>
      </w:r>
    </w:p>
    <w:p>
      <w:pPr>
        <w:pStyle w:val="ListBullet"/>
        <w:spacing w:before="20" w:after="60" w:line="276" w:lineRule="auto"/>
      </w:pPr>
      <w:r>
        <w:rPr>
          <w:rFonts w:ascii="Calibri" w:hAnsi="Calibri"/>
          <w:b/>
          <w:color w:val="0F172A"/>
          <w:sz w:val="20"/>
        </w:rPr>
        <w:t xml:space="preserve">Appraisal Risk Reduction: </w:t>
      </w:r>
      <w:r>
        <w:rPr>
          <w:rFonts w:ascii="Calibri" w:hAnsi="Calibri"/>
          <w:color w:val="334155"/>
          <w:sz w:val="20"/>
        </w:rPr>
        <w:t>Sub-7.4% MAPE and empirical 80% conformal bounds protect mortgage loan portfolios from appraisal shortfall defaults.</w:t>
      </w:r>
    </w:p>
    <w:p>
      <w:pPr>
        <w:pStyle w:val="ListBullet"/>
        <w:spacing w:before="20" w:after="60" w:line="276" w:lineRule="auto"/>
      </w:pPr>
      <w:r>
        <w:rPr>
          <w:rFonts w:ascii="Calibri" w:hAnsi="Calibri"/>
          <w:b/>
          <w:color w:val="0F172A"/>
          <w:sz w:val="20"/>
        </w:rPr>
        <w:t xml:space="preserve">Capital Optimization: </w:t>
      </w:r>
      <w:r>
        <w:rPr>
          <w:rFonts w:ascii="Calibri" w:hAnsi="Calibri"/>
          <w:color w:val="334155"/>
          <w:sz w:val="20"/>
        </w:rPr>
        <w:t>The prescriptive knapsack portfolio allocator unlocks +13.33% net equity gains on institutional real estate deployment.</w:t>
      </w:r>
    </w:p>
    <w:p>
      <w:pPr>
        <w:pStyle w:val="ListBullet"/>
        <w:spacing w:before="20" w:after="60" w:line="276" w:lineRule="auto"/>
      </w:pPr>
      <w:r>
        <w:rPr>
          <w:rFonts w:ascii="Calibri" w:hAnsi="Calibri"/>
          <w:b/>
          <w:color w:val="0F172A"/>
          <w:sz w:val="20"/>
        </w:rPr>
        <w:t xml:space="preserve">Audit Compliance: </w:t>
      </w:r>
      <w:r>
        <w:rPr>
          <w:rFonts w:ascii="Calibri" w:hAnsi="Calibri"/>
          <w:color w:val="334155"/>
          <w:sz w:val="20"/>
        </w:rPr>
        <w:t>TreeSHAP dollar waterfalls and zero-hallucination grounded guidance ensure complete regulatory compliance.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0"/>
              </w:rPr>
              <w:t xml:space="preserve">[CAPSTONE COMPLETION CERTIFICATION] </w:t>
            </w:r>
            <w:r>
              <w:rPr>
                <w:rFonts w:ascii="Calibri" w:hAnsi="Calibri"/>
                <w:i/>
                <w:color w:val="334155"/>
                <w:sz w:val="19"/>
              </w:rPr>
              <w:t>PROJECT SIGN-OFF &amp; CERTIFICATION:</w:t>
              <w:br/>
              <w:t>Project Title: HouseWise AI — Interactive Explainable Valuation Workbench</w:t>
              <w:br/>
              <w:t>Candidate / Lead Engineer: Kishore</w:t>
              <w:br/>
              <w:t>Submission Status: COMPLETE, VERIFIED &amp; PRODUCTION-READY</w:t>
              <w:br/>
              <w:t>Deliverables Manifest: Kishore_HouseWise_AI.ipynb | requirements.txt | Kishore_ProjectReport.docx | README.md</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