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5170" w14:textId="77777777" w:rsidR="009C24AD" w:rsidRDefault="004B5640">
      <w:pPr>
        <w:spacing w:line="480" w:lineRule="auto"/>
        <w:rPr>
          <w:rFonts w:ascii="Times New Roman" w:hAnsi="Times New Roman" w:cs="Times New Roman"/>
          <w:b/>
          <w:bCs/>
          <w:sz w:val="32"/>
          <w:szCs w:val="32"/>
        </w:rPr>
      </w:pPr>
      <w:r>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00400B56" w14:textId="77777777" w:rsidR="009C24AD" w:rsidRDefault="004B5640">
      <w:pPr>
        <w:spacing w:line="480" w:lineRule="auto"/>
        <w:rPr>
          <w:rFonts w:ascii="Times New Roman" w:eastAsia="Times New Roman" w:hAnsi="Times New Roman" w:cs="Times New Roman"/>
          <w:color w:val="000000"/>
          <w:sz w:val="28"/>
          <w:szCs w:val="28"/>
          <w:lang w:val="fr-FR" w:eastAsia="en-CA"/>
        </w:rPr>
      </w:pPr>
      <w:proofErr w:type="spellStart"/>
      <w:r>
        <w:rPr>
          <w:rFonts w:ascii="Times New Roman" w:eastAsia="Times New Roman" w:hAnsi="Times New Roman" w:cs="Times New Roman"/>
          <w:b/>
          <w:bCs/>
          <w:color w:val="000000"/>
          <w:sz w:val="28"/>
          <w:szCs w:val="28"/>
          <w:lang w:val="fr-CA" w:eastAsia="en-CA"/>
        </w:rPr>
        <w:t>Authors</w:t>
      </w:r>
      <w:proofErr w:type="spellEnd"/>
      <w:r>
        <w:rPr>
          <w:rFonts w:ascii="Times New Roman" w:eastAsia="Times New Roman" w:hAnsi="Times New Roman" w:cs="Times New Roman"/>
          <w:color w:val="000000"/>
          <w:sz w:val="28"/>
          <w:szCs w:val="28"/>
          <w:lang w:val="fr-FR" w:eastAsia="en-CA"/>
        </w:rPr>
        <w:t>: Portalier S.M.J.</w:t>
      </w:r>
      <w:r>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lang w:val="fr-FR" w:eastAsia="en-CA"/>
        </w:rPr>
        <w:t>, Candau J.N.</w:t>
      </w:r>
      <w:r>
        <w:rPr>
          <w:rFonts w:ascii="Times New Roman" w:eastAsia="Times New Roman" w:hAnsi="Times New Roman" w:cs="Times New Roman"/>
          <w:color w:val="000000"/>
          <w:sz w:val="28"/>
          <w:szCs w:val="28"/>
          <w:vertAlign w:val="superscript"/>
          <w:lang w:val="fr-FR" w:eastAsia="en-CA"/>
        </w:rPr>
        <w:t>2</w:t>
      </w:r>
      <w:r>
        <w:rPr>
          <w:rFonts w:ascii="Times New Roman" w:eastAsia="Times New Roman" w:hAnsi="Times New Roman" w:cs="Times New Roman"/>
          <w:color w:val="000000"/>
          <w:sz w:val="28"/>
          <w:szCs w:val="28"/>
          <w:lang w:val="fr-FR" w:eastAsia="en-CA"/>
        </w:rPr>
        <w:t>, Lutscher F.</w:t>
      </w:r>
      <w:r>
        <w:rPr>
          <w:rFonts w:ascii="Times New Roman" w:eastAsia="Times New Roman" w:hAnsi="Times New Roman" w:cs="Times New Roman"/>
          <w:color w:val="000000"/>
          <w:sz w:val="28"/>
          <w:szCs w:val="28"/>
          <w:vertAlign w:val="superscript"/>
          <w:lang w:val="fr-FR" w:eastAsia="en-CA"/>
        </w:rPr>
        <w:t>1,3</w:t>
      </w:r>
    </w:p>
    <w:p w14:paraId="33FF86F5" w14:textId="77777777" w:rsidR="009C24AD" w:rsidRDefault="004B564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Institutions</w:t>
      </w:r>
      <w:r>
        <w:rPr>
          <w:rFonts w:ascii="Times New Roman" w:eastAsia="Times New Roman" w:hAnsi="Times New Roman" w:cs="Times New Roman"/>
          <w:color w:val="000000"/>
          <w:sz w:val="24"/>
          <w:szCs w:val="24"/>
          <w:lang w:eastAsia="en-CA"/>
        </w:rPr>
        <w:t>:</w:t>
      </w:r>
    </w:p>
    <w:p w14:paraId="6CE93EFE" w14:textId="77777777" w:rsidR="009C24AD" w:rsidRDefault="004B5640">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1 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4B228445" w14:textId="77777777" w:rsidR="009C24AD" w:rsidRDefault="004B5640">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2 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Natural Resources Canada, Canadian Forest Service, Great Lakes Forestry Centre, Sault Ste. Marie, ON, Canada</w:t>
      </w:r>
    </w:p>
    <w:p w14:paraId="0639176C" w14:textId="77777777" w:rsidR="009C24AD" w:rsidRDefault="004B564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Department of Biology, University of Ottawa, Ottawa, ON, Canada</w:t>
      </w:r>
    </w:p>
    <w:p w14:paraId="5744413B" w14:textId="77777777" w:rsidR="009C24AD" w:rsidRDefault="004B5640">
      <w:pPr>
        <w:spacing w:after="0" w:line="48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 </w:t>
      </w:r>
    </w:p>
    <w:p w14:paraId="70875AB5" w14:textId="77777777" w:rsidR="009C24AD" w:rsidRDefault="004B564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Corresponding author</w:t>
      </w:r>
      <w:r>
        <w:rPr>
          <w:rFonts w:ascii="Times New Roman" w:eastAsia="Times New Roman" w:hAnsi="Times New Roman" w:cs="Times New Roman"/>
          <w:color w:val="000000"/>
          <w:sz w:val="24"/>
          <w:szCs w:val="24"/>
          <w:lang w:eastAsia="en-CA"/>
        </w:rPr>
        <w:t>: Portalier S.M.J.</w:t>
      </w:r>
    </w:p>
    <w:p w14:paraId="13AFCFA3" w14:textId="77777777" w:rsidR="009C24AD" w:rsidRDefault="004B564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sz w:val="24"/>
          <w:szCs w:val="24"/>
          <w:lang w:eastAsia="en-CA"/>
        </w:rPr>
        <w:t>Address</w:t>
      </w:r>
      <w:r>
        <w:rPr>
          <w:rFonts w:ascii="Times New Roman" w:eastAsia="Times New Roman" w:hAnsi="Times New Roman" w:cs="Times New Roman"/>
          <w:sz w:val="24"/>
          <w:szCs w:val="24"/>
          <w:lang w:eastAsia="en-CA"/>
        </w:rPr>
        <w:t xml:space="preserve">: </w:t>
      </w:r>
      <w:r>
        <w:rPr>
          <w:rFonts w:ascii="Times New Roman" w:hAnsi="Times New Roman" w:cs="Times New Roman"/>
          <w:sz w:val="24"/>
          <w:szCs w:val="24"/>
        </w:rPr>
        <w:t xml:space="preserve">Department of Mathematics and Statistics, </w:t>
      </w:r>
      <w:r>
        <w:rPr>
          <w:rFonts w:ascii="Times New Roman" w:eastAsia="Times New Roman" w:hAnsi="Times New Roman" w:cs="Times New Roman"/>
          <w:color w:val="000000"/>
          <w:sz w:val="24"/>
          <w:szCs w:val="24"/>
          <w:lang w:eastAsia="en-CA"/>
        </w:rPr>
        <w:t>STEM Complex, 150 Louis Pasteur Pvt, Ottawa, ON, K1N 6N5, Canada</w:t>
      </w:r>
    </w:p>
    <w:p w14:paraId="5ABD59AF" w14:textId="77777777" w:rsidR="009C24AD" w:rsidRDefault="004B5640">
      <w:pPr>
        <w:spacing w:line="480" w:lineRule="auto"/>
      </w:pPr>
      <w:r>
        <w:rPr>
          <w:rFonts w:ascii="Times New Roman" w:eastAsia="Times New Roman" w:hAnsi="Times New Roman" w:cs="Times New Roman"/>
          <w:b/>
          <w:bCs/>
          <w:color w:val="000000"/>
          <w:sz w:val="24"/>
          <w:szCs w:val="24"/>
          <w:lang w:eastAsia="en-CA"/>
        </w:rPr>
        <w:t>Email</w:t>
      </w:r>
      <w:r>
        <w:rPr>
          <w:rFonts w:ascii="Times New Roman" w:eastAsia="Times New Roman" w:hAnsi="Times New Roman" w:cs="Times New Roman"/>
          <w:color w:val="000000"/>
          <w:sz w:val="24"/>
          <w:szCs w:val="24"/>
          <w:lang w:eastAsia="en-CA"/>
        </w:rPr>
        <w:t xml:space="preserve">: </w:t>
      </w:r>
      <w:hyperlink r:id="rId7">
        <w:r>
          <w:rPr>
            <w:rStyle w:val="InternetLink"/>
            <w:rFonts w:ascii="Times New Roman" w:eastAsia="Times New Roman" w:hAnsi="Times New Roman" w:cs="Times New Roman"/>
            <w:sz w:val="24"/>
            <w:szCs w:val="24"/>
            <w:lang w:eastAsia="en-CA"/>
          </w:rPr>
          <w:t>sportali@uottawa.ca</w:t>
        </w:r>
      </w:hyperlink>
    </w:p>
    <w:p w14:paraId="5EB1B3C6" w14:textId="77777777" w:rsidR="009C24AD" w:rsidRDefault="004B5640">
      <w:pPr>
        <w:rPr>
          <w:rFonts w:ascii="Times New Roman" w:eastAsia="Times New Roman" w:hAnsi="Times New Roman" w:cs="Times New Roman"/>
          <w:color w:val="000000"/>
          <w:sz w:val="24"/>
          <w:szCs w:val="24"/>
          <w:lang w:eastAsia="en-CA"/>
        </w:rPr>
      </w:pPr>
      <w:r>
        <w:br w:type="page"/>
      </w:r>
    </w:p>
    <w:p w14:paraId="624A8E91" w14:textId="77777777" w:rsidR="009C24AD" w:rsidRDefault="004B564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614C3022" w14:textId="3F9AF286" w:rsidR="009C24AD" w:rsidRDefault="004B5640">
      <w:pPr>
        <w:spacing w:after="240" w:line="480" w:lineRule="auto"/>
      </w:pPr>
      <w:r>
        <w:rPr>
          <w:rFonts w:ascii="Times New Roman" w:eastAsia="Times New Roman" w:hAnsi="Times New Roman" w:cs="Times New Roman"/>
          <w:color w:val="000000"/>
          <w:sz w:val="24"/>
          <w:szCs w:val="24"/>
          <w:lang w:eastAsia="en-CA"/>
        </w:rPr>
        <w:t>Anthropogenic climate change increasingly affects species phenology. Because trophic interactions often occur at specific phenological stages, changes in one species</w:t>
      </w:r>
      <w:r w:rsidR="001959C2">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phenology may affect others through phenological mismatch. When a consumer and a resource both exhibit a seasonal resting period, the synchrony of the end of their respective resting periods is fundamental for the persistence of their interaction. Since the consumer and its resource may react differently to changes in temperature regime, the synchrony between them could be altered. We investigate potential effects of climate change on species’ synchrony.</w:t>
      </w:r>
      <w:r>
        <w:t xml:space="preserve"> </w:t>
      </w:r>
      <w:r>
        <w:rPr>
          <w:rFonts w:ascii="Times New Roman" w:eastAsia="Times New Roman" w:hAnsi="Times New Roman" w:cs="Times New Roman"/>
          <w:color w:val="000000"/>
          <w:sz w:val="24"/>
          <w:szCs w:val="24"/>
          <w:lang w:eastAsia="en-CA"/>
        </w:rPr>
        <w:t>We propose a general model that determines the duration of the resting period according to temperature, and its effects on the mismatch between phenological stages of two interacting species. We illustrate our approach using the spruce budworm – balsam fir system in eastern Canada. We find that an increase in temperature advances the end of the resting period. However, the effects of a warm or cold spell during the resting period strongly vary according to the timing and the duration of the spell. Depending on how a consumer and its resource react to the same temperature shift, the mismatch between them may increase or decrease. The spruce budworm – balsam fir model predicts that an increase in temperature may increase the mismatch between the insect and the tree in southern sites, but may increase the synchrony in northern sites. This modelling approach is of prime importance to investigate potential effects of climate change on consumer – resource systems.</w:t>
      </w:r>
    </w:p>
    <w:p w14:paraId="42DF71ED" w14:textId="77777777" w:rsidR="009C24AD" w:rsidRDefault="004B564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11226851" w14:textId="77777777" w:rsidR="009C24AD" w:rsidRDefault="004B5640">
      <w:pPr>
        <w:spacing w:line="480" w:lineRule="auto"/>
      </w:pPr>
      <w:r>
        <w:rPr>
          <w:rFonts w:ascii="Times New Roman" w:eastAsia="Times New Roman" w:hAnsi="Times New Roman" w:cs="Times New Roman"/>
          <w:color w:val="000000"/>
          <w:sz w:val="24"/>
          <w:szCs w:val="24"/>
          <w:lang w:eastAsia="en-CA"/>
        </w:rPr>
        <w:t xml:space="preserve">  Climate change, phenology, consumer, resource, balsam fir, spruce budworm </w:t>
      </w:r>
    </w:p>
    <w:p w14:paraId="7008AF62" w14:textId="77777777" w:rsidR="009C24AD" w:rsidRDefault="004B564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183D3924" w14:textId="77777777" w:rsidR="009C24AD" w:rsidRDefault="004B5640">
      <w:pPr>
        <w:spacing w:line="480" w:lineRule="auto"/>
      </w:pPr>
      <w:r>
        <w:rPr>
          <w:rFonts w:ascii="Times New Roman" w:eastAsia="Times New Roman" w:hAnsi="Times New Roman" w:cs="Times New Roman"/>
          <w:color w:val="000000"/>
          <w:sz w:val="24"/>
          <w:szCs w:val="24"/>
          <w:lang w:eastAsia="en-CA"/>
        </w:rPr>
        <w:lastRenderedPageBreak/>
        <w:t>Anthropogenic climate change increasingly disrupts ecological interactions (Pachauri et al. 2014). This trend is expected to continue and amplify as interacting species are likely to respond differently to similar environmental changes and selective pressures (Parmesan 2006)</w:t>
      </w:r>
      <w:bookmarkStart w:id="0" w:name="__Fieldmark__10_3903614438"/>
      <w:bookmarkStart w:id="1" w:name="__Fieldmark__25_942872385"/>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changes in life history traits (fecundity, mortality) of  either species (Bale et al. 2002)</w:t>
      </w:r>
      <w:bookmarkStart w:id="3" w:name="__Fieldmark__17_2495178454"/>
      <w:bookmarkStart w:id="4" w:name="__Fieldmark__32_3903614438"/>
      <w:bookmarkStart w:id="5" w:name="__Fieldmark__31_942872385"/>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(Both et al. 2009)</w:t>
      </w:r>
      <w:bookmarkStart w:id="6" w:name="__Fieldmark__36_942872385"/>
      <w:bookmarkStart w:id="7" w:name="__Fieldmark__43_3903614438"/>
      <w:bookmarkStart w:id="8" w:name="__Fieldmark__24_2495178454"/>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54_3903614438"/>
      <w:bookmarkStart w:id="10" w:name="__Fieldmark__41_942872385"/>
      <w:bookmarkStart w:id="11" w:name="__Fieldmark__31_2495178454"/>
      <w:bookmarkEnd w:id="9"/>
      <w:bookmarkEnd w:id="10"/>
      <w:bookmarkEnd w:id="11"/>
      <w:r>
        <w:rPr>
          <w:rFonts w:ascii="Times New Roman" w:eastAsia="Times New Roman" w:hAnsi="Times New Roman" w:cs="Times New Roman"/>
          <w:color w:val="000000"/>
          <w:sz w:val="24"/>
          <w:szCs w:val="24"/>
          <w:lang w:eastAsia="en-CA"/>
        </w:rPr>
        <w:t>).</w:t>
      </w:r>
    </w:p>
    <w:p w14:paraId="7FC5DB56" w14:textId="77777777" w:rsidR="009C24AD" w:rsidRDefault="004B5640">
      <w:pPr>
        <w:spacing w:line="480" w:lineRule="auto"/>
        <w:ind w:firstLine="720"/>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Singer and Parmesan 2020</w:t>
      </w:r>
      <w:bookmarkEnd w:id="12"/>
      <w:r>
        <w:rPr>
          <w:rFonts w:ascii="Times New Roman" w:eastAsia="Times New Roman" w:hAnsi="Times New Roman" w:cs="Times New Roman"/>
          <w:sz w:val="24"/>
          <w:szCs w:val="24"/>
          <w:lang w:eastAsia="en-CA"/>
        </w:rPr>
        <w:t xml:space="preserve">’s response to </w:t>
      </w:r>
      <w:bookmarkStart w:id="13" w:name="__Fieldmark__84_3903614438"/>
      <w:r>
        <w:rPr>
          <w:rFonts w:ascii="Times New Roman" w:eastAsia="Times New Roman" w:hAnsi="Times New Roman" w:cs="Times New Roman"/>
          <w:sz w:val="24"/>
          <w:szCs w:val="24"/>
          <w:lang w:eastAsia="en-CA"/>
        </w:rPr>
        <w:t xml:space="preserve">Kharouba and </w:t>
      </w:r>
      <w:proofErr w:type="spellStart"/>
      <w:r>
        <w:rPr>
          <w:rFonts w:ascii="Times New Roman" w:eastAsia="Times New Roman" w:hAnsi="Times New Roman" w:cs="Times New Roman"/>
          <w:sz w:val="24"/>
          <w:szCs w:val="24"/>
          <w:lang w:eastAsia="en-CA"/>
        </w:rPr>
        <w:t>Wolkovich</w:t>
      </w:r>
      <w:proofErr w:type="spellEnd"/>
      <w:r>
        <w:rPr>
          <w:rFonts w:ascii="Times New Roman" w:eastAsia="Times New Roman" w:hAnsi="Times New Roman" w:cs="Times New Roman"/>
          <w:sz w:val="24"/>
          <w:szCs w:val="24"/>
          <w:lang w:eastAsia="en-CA"/>
        </w:rPr>
        <w:t>, 2020)</w:t>
      </w:r>
      <w:bookmarkEnd w:id="13"/>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synchronized with the peak availability of its resource </w:t>
      </w:r>
      <w:bookmarkStart w:id="14" w:name="__Fieldmark__95_3903614438"/>
      <w:r>
        <w:rPr>
          <w:rFonts w:ascii="Times New Roman" w:eastAsia="Times New Roman" w:hAnsi="Times New Roman" w:cs="Times New Roman"/>
          <w:color w:val="000000"/>
          <w:sz w:val="24"/>
          <w:szCs w:val="24"/>
          <w:lang w:eastAsia="en-CA"/>
        </w:rPr>
        <w:t>(Cushing 1990)</w:t>
      </w:r>
      <w:bookmarkEnd w:id="14"/>
      <w:r>
        <w:rPr>
          <w:rFonts w:ascii="Times New Roman" w:eastAsia="Times New Roman" w:hAnsi="Times New Roman" w:cs="Times New Roman"/>
          <w:color w:val="000000"/>
          <w:sz w:val="24"/>
          <w:szCs w:val="24"/>
          <w:lang w:eastAsia="en-CA"/>
        </w:rPr>
        <w:t xml:space="preserve">. The concept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15" w:name="__Fieldmark__109_3903614438"/>
      <w:r>
        <w:rPr>
          <w:rFonts w:ascii="Times New Roman" w:eastAsia="Times New Roman" w:hAnsi="Times New Roman" w:cs="Times New Roman"/>
          <w:color w:val="000000"/>
          <w:sz w:val="24"/>
          <w:szCs w:val="24"/>
          <w:lang w:eastAsia="en-CA"/>
        </w:rPr>
        <w:t>(Visser and Holleman 2001)</w:t>
      </w:r>
      <w:bookmarkEnd w:id="15"/>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16" w:name="__Fieldmark__122_3903614438"/>
      <w:r>
        <w:rPr>
          <w:rFonts w:ascii="Times New Roman" w:eastAsia="Times New Roman" w:hAnsi="Times New Roman" w:cs="Times New Roman"/>
          <w:color w:val="000000"/>
          <w:sz w:val="24"/>
          <w:szCs w:val="24"/>
          <w:lang w:eastAsia="en-CA"/>
        </w:rPr>
        <w:t>(Singer and Parmesan 2010)</w:t>
      </w:r>
      <w:bookmarkEnd w:id="16"/>
      <w:r>
        <w:rPr>
          <w:rFonts w:ascii="Times New Roman" w:eastAsia="Times New Roman" w:hAnsi="Times New Roman" w:cs="Times New Roman"/>
          <w:color w:val="000000"/>
          <w:sz w:val="24"/>
          <w:szCs w:val="24"/>
          <w:lang w:eastAsia="en-CA"/>
        </w:rPr>
        <w:t xml:space="preserve">. Historical mismatch can result from trade-offs between fecundity and mortality (Singer and Parmesan 2010), mutualistic interactions </w:t>
      </w:r>
      <w:bookmarkStart w:id="17" w:name="__Fieldmark__133_3903614438"/>
      <w:r>
        <w:rPr>
          <w:rFonts w:ascii="Times New Roman" w:eastAsia="Times New Roman" w:hAnsi="Times New Roman" w:cs="Times New Roman"/>
          <w:color w:val="000000"/>
          <w:sz w:val="24"/>
          <w:szCs w:val="24"/>
          <w:lang w:eastAsia="en-CA"/>
        </w:rPr>
        <w:t>(</w:t>
      </w:r>
      <w:bookmarkStart w:id="18" w:name="__Fieldmark__80_2495178454"/>
      <w:r>
        <w:rPr>
          <w:rFonts w:ascii="Times New Roman" w:eastAsia="Times New Roman" w:hAnsi="Times New Roman" w:cs="Times New Roman"/>
          <w:color w:val="000000"/>
          <w:sz w:val="24"/>
          <w:szCs w:val="24"/>
          <w:lang w:eastAsia="en-CA"/>
        </w:rPr>
        <w:t>F</w:t>
      </w:r>
      <w:bookmarkStart w:id="19" w:name="__Fieldmark__87_942872385"/>
      <w:r>
        <w:rPr>
          <w:rFonts w:ascii="Times New Roman" w:eastAsia="Times New Roman" w:hAnsi="Times New Roman" w:cs="Times New Roman"/>
          <w:color w:val="000000"/>
          <w:sz w:val="24"/>
          <w:szCs w:val="24"/>
          <w:lang w:eastAsia="en-CA"/>
        </w:rPr>
        <w:t>orrest and Thomson 2012)</w:t>
      </w:r>
      <w:bookmarkEnd w:id="17"/>
      <w:bookmarkEnd w:id="18"/>
      <w:bookmarkEnd w:id="19"/>
      <w:r>
        <w:rPr>
          <w:rFonts w:ascii="Times New Roman" w:eastAsia="Times New Roman" w:hAnsi="Times New Roman" w:cs="Times New Roman"/>
          <w:color w:val="000000"/>
          <w:sz w:val="24"/>
          <w:szCs w:val="24"/>
          <w:lang w:eastAsia="en-CA"/>
        </w:rPr>
        <w:t xml:space="preserve"> or intraspecific competition </w:t>
      </w:r>
      <w:bookmarkStart w:id="20" w:name="__Fieldmark__144_3903614438"/>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Iwasa</w:t>
      </w:r>
      <w:proofErr w:type="spellEnd"/>
      <w:r>
        <w:rPr>
          <w:rFonts w:ascii="Times New Roman" w:eastAsia="Times New Roman" w:hAnsi="Times New Roman" w:cs="Times New Roman"/>
          <w:color w:val="000000"/>
          <w:sz w:val="24"/>
          <w:szCs w:val="24"/>
          <w:lang w:eastAsia="en-CA"/>
        </w:rPr>
        <w:t xml:space="preserve"> et al. 1983)</w:t>
      </w:r>
      <w:bookmarkEnd w:id="20"/>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mismatch is the baseline, a decrease in asynchrony will likely benefit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xml:space="preserve"> 2018) while an increase might exacerbate the </w:t>
      </w:r>
      <w:r>
        <w:rPr>
          <w:rFonts w:ascii="Times New Roman" w:eastAsia="Times New Roman" w:hAnsi="Times New Roman" w:cs="Times New Roman"/>
          <w:color w:val="000000"/>
          <w:sz w:val="24"/>
          <w:szCs w:val="24"/>
          <w:lang w:eastAsia="en-CA"/>
        </w:rPr>
        <w:lastRenderedPageBreak/>
        <w:t>detrimental effect of asynchrony to the point of consumer extinction (Singer and Parmesan, 2010). </w:t>
      </w:r>
    </w:p>
    <w:p w14:paraId="647C7A76" w14:textId="77777777" w:rsidR="009C24AD" w:rsidRDefault="004B5640">
      <w:pPr>
        <w:spacing w:line="480" w:lineRule="auto"/>
        <w:ind w:firstLine="720"/>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21" w:name="__Fieldmark__160_3903614438"/>
      <w:r>
        <w:rPr>
          <w:rFonts w:ascii="Times New Roman" w:eastAsia="Times New Roman" w:hAnsi="Times New Roman" w:cs="Times New Roman"/>
          <w:color w:val="000000"/>
          <w:sz w:val="24"/>
          <w:szCs w:val="24"/>
          <w:lang w:eastAsia="en-CA"/>
        </w:rPr>
        <w:t xml:space="preserve">(Post et al. 2001; Parmesan and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xml:space="preserve"> 2003)</w:t>
      </w:r>
      <w:bookmarkEnd w:id="21"/>
      <w:r>
        <w:rPr>
          <w:rFonts w:ascii="Times New Roman" w:eastAsia="Times New Roman" w:hAnsi="Times New Roman" w:cs="Times New Roman"/>
          <w:color w:val="000000"/>
          <w:sz w:val="24"/>
          <w:szCs w:val="24"/>
          <w:lang w:eastAsia="en-CA"/>
        </w:rPr>
        <w:t xml:space="preserve">, particularly the timing of spring events at mid-high latitudes </w:t>
      </w:r>
      <w:bookmarkStart w:id="22" w:name="__Fieldmark__184_3903614438"/>
      <w:r>
        <w:rPr>
          <w:rFonts w:ascii="Times New Roman" w:eastAsia="Times New Roman" w:hAnsi="Times New Roman" w:cs="Times New Roman"/>
          <w:color w:val="000000"/>
          <w:sz w:val="24"/>
          <w:szCs w:val="24"/>
          <w:lang w:eastAsia="en-CA"/>
        </w:rPr>
        <w:t>(Parmesan 2006; Cohen et al. 2018)</w:t>
      </w:r>
      <w:bookmarkStart w:id="23" w:name="__Fieldmark__206_3903614438"/>
      <w:bookmarkStart w:id="24" w:name="__Fieldmark__124_2495178454"/>
      <w:bookmarkStart w:id="25" w:name="__Fieldmark__127_942872385"/>
      <w:bookmarkEnd w:id="22"/>
      <w:bookmarkEnd w:id="23"/>
      <w:bookmarkEnd w:id="24"/>
      <w:bookmarkEnd w:id="25"/>
      <w:r>
        <w:rPr>
          <w:rFonts w:ascii="Times New Roman" w:eastAsia="Times New Roman" w:hAnsi="Times New Roman" w:cs="Times New Roman"/>
          <w:color w:val="000000"/>
          <w:sz w:val="24"/>
          <w:szCs w:val="24"/>
          <w:lang w:eastAsia="en-CA"/>
        </w:rPr>
        <w:t xml:space="preserve">. In a meta-analysis of 27 pairs of interacting species, Kharouba et al. (2018) found that phenology advanced by an average of 4 days/decade across species since the early 1980s, resulting in significant changes in mismatch. These changes had no consistent direction as 31 interactions shifted closer while 23 shifted further apart. The clearest examples of climate-driven mismatch have been reported for insect herbivores at high altitudes or latitudes (Renner and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xml:space="preserve"> 2018)</w:t>
      </w:r>
      <w:bookmarkStart w:id="26" w:name="__Fieldmark__227_3903614438"/>
      <w:bookmarkStart w:id="27" w:name="__Fieldmark__140_942872385"/>
      <w:bookmarkStart w:id="28" w:name="__Fieldmark__131_2495178454"/>
      <w:bookmarkEnd w:id="26"/>
      <w:bookmarkEnd w:id="27"/>
      <w:bookmarkEnd w:id="2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and Visser 2007)</w:t>
      </w:r>
      <w:bookmarkStart w:id="29" w:name="__Fieldmark__138_2495178454"/>
      <w:bookmarkStart w:id="30" w:name="__Fieldmark__145_942872385"/>
      <w:bookmarkStart w:id="31" w:name="__Fieldmark__240_3903614438"/>
      <w:bookmarkEnd w:id="29"/>
      <w:bookmarkEnd w:id="30"/>
      <w:bookmarkEnd w:id="31"/>
      <w:r>
        <w:rPr>
          <w:rFonts w:ascii="Times New Roman" w:eastAsia="Times New Roman" w:hAnsi="Times New Roman" w:cs="Times New Roman"/>
          <w:color w:val="000000"/>
          <w:sz w:val="24"/>
          <w:szCs w:val="24"/>
          <w:lang w:eastAsia="en-CA"/>
        </w:rPr>
        <w:t>. Spring defoliators have evolved to exploit foliage at its annual optimal nutritional qualities (Mattson and Scriber 1987)</w:t>
      </w:r>
      <w:bookmarkStart w:id="32" w:name="__Fieldmark__150_942872385"/>
      <w:bookmarkStart w:id="33" w:name="__Fieldmark__150_2495178454"/>
      <w:bookmarkStart w:id="34" w:name="__Fieldmark__145_2495178454"/>
      <w:bookmarkStart w:id="35" w:name="__Fieldmark__154_942872385"/>
      <w:bookmarkStart w:id="36" w:name="__Fieldmark__259_3903614438"/>
      <w:bookmarkEnd w:id="32"/>
      <w:bookmarkEnd w:id="33"/>
      <w:bookmarkEnd w:id="34"/>
      <w:bookmarkEnd w:id="35"/>
      <w:bookmarkEnd w:id="3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period with no food or poor food quality. If it emerges too late, the nutritional quality of the foliage may degrade more quickly than the consumer can adjust physiologically, thus negatively impacting its fitness.    </w:t>
      </w:r>
    </w:p>
    <w:p w14:paraId="1672E367" w14:textId="55D9E490" w:rsidR="009C24AD" w:rsidRDefault="004B5640">
      <w:pPr>
        <w:spacing w:after="240" w:line="480" w:lineRule="auto"/>
        <w:ind w:firstLine="720"/>
      </w:pPr>
      <w:r>
        <w:rPr>
          <w:rFonts w:ascii="Times New Roman" w:eastAsia="Times New Roman" w:hAnsi="Times New Roman" w:cs="Times New Roman"/>
          <w:sz w:val="24"/>
          <w:szCs w:val="24"/>
          <w:lang w:eastAsia="en-CA"/>
        </w:rPr>
        <w:t xml:space="preserve">The seasonal resting phase of many organisms is divided into two successive stages called endodormancy and ecodormancy in perennial woody plants, and diapause and quiescence in insects </w:t>
      </w:r>
      <w:bookmarkStart w:id="37" w:name="__Fieldmark__274_39036144381111111"/>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sz w:val="24"/>
          <w:szCs w:val="24"/>
          <w:lang w:eastAsia="en-CA"/>
        </w:rPr>
        <w:t>Chuine</w:t>
      </w:r>
      <w:proofErr w:type="spellEnd"/>
      <w:r>
        <w:rPr>
          <w:rFonts w:ascii="Times New Roman" w:eastAsia="Times New Roman" w:hAnsi="Times New Roman" w:cs="Times New Roman"/>
          <w:sz w:val="24"/>
          <w:szCs w:val="24"/>
          <w:lang w:eastAsia="en-CA"/>
        </w:rPr>
        <w:t xml:space="preserve"> and </w:t>
      </w:r>
      <w:proofErr w:type="spellStart"/>
      <w:r>
        <w:rPr>
          <w:rFonts w:ascii="Times New Roman" w:eastAsia="Times New Roman" w:hAnsi="Times New Roman" w:cs="Times New Roman"/>
          <w:sz w:val="24"/>
          <w:szCs w:val="24"/>
          <w:lang w:eastAsia="en-CA"/>
        </w:rPr>
        <w:t>Régnière</w:t>
      </w:r>
      <w:proofErr w:type="spellEnd"/>
      <w:r>
        <w:rPr>
          <w:rFonts w:ascii="Times New Roman" w:eastAsia="Times New Roman" w:hAnsi="Times New Roman" w:cs="Times New Roman"/>
          <w:sz w:val="24"/>
          <w:szCs w:val="24"/>
          <w:lang w:eastAsia="en-CA"/>
        </w:rPr>
        <w:t xml:space="preserve"> 2017)</w:t>
      </w:r>
      <w:bookmarkEnd w:id="37"/>
      <w:r>
        <w:rPr>
          <w:rFonts w:ascii="Times New Roman" w:eastAsia="Times New Roman" w:hAnsi="Times New Roman" w:cs="Times New Roman"/>
          <w:sz w:val="24"/>
          <w:szCs w:val="24"/>
          <w:lang w:eastAsia="en-CA"/>
        </w:rPr>
        <w:t xml:space="preserve">. </w:t>
      </w:r>
      <w:r w:rsidR="00FB45D1">
        <w:rPr>
          <w:rFonts w:ascii="Times New Roman" w:eastAsia="Times New Roman" w:hAnsi="Times New Roman" w:cs="Times New Roman"/>
          <w:sz w:val="24"/>
          <w:szCs w:val="24"/>
          <w:lang w:eastAsia="en-CA"/>
        </w:rPr>
        <w:t>We concentrate on the second stage and refer to it simply</w:t>
      </w:r>
      <w:r>
        <w:rPr>
          <w:rFonts w:ascii="Times New Roman" w:eastAsia="Times New Roman" w:hAnsi="Times New Roman" w:cs="Times New Roman"/>
          <w:sz w:val="24"/>
          <w:szCs w:val="24"/>
          <w:lang w:eastAsia="en-CA"/>
        </w:rPr>
        <w:t xml:space="preserve"> as the “resting period”. </w:t>
      </w:r>
    </w:p>
    <w:p w14:paraId="508A946C" w14:textId="77777777" w:rsidR="009C24AD" w:rsidRDefault="004B5640">
      <w:pPr>
        <w:spacing w:after="240" w:line="480" w:lineRule="auto"/>
        <w:ind w:firstLine="720"/>
      </w:pPr>
      <w:r>
        <w:rPr>
          <w:rFonts w:ascii="Times New Roman" w:eastAsia="Times New Roman" w:hAnsi="Times New Roman" w:cs="Times New Roman"/>
          <w:color w:val="000000"/>
          <w:sz w:val="24"/>
          <w:szCs w:val="24"/>
          <w:lang w:eastAsia="en-CA"/>
        </w:rPr>
        <w:lastRenderedPageBreak/>
        <w:t xml:space="preserve">Predicting the direction and magnitude of climate-change induced phenological shift and mismatch between consumer and resource and the associated risk that it poses to the species is difficult </w:t>
      </w:r>
      <w:bookmarkStart w:id="38" w:name="__Fieldmark__295_39036144381"/>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Samplonius</w:t>
      </w:r>
      <w:proofErr w:type="spellEnd"/>
      <w:r>
        <w:rPr>
          <w:rFonts w:ascii="Times New Roman" w:eastAsia="Times New Roman" w:hAnsi="Times New Roman" w:cs="Times New Roman"/>
          <w:color w:val="000000"/>
          <w:sz w:val="24"/>
          <w:szCs w:val="24"/>
          <w:lang w:eastAsia="en-CA"/>
        </w:rPr>
        <w:t xml:space="preserve"> et al. 2021)</w:t>
      </w:r>
      <w:bookmarkEnd w:id="38"/>
      <w:r>
        <w:rPr>
          <w:rFonts w:ascii="Times New Roman" w:eastAsia="Times New Roman" w:hAnsi="Times New Roman" w:cs="Times New Roman"/>
          <w:color w:val="000000"/>
          <w:sz w:val="24"/>
          <w:szCs w:val="24"/>
          <w:lang w:eastAsia="en-CA"/>
        </w:rPr>
        <w:t xml:space="preserve">. While patterns of change in phenological synchrony are increasingly observed (Kharouba et al. 2018), they are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39" w:name="__Fieldmark__319_3903614438"/>
      <w:r>
        <w:rPr>
          <w:rFonts w:ascii="Times New Roman" w:eastAsia="Times New Roman" w:hAnsi="Times New Roman" w:cs="Times New Roman"/>
          <w:color w:val="000000"/>
          <w:sz w:val="24"/>
          <w:szCs w:val="24"/>
          <w:lang w:eastAsia="en-CA"/>
        </w:rPr>
        <w:t>(Both and Visser 2001)</w:t>
      </w:r>
      <w:bookmarkEnd w:id="39"/>
      <w:r>
        <w:rPr>
          <w:rFonts w:ascii="Times New Roman" w:eastAsia="Times New Roman" w:hAnsi="Times New Roman" w:cs="Times New Roman"/>
          <w:color w:val="000000"/>
          <w:sz w:val="24"/>
          <w:szCs w:val="24"/>
          <w:lang w:eastAsia="en-CA"/>
        </w:rPr>
        <w:t xml:space="preserve"> or have different costs associated with phenological response </w:t>
      </w:r>
      <w:bookmarkStart w:id="40" w:name="__Fieldmark__330_3903614438"/>
      <w:r>
        <w:rPr>
          <w:rFonts w:ascii="Times New Roman" w:eastAsia="Times New Roman" w:hAnsi="Times New Roman" w:cs="Times New Roman"/>
          <w:color w:val="000000"/>
          <w:sz w:val="24"/>
          <w:szCs w:val="24"/>
          <w:lang w:eastAsia="en-CA"/>
        </w:rPr>
        <w:t>(Gienapp and Visser 2006)</w:t>
      </w:r>
      <w:bookmarkEnd w:id="40"/>
      <w:r>
        <w:rPr>
          <w:rFonts w:ascii="Times New Roman" w:eastAsia="Times New Roman" w:hAnsi="Times New Roman" w:cs="Times New Roman"/>
          <w:color w:val="000000"/>
          <w:sz w:val="24"/>
          <w:szCs w:val="24"/>
          <w:lang w:eastAsia="en-CA"/>
        </w:rPr>
        <w:t xml:space="preserve">. Several complex mechanistic modelling approaches have begun to explore how consumer—resource dynamics are expected to change across latitude under different scenarios </w:t>
      </w:r>
      <w:r>
        <w:rPr>
          <w:rFonts w:ascii="Times New Roman" w:hAnsi="Times New Roman" w:cs="Times New Roman"/>
          <w:color w:val="000000"/>
          <w:sz w:val="24"/>
          <w:szCs w:val="24"/>
        </w:rPr>
        <w:t xml:space="preserve">(Scranton and </w:t>
      </w:r>
      <w:proofErr w:type="spellStart"/>
      <w:r>
        <w:rPr>
          <w:rFonts w:ascii="Times New Roman" w:hAnsi="Times New Roman" w:cs="Times New Roman"/>
          <w:color w:val="000000"/>
          <w:sz w:val="24"/>
          <w:szCs w:val="24"/>
        </w:rPr>
        <w:t>Amarasekare</w:t>
      </w:r>
      <w:proofErr w:type="spellEnd"/>
      <w:r>
        <w:rPr>
          <w:rFonts w:ascii="Times New Roman" w:hAnsi="Times New Roman" w:cs="Times New Roman"/>
          <w:color w:val="000000"/>
          <w:sz w:val="24"/>
          <w:szCs w:val="24"/>
        </w:rPr>
        <w:t xml:space="preserve"> 2017; </w:t>
      </w:r>
      <w:proofErr w:type="spellStart"/>
      <w:r>
        <w:rPr>
          <w:rFonts w:ascii="Times New Roman" w:hAnsi="Times New Roman" w:cs="Times New Roman"/>
          <w:color w:val="000000"/>
          <w:sz w:val="24"/>
          <w:szCs w:val="24"/>
        </w:rPr>
        <w:t>Amarasekare</w:t>
      </w:r>
      <w:proofErr w:type="spellEnd"/>
      <w:r>
        <w:rPr>
          <w:rFonts w:ascii="Times New Roman" w:hAnsi="Times New Roman" w:cs="Times New Roman"/>
          <w:color w:val="000000"/>
          <w:sz w:val="24"/>
          <w:szCs w:val="24"/>
        </w:rPr>
        <w:t xml:space="preserve"> 2019).  Their parameterisation requires detailed knowledge on species’ life-history traits.</w:t>
      </w:r>
    </w:p>
    <w:p w14:paraId="6F6CE14D" w14:textId="0062E2A4" w:rsidR="009C24AD" w:rsidRDefault="004B5640">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We focus on climate-change effects on one particular aspects of the life cycle, namely, the emergence from a seasonal resting period (dormancy, diapause) and its effect on phenological synchrony between a consumer and its resource when both species respond to temperature. 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w:t>
      </w:r>
      <w:r w:rsidR="000A40EA">
        <w:rPr>
          <w:rFonts w:ascii="Times New Roman" w:eastAsia="Times New Roman" w:hAnsi="Times New Roman" w:cs="Times New Roman"/>
          <w:color w:val="000000"/>
          <w:sz w:val="24"/>
          <w:szCs w:val="24"/>
          <w:lang w:eastAsia="en-CA"/>
        </w:rPr>
        <w:t xml:space="preserve">either </w:t>
      </w:r>
      <w:r>
        <w:rPr>
          <w:rFonts w:ascii="Times New Roman" w:eastAsia="Times New Roman" w:hAnsi="Times New Roman" w:cs="Times New Roman"/>
          <w:color w:val="000000"/>
          <w:sz w:val="24"/>
          <w:szCs w:val="24"/>
          <w:lang w:eastAsia="en-CA"/>
        </w:rPr>
        <w:t xml:space="preserve">from field observations </w:t>
      </w:r>
      <w:r w:rsidR="000A40EA">
        <w:rPr>
          <w:rFonts w:ascii="Times New Roman" w:eastAsia="Times New Roman" w:hAnsi="Times New Roman" w:cs="Times New Roman"/>
          <w:color w:val="000000"/>
          <w:sz w:val="24"/>
          <w:szCs w:val="24"/>
          <w:lang w:eastAsia="en-CA"/>
        </w:rPr>
        <w:t xml:space="preserve">or from more detailed models taking </w:t>
      </w:r>
      <w:r>
        <w:rPr>
          <w:rFonts w:ascii="Times New Roman" w:eastAsia="Times New Roman" w:hAnsi="Times New Roman" w:cs="Times New Roman"/>
          <w:color w:val="000000"/>
          <w:sz w:val="24"/>
          <w:szCs w:val="24"/>
          <w:lang w:eastAsia="en-CA"/>
        </w:rPr>
        <w:t>physiological processes</w:t>
      </w:r>
      <w:r w:rsidR="000A40EA">
        <w:rPr>
          <w:rFonts w:ascii="Times New Roman" w:eastAsia="Times New Roman" w:hAnsi="Times New Roman" w:cs="Times New Roman"/>
          <w:color w:val="000000"/>
          <w:sz w:val="24"/>
          <w:szCs w:val="24"/>
          <w:lang w:eastAsia="en-CA"/>
        </w:rPr>
        <w:t xml:space="preserve"> into account</w:t>
      </w:r>
      <w:r>
        <w:rPr>
          <w:rFonts w:ascii="Times New Roman" w:eastAsia="Times New Roman" w:hAnsi="Times New Roman" w:cs="Times New Roman"/>
          <w:color w:val="000000"/>
          <w:sz w:val="24"/>
          <w:szCs w:val="24"/>
          <w:lang w:eastAsia="en-CA"/>
        </w:rPr>
        <w:t>. We derive approximate formulae for the change in phenology in response to changing climates.  Then we use a major insect pest of the Canadian boreal forest, the spruce budworm (SBW), and its main host, balsam fir, to investigate the phenological synchrony between budworm’s emergence from winter diapause and balsam fir’s budburst across a gradient of latitudes and a number of different future climates.</w:t>
      </w:r>
    </w:p>
    <w:p w14:paraId="3F0C40A8" w14:textId="77777777" w:rsidR="009C24AD" w:rsidRDefault="004B5640">
      <w:pPr>
        <w:pStyle w:val="Titre1"/>
        <w:spacing w:before="280" w:after="280" w:line="480" w:lineRule="auto"/>
        <w:rPr>
          <w:sz w:val="32"/>
          <w:szCs w:val="32"/>
        </w:rPr>
      </w:pPr>
      <w:r>
        <w:rPr>
          <w:sz w:val="32"/>
          <w:szCs w:val="32"/>
        </w:rPr>
        <w:lastRenderedPageBreak/>
        <w:t>2. The general model</w:t>
      </w:r>
    </w:p>
    <w:p w14:paraId="54194645" w14:textId="77777777" w:rsidR="009C24AD" w:rsidRDefault="004B5640">
      <w:pPr>
        <w:spacing w:line="480" w:lineRule="auto"/>
      </w:pPr>
      <w:r>
        <w:rPr>
          <w:rFonts w:ascii="Times New Roman" w:hAnsi="Times New Roman" w:cs="Times New Roman"/>
          <w:color w:val="000000"/>
          <w:sz w:val="24"/>
          <w:szCs w:val="24"/>
        </w:rPr>
        <w:t xml:space="preserve">We first present a unified description of the mechanisms that determine the duration of the seasonal resting period of a species in terms of accumulation of ambient temperature. Then, we develop the main theoretical results for a single and two interacting species. </w:t>
      </w:r>
    </w:p>
    <w:p w14:paraId="68A9ABB7" w14:textId="2DB569C3" w:rsidR="009C24AD" w:rsidRDefault="004B5640">
      <w:pPr>
        <w:pStyle w:val="NormalWeb"/>
        <w:spacing w:before="280" w:beforeAutospacing="0" w:after="280" w:afterAutospacing="0" w:line="480" w:lineRule="auto"/>
        <w:ind w:firstLine="360"/>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41" w:name="__Fieldmark__374_3903614438"/>
      <w:r>
        <w:rPr>
          <w:color w:val="000000"/>
        </w:rPr>
        <w:t xml:space="preserve">(Colombo 1998; </w:t>
      </w:r>
      <w:proofErr w:type="spellStart"/>
      <w:r>
        <w:rPr>
          <w:color w:val="000000"/>
        </w:rPr>
        <w:t>Chuine</w:t>
      </w:r>
      <w:proofErr w:type="spellEnd"/>
      <w:r>
        <w:rPr>
          <w:color w:val="000000"/>
        </w:rPr>
        <w:t xml:space="preserve"> 2000; Desbiens 2007)</w:t>
      </w:r>
      <w:bookmarkEnd w:id="41"/>
      <w:r>
        <w:rPr>
          <w:color w:val="000000"/>
        </w:rPr>
        <w:t xml:space="preserve">. Many resting insects have temperature-dependent development rates, so that physiological stage ultimately also measures accumulated heat </w:t>
      </w:r>
      <w:bookmarkStart w:id="42" w:name="__Fieldmark__407_3903614438"/>
      <w:r>
        <w:rPr>
          <w:color w:val="000000"/>
        </w:rPr>
        <w:t>(</w:t>
      </w:r>
      <w:proofErr w:type="spellStart"/>
      <w:r>
        <w:rPr>
          <w:color w:val="000000"/>
        </w:rPr>
        <w:t>Cobbold</w:t>
      </w:r>
      <w:proofErr w:type="spellEnd"/>
      <w:r>
        <w:rPr>
          <w:color w:val="000000"/>
        </w:rPr>
        <w:t xml:space="preserve"> and Powell 2011; </w:t>
      </w:r>
      <w:proofErr w:type="spellStart"/>
      <w:r>
        <w:rPr>
          <w:color w:val="000000"/>
        </w:rPr>
        <w:t>Régnière</w:t>
      </w:r>
      <w:proofErr w:type="spellEnd"/>
      <w:r>
        <w:rPr>
          <w:color w:val="000000"/>
        </w:rPr>
        <w:t xml:space="preserve"> et al. 2012)</w:t>
      </w:r>
      <w:bookmarkEnd w:id="42"/>
      <w:r>
        <w:rPr>
          <w:color w:val="000000"/>
        </w:rPr>
        <w:t>. The concept of accumulating some quantity before progressing to a different stage arose from models for age- or stage-structured populations (Gurney et al. 1983; Nisbet and Gurney 1983) and is “still the most important assumption in plant and animal phenology modelling” (</w:t>
      </w:r>
      <w:proofErr w:type="spellStart"/>
      <w:r>
        <w:rPr>
          <w:color w:val="000000"/>
        </w:rPr>
        <w:t>Chuine</w:t>
      </w:r>
      <w:proofErr w:type="spellEnd"/>
      <w:r>
        <w:rPr>
          <w:color w:val="000000"/>
        </w:rPr>
        <w:t xml:space="preserve"> and </w:t>
      </w:r>
      <w:proofErr w:type="spellStart"/>
      <w:r>
        <w:rPr>
          <w:color w:val="000000"/>
        </w:rPr>
        <w:t>Régnière</w:t>
      </w:r>
      <w:proofErr w:type="spellEnd"/>
      <w:r>
        <w:rPr>
          <w:color w:val="000000"/>
        </w:rPr>
        <w:t xml:space="preserve"> 2017).</w:t>
      </w:r>
    </w:p>
    <w:p w14:paraId="502D85D6" w14:textId="7FAE7829" w:rsidR="009C24AD" w:rsidRDefault="004B5640">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43" w:name="__Fieldmark__463_3903614438"/>
      <w:r>
        <w:rPr>
          <w:color w:val="000000"/>
        </w:rPr>
        <w:t>(</w:t>
      </w:r>
      <w:proofErr w:type="spellStart"/>
      <w:r>
        <w:rPr>
          <w:color w:val="000000"/>
        </w:rPr>
        <w:t>Amarasekare</w:t>
      </w:r>
      <w:proofErr w:type="spellEnd"/>
      <w:r>
        <w:rPr>
          <w:color w:val="000000"/>
        </w:rPr>
        <w:t xml:space="preserve"> and Coutinho 2014)</w:t>
      </w:r>
      <w:bookmarkEnd w:id="4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9C24AD" w14:paraId="191802BC" w14:textId="77777777">
        <w:tc>
          <w:tcPr>
            <w:tcW w:w="985" w:type="dxa"/>
            <w:shd w:val="clear" w:color="auto" w:fill="auto"/>
            <w:vAlign w:val="center"/>
          </w:tcPr>
          <w:p w14:paraId="7D745454" w14:textId="77777777" w:rsidR="009C24AD" w:rsidRDefault="009C24AD">
            <w:pPr>
              <w:pStyle w:val="NormalWeb"/>
              <w:spacing w:before="280" w:after="0" w:line="480" w:lineRule="auto"/>
              <w:jc w:val="center"/>
            </w:pPr>
          </w:p>
        </w:tc>
        <w:tc>
          <w:tcPr>
            <w:tcW w:w="7088" w:type="dxa"/>
            <w:shd w:val="clear" w:color="auto" w:fill="auto"/>
            <w:vAlign w:val="center"/>
          </w:tcPr>
          <w:p w14:paraId="72D428CD" w14:textId="44284053" w:rsidR="009C24AD" w:rsidRDefault="00EF3451">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502E3E47" w14:textId="77777777" w:rsidR="009C24AD" w:rsidRDefault="004B5640">
            <w:pPr>
              <w:pStyle w:val="NormalWeb"/>
              <w:spacing w:before="280" w:after="0" w:line="480" w:lineRule="auto"/>
              <w:jc w:val="center"/>
            </w:pPr>
            <w:r>
              <w:t>Eq. 1</w:t>
            </w:r>
          </w:p>
        </w:tc>
      </w:tr>
    </w:tbl>
    <w:p w14:paraId="492DB113" w14:textId="77777777" w:rsidR="009C24AD" w:rsidRDefault="004B5640">
      <w:pPr>
        <w:spacing w:before="280" w:line="480" w:lineRule="auto"/>
      </w:pPr>
      <w:r>
        <w:rPr>
          <w:rFonts w:ascii="Times New Roman" w:eastAsia="Times New Roman" w:hAnsi="Times New Roman" w:cs="Times New Roman"/>
          <w:color w:val="000000"/>
          <w:sz w:val="24"/>
          <w:szCs w:val="24"/>
          <w:lang w:eastAsia="en-CA"/>
        </w:rPr>
        <w:t>This equation is equivalent to the stage-duration condition in Nisbet and Gurney (1983).</w:t>
      </w:r>
    </w:p>
    <w:p w14:paraId="78EF0A61" w14:textId="0FA33A64" w:rsidR="009C24AD" w:rsidRDefault="004B5640">
      <w:pPr>
        <w:spacing w:before="280" w:line="480" w:lineRule="auto"/>
      </w:pPr>
      <w:r>
        <w:rPr>
          <w:rFonts w:ascii="Times New Roman" w:eastAsia="Times New Roman" w:hAnsi="Times New Roman" w:cs="Times New Roman"/>
          <w:color w:val="000000"/>
          <w:sz w:val="24"/>
          <w:szCs w:val="24"/>
          <w:lang w:eastAsia="en-CA"/>
        </w:rPr>
        <w:lastRenderedPageBreak/>
        <w:t xml:space="preserve">A typical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9C24AD" w14:paraId="5850015C" w14:textId="77777777">
        <w:tc>
          <w:tcPr>
            <w:tcW w:w="985" w:type="dxa"/>
            <w:shd w:val="clear" w:color="auto" w:fill="auto"/>
            <w:vAlign w:val="center"/>
          </w:tcPr>
          <w:p w14:paraId="056E1B56" w14:textId="77777777" w:rsidR="009C24AD" w:rsidRDefault="009C24AD">
            <w:pPr>
              <w:pStyle w:val="NormalWeb"/>
              <w:spacing w:before="280" w:after="0" w:line="480" w:lineRule="auto"/>
              <w:jc w:val="center"/>
            </w:pPr>
          </w:p>
        </w:tc>
        <w:tc>
          <w:tcPr>
            <w:tcW w:w="7088" w:type="dxa"/>
            <w:shd w:val="clear" w:color="auto" w:fill="auto"/>
            <w:vAlign w:val="center"/>
          </w:tcPr>
          <w:p w14:paraId="6C1B5B86" w14:textId="77777777" w:rsidR="009C24AD" w:rsidRDefault="004B5640">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7093271A" w14:textId="77777777" w:rsidR="009C24AD" w:rsidRDefault="004B5640">
            <w:pPr>
              <w:pStyle w:val="NormalWeb"/>
              <w:spacing w:before="280" w:after="0" w:line="480" w:lineRule="auto"/>
              <w:jc w:val="center"/>
            </w:pPr>
            <w:r>
              <w:t>Eq. 2</w:t>
            </w:r>
          </w:p>
        </w:tc>
      </w:tr>
    </w:tbl>
    <w:p w14:paraId="10511C70" w14:textId="50D2C820" w:rsidR="009C24AD" w:rsidRDefault="004B5640">
      <w:pPr>
        <w:spacing w:before="280" w:line="480" w:lineRule="auto"/>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44" w:name="__Fieldmark__553_3903614438"/>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Chuine</w:t>
      </w:r>
      <w:proofErr w:type="spellEnd"/>
      <w:r>
        <w:rPr>
          <w:rFonts w:ascii="Times New Roman" w:eastAsia="Times New Roman" w:hAnsi="Times New Roman" w:cs="Times New Roman"/>
          <w:color w:val="000000"/>
          <w:sz w:val="24"/>
          <w:szCs w:val="24"/>
          <w:lang w:eastAsia="en-CA"/>
        </w:rPr>
        <w:t xml:space="preserve"> 2000; </w:t>
      </w:r>
      <w:proofErr w:type="spellStart"/>
      <w:r>
        <w:rPr>
          <w:rFonts w:ascii="Times New Roman" w:eastAsia="Times New Roman" w:hAnsi="Times New Roman" w:cs="Times New Roman"/>
          <w:color w:val="000000"/>
          <w:sz w:val="24"/>
          <w:szCs w:val="24"/>
          <w:lang w:eastAsia="en-CA"/>
        </w:rPr>
        <w:t>Rebaudo</w:t>
      </w:r>
      <w:proofErr w:type="spellEnd"/>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xml:space="preserve"> 2018)</w:t>
      </w:r>
      <w:bookmarkEnd w:id="44"/>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 be affected differently (Fig. 1C). Consequently, the end times of their respective resting period may shift differently (Fig. 1D). When temperatures increase, accumulation occurs faster and the phenology advances, resulting in earlier end time (Fig. 1D).</w:t>
      </w:r>
    </w:p>
    <w:p w14:paraId="12BCAB63" w14:textId="6613EC27" w:rsidR="009C24AD" w:rsidRDefault="004B5640">
      <w:pPr>
        <w:spacing w:before="280" w:line="480" w:lineRule="auto"/>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In view of our intended application, we also refer to the consumer as the insect and to the resource as the tree. We denote the corresponding end times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is the difference in end times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will change. This is the fundamental quantity that we study here (Fig. 1D).</w:t>
      </w:r>
    </w:p>
    <w:p w14:paraId="6B07BF5E" w14:textId="175F7788" w:rsidR="009C24AD" w:rsidRDefault="004B5640">
      <w:pPr>
        <w:spacing w:before="280" w:line="480" w:lineRule="auto"/>
        <w:ind w:firstLine="720"/>
      </w:pPr>
      <w:r>
        <w:rPr>
          <w:rFonts w:ascii="Times New Roman" w:hAnsi="Times New Roman" w:cs="Times New Roman"/>
          <w:color w:val="000000"/>
          <w:sz w:val="24"/>
          <w:szCs w:val="24"/>
        </w:rPr>
        <w:t xml:space="preserve">Model equation (Eq. 1) can in general not be solved explicitly for the end time,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Instead, we derive an approximation formula for how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changes when future temperature time series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2</w:t>
      </w:r>
      <w:r>
        <w:rPr>
          <w:rFonts w:ascii="Times New Roman" w:hAnsi="Times New Roman" w:cs="Times New Roman"/>
          <w:i/>
          <w:iCs/>
          <w:color w:val="000000"/>
          <w:sz w:val="24"/>
          <w:szCs w:val="24"/>
        </w:rPr>
        <w:t>(t)</w:t>
      </w:r>
      <w:r>
        <w:rPr>
          <w:rFonts w:ascii="Times New Roman" w:hAnsi="Times New Roman" w:cs="Times New Roman"/>
          <w:color w:val="000000"/>
          <w:sz w:val="24"/>
          <w:szCs w:val="24"/>
        </w:rPr>
        <w:t>) deviate from historical expectation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1</w:t>
      </w:r>
      <w:r>
        <w:rPr>
          <w:rFonts w:ascii="Times New Roman" w:hAnsi="Times New Roman" w:cs="Times New Roman"/>
          <w:i/>
          <w:iCs/>
          <w:color w:val="000000"/>
          <w:sz w:val="24"/>
          <w:szCs w:val="24"/>
        </w:rPr>
        <w:t>(t)</w:t>
      </w:r>
      <w:r>
        <w:rPr>
          <w:rFonts w:ascii="Times New Roman" w:hAnsi="Times New Roman" w:cs="Times New Roman"/>
          <w:color w:val="000000"/>
          <w:sz w:val="24"/>
          <w:szCs w:val="24"/>
        </w:rPr>
        <w:t xml:space="preserve">)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Our results here apply </w:t>
      </w:r>
      <w:proofErr w:type="gramStart"/>
      <w:r>
        <w:rPr>
          <w:rFonts w:ascii="Times New Roman" w:hAnsi="Times New Roman" w:cs="Times New Roman"/>
          <w:color w:val="000000"/>
          <w:sz w:val="24"/>
          <w:szCs w:val="24"/>
        </w:rPr>
        <w:t>to  general</w:t>
      </w:r>
      <w:proofErr w:type="gramEnd"/>
      <w:r>
        <w:rPr>
          <w:rFonts w:ascii="Times New Roman" w:hAnsi="Times New Roman" w:cs="Times New Roman"/>
          <w:color w:val="000000"/>
          <w:sz w:val="24"/>
          <w:szCs w:val="24"/>
        </w:rPr>
        <w:t xml:space="preserve"> rate accumulation functions.</w:t>
      </w:r>
    </w:p>
    <w:p w14:paraId="23456127" w14:textId="77777777" w:rsidR="009C24AD" w:rsidRDefault="004B5640">
      <w:pPr>
        <w:pStyle w:val="Titre2"/>
        <w:rPr>
          <w:rFonts w:ascii="Times New Roman" w:hAnsi="Times New Roman"/>
          <w:b/>
          <w:bCs/>
          <w:sz w:val="28"/>
          <w:szCs w:val="28"/>
        </w:rPr>
      </w:pPr>
      <w:r>
        <w:rPr>
          <w:rFonts w:ascii="Times New Roman" w:hAnsi="Times New Roman"/>
          <w:b/>
          <w:bCs/>
          <w:color w:val="000000"/>
          <w:sz w:val="28"/>
          <w:szCs w:val="28"/>
        </w:rPr>
        <w:lastRenderedPageBreak/>
        <w:t>Phenology shift of a single species</w:t>
      </w:r>
    </w:p>
    <w:p w14:paraId="37ACCD24" w14:textId="77777777" w:rsidR="009C24AD" w:rsidRDefault="004B5640">
      <w:pPr>
        <w:pStyle w:val="NormalWeb"/>
        <w:spacing w:line="480" w:lineRule="auto"/>
        <w:rPr>
          <w:color w:val="000000"/>
        </w:rPr>
      </w:pPr>
      <w:r>
        <w:rPr>
          <w:rFonts w:eastAsia="Calibr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9C24AD" w14:paraId="05F3DA6B" w14:textId="77777777">
        <w:tc>
          <w:tcPr>
            <w:tcW w:w="985" w:type="dxa"/>
            <w:shd w:val="clear" w:color="auto" w:fill="auto"/>
            <w:vAlign w:val="center"/>
          </w:tcPr>
          <w:p w14:paraId="7B46ABDA" w14:textId="77777777" w:rsidR="009C24AD" w:rsidRDefault="009C24AD">
            <w:pPr>
              <w:pStyle w:val="NormalWeb"/>
              <w:spacing w:before="280" w:beforeAutospacing="0" w:after="0" w:afterAutospacing="0" w:line="480" w:lineRule="auto"/>
              <w:jc w:val="center"/>
            </w:pPr>
          </w:p>
        </w:tc>
        <w:tc>
          <w:tcPr>
            <w:tcW w:w="7088" w:type="dxa"/>
            <w:shd w:val="clear" w:color="auto" w:fill="auto"/>
            <w:vAlign w:val="center"/>
          </w:tcPr>
          <w:p w14:paraId="613BB8DD" w14:textId="41BBDFD9" w:rsidR="009C24AD" w:rsidRDefault="00EF3451">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4B2FDB10" w14:textId="77777777" w:rsidR="009C24AD" w:rsidRDefault="004B5640">
            <w:pPr>
              <w:pStyle w:val="NormalWeb"/>
              <w:spacing w:before="280" w:after="0" w:line="480" w:lineRule="auto"/>
              <w:jc w:val="center"/>
            </w:pPr>
            <w:r>
              <w:t>Eq. 3</w:t>
            </w:r>
          </w:p>
        </w:tc>
      </w:tr>
    </w:tbl>
    <w:p w14:paraId="770EFA08" w14:textId="77777777" w:rsidR="009C24AD" w:rsidRDefault="004B5640">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9C24AD" w14:paraId="0B9AC5B5" w14:textId="77777777">
        <w:tc>
          <w:tcPr>
            <w:tcW w:w="985" w:type="dxa"/>
            <w:shd w:val="clear" w:color="auto" w:fill="auto"/>
            <w:vAlign w:val="center"/>
          </w:tcPr>
          <w:p w14:paraId="149B09D5" w14:textId="77777777" w:rsidR="009C24AD" w:rsidRDefault="009C24AD">
            <w:pPr>
              <w:pStyle w:val="NormalWeb"/>
              <w:spacing w:before="280" w:beforeAutospacing="0" w:after="0" w:afterAutospacing="0" w:line="480" w:lineRule="auto"/>
              <w:jc w:val="center"/>
            </w:pPr>
          </w:p>
        </w:tc>
        <w:tc>
          <w:tcPr>
            <w:tcW w:w="7088" w:type="dxa"/>
            <w:shd w:val="clear" w:color="auto" w:fill="auto"/>
            <w:vAlign w:val="center"/>
          </w:tcPr>
          <w:p w14:paraId="1AD4ECD9" w14:textId="26F77DCB" w:rsidR="009C24AD" w:rsidRDefault="00EF3451">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58F0AB5" w14:textId="77777777" w:rsidR="009C24AD" w:rsidRDefault="004B5640">
            <w:pPr>
              <w:pStyle w:val="NormalWeb"/>
              <w:spacing w:before="280" w:after="0" w:line="480" w:lineRule="auto"/>
              <w:jc w:val="center"/>
            </w:pPr>
            <w:r>
              <w:t>Eq. 4</w:t>
            </w:r>
          </w:p>
        </w:tc>
      </w:tr>
    </w:tbl>
    <w:p w14:paraId="4B9F5F49" w14:textId="77777777" w:rsidR="009C24AD" w:rsidRDefault="004B5640">
      <w:pPr>
        <w:pStyle w:val="NormalWeb"/>
        <w:spacing w:line="480" w:lineRule="auto"/>
      </w:pPr>
      <w:r>
        <w:rPr>
          <w:color w:val="000000"/>
        </w:rPr>
        <w:t>These linear approximations capture the actual end of the resting period very well (see supplementary Fig. S1).</w:t>
      </w:r>
    </w:p>
    <w:p w14:paraId="3C1745A4" w14:textId="77777777" w:rsidR="009C24AD" w:rsidRDefault="004B5640">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The 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63D7816A" w14:textId="77777777" w:rsidR="009C24AD" w:rsidRDefault="004B5640">
      <w:pPr>
        <w:pStyle w:val="Titre2"/>
        <w:rPr>
          <w:rFonts w:ascii="Times New Roman" w:hAnsi="Times New Roman"/>
          <w:b/>
          <w:bCs/>
          <w:sz w:val="28"/>
          <w:szCs w:val="28"/>
        </w:rPr>
      </w:pPr>
      <w:r>
        <w:rPr>
          <w:rFonts w:ascii="Times New Roman" w:hAnsi="Times New Roman"/>
          <w:b/>
          <w:bCs/>
          <w:color w:val="000000"/>
          <w:sz w:val="28"/>
          <w:szCs w:val="28"/>
        </w:rPr>
        <w:lastRenderedPageBreak/>
        <w:t>Effects on the mismatch between two species</w:t>
      </w:r>
    </w:p>
    <w:p w14:paraId="5D8C9B5E" w14:textId="77777777" w:rsidR="009C24AD" w:rsidRDefault="004B5640">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14:paraId="76315982" w14:textId="77777777" w:rsidR="009C24AD" w:rsidRDefault="004B5640">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tblLook w:val="04A0" w:firstRow="1" w:lastRow="0" w:firstColumn="1" w:lastColumn="0" w:noHBand="0" w:noVBand="1"/>
      </w:tblPr>
      <w:tblGrid>
        <w:gridCol w:w="281"/>
        <w:gridCol w:w="7792"/>
        <w:gridCol w:w="989"/>
      </w:tblGrid>
      <w:tr w:rsidR="009C24AD" w14:paraId="2F6A5706" w14:textId="77777777">
        <w:tc>
          <w:tcPr>
            <w:tcW w:w="281" w:type="dxa"/>
            <w:shd w:val="clear" w:color="auto" w:fill="auto"/>
            <w:vAlign w:val="center"/>
          </w:tcPr>
          <w:p w14:paraId="5E43D3CD" w14:textId="77777777" w:rsidR="009C24AD" w:rsidRDefault="009C24AD">
            <w:pPr>
              <w:pStyle w:val="NormalWeb"/>
              <w:spacing w:after="0" w:line="480" w:lineRule="auto"/>
              <w:jc w:val="center"/>
            </w:pPr>
          </w:p>
        </w:tc>
        <w:tc>
          <w:tcPr>
            <w:tcW w:w="7792" w:type="dxa"/>
            <w:shd w:val="clear" w:color="auto" w:fill="auto"/>
            <w:vAlign w:val="center"/>
          </w:tcPr>
          <w:p w14:paraId="6B2137D0" w14:textId="5D562334" w:rsidR="009C24AD" w:rsidRDefault="00EF3451">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74670651" w14:textId="77777777" w:rsidR="009C24AD" w:rsidRDefault="004B5640">
            <w:pPr>
              <w:pStyle w:val="NormalWeb"/>
              <w:spacing w:after="0" w:line="480" w:lineRule="auto"/>
              <w:jc w:val="center"/>
            </w:pPr>
            <w:r>
              <w:t>Eq. 6</w:t>
            </w:r>
          </w:p>
        </w:tc>
      </w:tr>
    </w:tbl>
    <w:p w14:paraId="1D9955ED" w14:textId="77777777" w:rsidR="009C24AD" w:rsidRDefault="004B5640">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9C24AD" w14:paraId="168D6BB1" w14:textId="77777777">
        <w:tc>
          <w:tcPr>
            <w:tcW w:w="985" w:type="dxa"/>
            <w:shd w:val="clear" w:color="auto" w:fill="auto"/>
            <w:vAlign w:val="center"/>
          </w:tcPr>
          <w:p w14:paraId="1E822949" w14:textId="77777777" w:rsidR="009C24AD" w:rsidRDefault="009C24AD">
            <w:pPr>
              <w:pStyle w:val="NormalWeb"/>
              <w:spacing w:before="280" w:beforeAutospacing="0" w:after="0" w:afterAutospacing="0" w:line="480" w:lineRule="auto"/>
              <w:jc w:val="center"/>
            </w:pPr>
          </w:p>
        </w:tc>
        <w:tc>
          <w:tcPr>
            <w:tcW w:w="7088" w:type="dxa"/>
            <w:shd w:val="clear" w:color="auto" w:fill="auto"/>
            <w:vAlign w:val="center"/>
          </w:tcPr>
          <w:p w14:paraId="0276943D" w14:textId="06A9AF5A" w:rsidR="009C24AD" w:rsidRDefault="00EF3451">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1A219CEA" w14:textId="77777777" w:rsidR="009C24AD" w:rsidRDefault="004B5640">
            <w:pPr>
              <w:pStyle w:val="NormalWeb"/>
              <w:spacing w:before="280" w:after="0" w:line="480" w:lineRule="auto"/>
              <w:jc w:val="center"/>
            </w:pPr>
            <w:r>
              <w:t>Eq. 7</w:t>
            </w:r>
          </w:p>
        </w:tc>
      </w:tr>
    </w:tbl>
    <w:p w14:paraId="4A693600" w14:textId="39C778EF" w:rsidR="009C24AD" w:rsidRDefault="004B5640">
      <w:pPr>
        <w:pStyle w:val="NormalWeb"/>
        <w:spacing w:before="240" w:beforeAutospacing="0" w:after="280" w:afterAutospacing="0" w:line="480" w:lineRule="auto"/>
        <w:ind w:firstLine="720"/>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may overlap more or less, making the change in mis match harder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the difference in parentheses in Eq. 7 can still be negative if the denominator in the first term is much larger than in the second.</w:t>
      </w:r>
    </w:p>
    <w:p w14:paraId="41496987" w14:textId="77777777" w:rsidR="009C24AD" w:rsidRDefault="004B5640">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14:paraId="38623D7B" w14:textId="77777777" w:rsidR="009C24AD" w:rsidRDefault="004B5640">
      <w:pPr>
        <w:pStyle w:val="Titre1"/>
        <w:rPr>
          <w:color w:val="000000"/>
          <w:sz w:val="32"/>
          <w:szCs w:val="32"/>
        </w:rPr>
      </w:pPr>
      <w:r>
        <w:rPr>
          <w:color w:val="000000"/>
          <w:sz w:val="32"/>
          <w:szCs w:val="32"/>
        </w:rPr>
        <w:t>3. A case study: the spruce budworm – balsam fir system</w:t>
      </w:r>
    </w:p>
    <w:p w14:paraId="2BDD5E91" w14:textId="56085E24" w:rsidR="009C24AD" w:rsidRDefault="004B5640">
      <w:pPr>
        <w:spacing w:line="480" w:lineRule="auto"/>
      </w:pPr>
      <w:r>
        <w:rPr>
          <w:rFonts w:ascii="Times New Roman" w:hAnsi="Times New Roman" w:cs="Times New Roman"/>
          <w:color w:val="000000"/>
          <w:sz w:val="24"/>
          <w:szCs w:val="24"/>
        </w:rPr>
        <w:lastRenderedPageBreak/>
        <w:t xml:space="preserve">We describe the spruce budworm – balsam fir system and provide the accumulation function for both species. Then, we list our temperature data sources and present the results for this case study. We use R (R core team, 2021) to implement the model, analyze the results, and generate the figures. </w:t>
      </w:r>
    </w:p>
    <w:p w14:paraId="6681B412"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3.1 Study system</w:t>
      </w:r>
    </w:p>
    <w:p w14:paraId="18E5F6C0" w14:textId="15CA9C72"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45" w:name="__Fieldmark__640_3903614438"/>
      <w:r>
        <w:rPr>
          <w:rFonts w:ascii="Times New Roman" w:hAnsi="Times New Roman" w:cs="Times New Roman"/>
          <w:color w:val="000000"/>
          <w:sz w:val="24"/>
          <w:szCs w:val="24"/>
        </w:rPr>
        <w:t>(Fleming 2000)</w:t>
      </w:r>
      <w:bookmarkEnd w:id="45"/>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an 8-9 months winter resting period.  The first stage of the resting period ends in late winter, but the physiological processes and environmental factors that control this are still unknown (Bean 1961). It is followed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46" w:name="__Fieldmark__691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xml:space="preserve"> 2008)</w:t>
      </w:r>
      <w:bookmarkEnd w:id="46"/>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47" w:name="__Fieldmark__713_3903614438"/>
      <w:r>
        <w:rPr>
          <w:rFonts w:ascii="Times New Roman" w:hAnsi="Times New Roman" w:cs="Times New Roman"/>
          <w:color w:val="000000"/>
          <w:sz w:val="24"/>
          <w:szCs w:val="24"/>
        </w:rPr>
        <w:t>(Lawrence et al. 1997)</w:t>
      </w:r>
      <w:bookmarkEnd w:id="47"/>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48" w:name="__Fieldmark__724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Blais</w:t>
      </w:r>
      <w:proofErr w:type="spellEnd"/>
      <w:r>
        <w:rPr>
          <w:rFonts w:ascii="Times New Roman" w:hAnsi="Times New Roman" w:cs="Times New Roman"/>
          <w:color w:val="000000"/>
          <w:sz w:val="24"/>
          <w:szCs w:val="24"/>
        </w:rPr>
        <w:t xml:space="preserve"> 1957)</w:t>
      </w:r>
      <w:bookmarkEnd w:id="48"/>
      <w:r>
        <w:rPr>
          <w:rFonts w:ascii="Times New Roman" w:hAnsi="Times New Roman" w:cs="Times New Roman"/>
          <w:color w:val="000000"/>
          <w:sz w:val="24"/>
          <w:szCs w:val="24"/>
        </w:rPr>
        <w:t xml:space="preserve">. The emergence of SBW generally precedes balsam fir budburst by several days (Fig. 3). Balsam fir phenology appears to be related to forcing temperatures but not photoperiod </w:t>
      </w:r>
      <w:bookmarkStart w:id="49" w:name="__Fieldmark__739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Osawa</w:t>
      </w:r>
      <w:proofErr w:type="spellEnd"/>
      <w:r>
        <w:rPr>
          <w:rFonts w:ascii="Times New Roman" w:hAnsi="Times New Roman" w:cs="Times New Roman"/>
          <w:color w:val="000000"/>
          <w:sz w:val="24"/>
          <w:szCs w:val="24"/>
        </w:rPr>
        <w:t xml:space="preserve"> et al. 1983)</w:t>
      </w:r>
      <w:bookmarkEnd w:id="49"/>
      <w:r>
        <w:rPr>
          <w:rFonts w:ascii="Times New Roman" w:hAnsi="Times New Roman" w:cs="Times New Roman"/>
          <w:color w:val="000000"/>
          <w:sz w:val="24"/>
          <w:szCs w:val="24"/>
        </w:rPr>
        <w:t>. </w:t>
      </w:r>
    </w:p>
    <w:p w14:paraId="4937DFEB" w14:textId="77777777" w:rsidR="009C24AD" w:rsidRDefault="004B5640">
      <w:pPr>
        <w:pStyle w:val="NormalWeb"/>
        <w:spacing w:line="480" w:lineRule="auto"/>
        <w:ind w:firstLine="720"/>
        <w:rPr>
          <w:color w:val="000000"/>
        </w:rPr>
      </w:pPr>
      <w:r>
        <w:rPr>
          <w:color w:val="000000"/>
        </w:rPr>
        <w:lastRenderedPageBreak/>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14:paraId="7F960EBD" w14:textId="77777777" w:rsidR="009C24AD" w:rsidRDefault="004B5640">
      <w:pPr>
        <w:pStyle w:val="NormalWeb"/>
        <w:spacing w:line="480" w:lineRule="auto"/>
        <w:outlineLvl w:val="1"/>
        <w:rPr>
          <w:b/>
          <w:bCs/>
          <w:sz w:val="28"/>
          <w:szCs w:val="28"/>
        </w:rPr>
      </w:pPr>
      <w:r>
        <w:rPr>
          <w:b/>
          <w:bCs/>
          <w:color w:val="000000"/>
          <w:sz w:val="28"/>
          <w:szCs w:val="28"/>
        </w:rPr>
        <w:t>3.2 Phenological models</w:t>
      </w:r>
    </w:p>
    <w:p w14:paraId="3AC056BB"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3.2.1 Phenological model of spruce budworm’s spring emergence</w:t>
      </w:r>
    </w:p>
    <w:p w14:paraId="7FCC1753" w14:textId="25BD16CE" w:rsidR="009C24AD" w:rsidRDefault="004B5640">
      <w:pPr>
        <w:pStyle w:val="NormalWeb"/>
        <w:spacing w:before="280" w:beforeAutospacing="0" w:afterAutospacing="0" w:line="480" w:lineRule="auto"/>
        <w:rPr>
          <w:color w:val="000000"/>
        </w:rPr>
      </w:pPr>
      <w:r>
        <w:rPr>
          <w:color w:val="000000"/>
        </w:rPr>
        <w:t>For the heat accumulation rate of the overwintering stage (L</w:t>
      </w:r>
      <w:r>
        <w:rPr>
          <w:color w:val="000000"/>
          <w:vertAlign w:val="subscript"/>
        </w:rPr>
        <w:t>2o</w:t>
      </w:r>
      <w:r>
        <w:rPr>
          <w:color w:val="000000"/>
        </w:rPr>
        <w:t>) of SBW, we use a well-establish model (</w:t>
      </w:r>
      <w:proofErr w:type="spellStart"/>
      <w:r>
        <w:rPr>
          <w:color w:val="000000"/>
        </w:rPr>
        <w:t>Régnière</w:t>
      </w:r>
      <w:proofErr w:type="spellEnd"/>
      <w:r>
        <w:rPr>
          <w:color w:val="000000"/>
        </w:rPr>
        <w:t xml:space="preserv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68209C" w:rsidRPr="00906FAB" w14:paraId="0FE8DA00" w14:textId="77777777" w:rsidTr="005077F1">
        <w:tc>
          <w:tcPr>
            <w:tcW w:w="277" w:type="dxa"/>
            <w:shd w:val="clear" w:color="auto" w:fill="auto"/>
            <w:vAlign w:val="center"/>
          </w:tcPr>
          <w:p w14:paraId="136F2D5F" w14:textId="77777777" w:rsidR="0068209C" w:rsidRDefault="0068209C" w:rsidP="005077F1">
            <w:pPr>
              <w:pStyle w:val="NormalWeb"/>
              <w:spacing w:before="280" w:after="0" w:line="480" w:lineRule="auto"/>
              <w:jc w:val="center"/>
            </w:pPr>
          </w:p>
        </w:tc>
        <w:tc>
          <w:tcPr>
            <w:tcW w:w="8507" w:type="dxa"/>
            <w:shd w:val="clear" w:color="auto" w:fill="auto"/>
            <w:vAlign w:val="center"/>
          </w:tcPr>
          <w:p w14:paraId="2B2C586D" w14:textId="77777777" w:rsidR="0068209C" w:rsidRPr="00F25745" w:rsidRDefault="0068209C" w:rsidP="005077F1">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5F4908F0" w14:textId="77777777" w:rsidR="0068209C" w:rsidRDefault="0068209C" w:rsidP="005077F1">
            <w:pPr>
              <w:pStyle w:val="NormalWeb"/>
              <w:spacing w:before="280" w:after="0" w:line="480" w:lineRule="auto"/>
              <w:jc w:val="center"/>
            </w:pPr>
            <w:r>
              <w:t>Eq. 8</w:t>
            </w:r>
          </w:p>
        </w:tc>
      </w:tr>
    </w:tbl>
    <w:p w14:paraId="436A735C" w14:textId="77777777" w:rsidR="009C24AD" w:rsidRDefault="004B5640">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9C24AD" w14:paraId="6761F9FC" w14:textId="77777777">
        <w:tc>
          <w:tcPr>
            <w:tcW w:w="985" w:type="dxa"/>
            <w:shd w:val="clear" w:color="auto" w:fill="auto"/>
            <w:vAlign w:val="center"/>
          </w:tcPr>
          <w:p w14:paraId="65D85A4A" w14:textId="77777777" w:rsidR="009C24AD" w:rsidRDefault="009C24AD">
            <w:pPr>
              <w:pStyle w:val="NormalWeb"/>
              <w:spacing w:before="280" w:after="0" w:line="480" w:lineRule="auto"/>
              <w:jc w:val="center"/>
            </w:pPr>
          </w:p>
        </w:tc>
        <w:tc>
          <w:tcPr>
            <w:tcW w:w="7088" w:type="dxa"/>
            <w:shd w:val="clear" w:color="auto" w:fill="auto"/>
            <w:vAlign w:val="center"/>
          </w:tcPr>
          <w:p w14:paraId="380CBD8C" w14:textId="77777777" w:rsidR="009C24AD" w:rsidRDefault="004B5640">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5BD07694" w14:textId="77777777" w:rsidR="009C24AD" w:rsidRDefault="004B5640">
            <w:pPr>
              <w:pStyle w:val="NormalWeb"/>
              <w:spacing w:before="280" w:after="0" w:line="480" w:lineRule="auto"/>
              <w:jc w:val="center"/>
            </w:pPr>
            <w:r>
              <w:t>Eq. 9</w:t>
            </w:r>
          </w:p>
        </w:tc>
      </w:tr>
    </w:tbl>
    <w:p w14:paraId="34C019CE" w14:textId="5496DA8F" w:rsidR="009C24AD" w:rsidRDefault="004B5640">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estimated by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et al. (2012)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48AAC4D5"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3.2.2 Phenological model of balsam fir’s budburst</w:t>
      </w:r>
    </w:p>
    <w:p w14:paraId="5A4E06C7" w14:textId="033B1DD4" w:rsidR="009C24AD" w:rsidRDefault="004B5640">
      <w:pPr>
        <w:pStyle w:val="NormalWeb"/>
        <w:spacing w:before="280" w:beforeAutospacing="0" w:afterAutospacing="0" w:line="480" w:lineRule="auto"/>
        <w:ind w:firstLine="720"/>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and </w:t>
      </w:r>
      <w:proofErr w:type="spellStart"/>
      <w:r>
        <w:rPr>
          <w:color w:val="000000"/>
        </w:rPr>
        <w:lastRenderedPageBreak/>
        <w:t>Régnière</w:t>
      </w:r>
      <w:proofErr w:type="spellEnd"/>
      <w:r>
        <w:rPr>
          <w:color w:val="000000"/>
        </w:rPr>
        <w:t xml:space="preserve"> 2017). We use the </w:t>
      </w:r>
      <w:r>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Pr>
          <w:i/>
          <w:iCs/>
          <w:color w:val="000000"/>
        </w:rPr>
        <w:t>Uniforc</w:t>
      </w:r>
      <w:r>
        <w:rPr>
          <w:color w:val="000000"/>
        </w:rPr>
        <w:t xml:space="preserve"> predicts bud development as a function of that. starts some time after January 1st (Desbiens 2007),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7E66F39B"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3.3 Historical and future temperature regimes in eastern Canada</w:t>
      </w:r>
    </w:p>
    <w:p w14:paraId="4E9C700D" w14:textId="75249098" w:rsidR="009C24AD" w:rsidRDefault="004B5640">
      <w:pPr>
        <w:pStyle w:val="NormalWeb"/>
        <w:spacing w:before="280" w:beforeAutospacing="0" w:afterAutospacing="0" w:line="480" w:lineRule="auto"/>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Temperature data for these locations were calculated using </w:t>
      </w:r>
      <w:proofErr w:type="spellStart"/>
      <w:r>
        <w:rPr>
          <w:color w:val="000000"/>
        </w:rPr>
        <w:t>BioSIM</w:t>
      </w:r>
      <w:proofErr w:type="spellEnd"/>
      <w:r>
        <w:rPr>
          <w:color w:val="000000"/>
        </w:rPr>
        <w:t xml:space="preserve"> </w:t>
      </w:r>
      <w:bookmarkStart w:id="50" w:name="__Fieldmark__861_3903614438"/>
      <w:r>
        <w:rPr>
          <w:color w:val="000000"/>
        </w:rPr>
        <w:t>(</w:t>
      </w:r>
      <w:bookmarkStart w:id="51" w:name="__Fieldmark__510_2495178454"/>
      <w:proofErr w:type="spellStart"/>
      <w:r>
        <w:rPr>
          <w:color w:val="000000"/>
        </w:rPr>
        <w:t>R</w:t>
      </w:r>
      <w:bookmarkStart w:id="52" w:name="__Fieldmark__566_942872385"/>
      <w:r>
        <w:rPr>
          <w:color w:val="000000"/>
        </w:rPr>
        <w:t>égnière</w:t>
      </w:r>
      <w:proofErr w:type="spellEnd"/>
      <w:r>
        <w:rPr>
          <w:color w:val="000000"/>
        </w:rPr>
        <w:t>, et al. 2014)</w:t>
      </w:r>
      <w:bookmarkEnd w:id="50"/>
      <w:bookmarkEnd w:id="51"/>
      <w:bookmarkEnd w:id="52"/>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62838E8B" w14:textId="77777777" w:rsidR="009C24AD" w:rsidRDefault="004B5640">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(moderate warming), RCP4.5 (intermediate) and RCP8.5 (strong) </w:t>
      </w:r>
      <w:bookmarkStart w:id="53" w:name="__Fieldmark__874_3903614438"/>
      <w:r>
        <w:rPr>
          <w:color w:val="000000"/>
        </w:rPr>
        <w:t>(van Vuuren et al. 2011)</w:t>
      </w:r>
      <w:bookmarkEnd w:id="53"/>
      <w:r>
        <w:rPr>
          <w:color w:val="000000"/>
        </w:rPr>
        <w:t xml:space="preserve">. For each scenario, we generated 150 stochastic temperature time series per decade over the 2021-2100 period for each site using </w:t>
      </w:r>
      <w:proofErr w:type="spellStart"/>
      <w:r>
        <w:rPr>
          <w:color w:val="000000"/>
        </w:rPr>
        <w:t>BioSIM</w:t>
      </w:r>
      <w:proofErr w:type="spellEnd"/>
      <w:r>
        <w:rPr>
          <w:color w:val="000000"/>
        </w:rPr>
        <w:t>. </w:t>
      </w:r>
    </w:p>
    <w:p w14:paraId="6C0052F2" w14:textId="6E57216D" w:rsidR="009C24AD" w:rsidRDefault="004B5640">
      <w:pPr>
        <w:pStyle w:val="NormalWeb"/>
        <w:spacing w:before="280" w:beforeAutospacing="0" w:afterAutospacing="0" w:line="480" w:lineRule="auto"/>
        <w:ind w:firstLine="720"/>
      </w:pPr>
      <w:r>
        <w:rPr>
          <w:color w:val="000000"/>
        </w:rPr>
        <w:t xml:space="preserve">Both models used temperature data with a four-hour time interval, which allows us to capture of warm events within a day.  </w:t>
      </w:r>
    </w:p>
    <w:p w14:paraId="637AEFB2"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lastRenderedPageBreak/>
        <w:t>3.4. Mismatch in the spruce budworm - balsam fir system</w:t>
      </w:r>
    </w:p>
    <w:p w14:paraId="7E4A5B26"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3.4.1 Spruce budworm – balsam fir system across latitude</w:t>
      </w:r>
    </w:p>
    <w:p w14:paraId="0597B8B2" w14:textId="18B6050E" w:rsidR="009C24AD" w:rsidRDefault="004B5640">
      <w:pPr>
        <w:spacing w:line="480" w:lineRule="auto"/>
      </w:pPr>
      <w:r>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higher latitudes: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affected differently by temperature. Hence, the mismatch between both species varies across latitude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 and to benefit from an important source of nutrients. </w:t>
      </w:r>
      <w:proofErr w:type="spellStart"/>
      <w:r>
        <w:rPr>
          <w:rFonts w:ascii="Times New Roman" w:hAnsi="Times New Roman" w:cs="Times New Roman"/>
          <w:color w:val="000000"/>
          <w:sz w:val="24"/>
          <w:szCs w:val="24"/>
        </w:rPr>
        <w:t>Fuentealba</w:t>
      </w:r>
      <w:proofErr w:type="spellEnd"/>
      <w:r>
        <w:rPr>
          <w:rFonts w:ascii="Times New Roman" w:hAnsi="Times New Roman" w:cs="Times New Roman"/>
          <w:color w:val="000000"/>
          <w:sz w:val="24"/>
          <w:szCs w:val="24"/>
        </w:rPr>
        <w:t xml:space="preserve"> et al. (2017)</w:t>
      </w:r>
      <w:r>
        <w:rPr>
          <w:rFonts w:ascii="Times New Roman" w:hAnsi="Times New Roman" w:cs="Times New Roman"/>
          <w:sz w:val="24"/>
          <w:szCs w:val="24"/>
        </w:rPr>
        <w:t xml:space="preserve"> evaluated SBW performance on balsam fir according to their phenological mismatch. </w:t>
      </w:r>
      <w:r>
        <w:rPr>
          <w:rFonts w:ascii="Times New Roman" w:hAnsi="Times New Roman" w:cs="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14:paraId="289529C1" w14:textId="77777777" w:rsidR="009C24AD" w:rsidRDefault="004B5640">
      <w:pPr>
        <w:pStyle w:val="Titre3"/>
        <w:spacing w:line="480" w:lineRule="auto"/>
        <w:rPr>
          <w:rFonts w:ascii="Times New Roman" w:hAnsi="Times New Roman"/>
          <w:b/>
          <w:bCs/>
        </w:rPr>
      </w:pPr>
      <w:r>
        <w:rPr>
          <w:rFonts w:ascii="Times New Roman" w:hAnsi="Times New Roman"/>
          <w:b/>
          <w:bCs/>
          <w:color w:val="000000"/>
        </w:rPr>
        <w:t>3.4.2 Predicted trends according to warming scenarios</w:t>
      </w:r>
    </w:p>
    <w:p w14:paraId="7D6FA794" w14:textId="0A29252C" w:rsidR="009C24AD" w:rsidRDefault="004B5640">
      <w:pPr>
        <w:pStyle w:val="NormalWeb"/>
        <w:spacing w:before="280" w:beforeAutospacing="0" w:afterAutospacing="0" w:line="480" w:lineRule="auto"/>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 historical (1996-2016) difference between northern and southern sites of 10 days on average. This difference stays approximately the same in </w:t>
      </w:r>
      <w:r>
        <w:rPr>
          <w:color w:val="000000"/>
        </w:rPr>
        <w:lastRenderedPageBreak/>
        <w:t>case of warmer temperatures (i.e., budburst date is shifted similarly across latitude, see Fig. 5B). By contrast, emergence of SBW is expected to shift differently across latitude (about 15 days difference compared to 10 historically, see Fig. 5A). </w:t>
      </w:r>
    </w:p>
    <w:p w14:paraId="3F7CCA22" w14:textId="0D44B8F9" w:rsidR="009C24AD" w:rsidRDefault="004B5640">
      <w:pPr>
        <w:pStyle w:val="NormalWeb"/>
        <w:spacing w:before="280" w:beforeAutospacing="0" w:afterAutospacing="0" w:line="480" w:lineRule="auto"/>
      </w:pPr>
      <w:r>
        <w:rPr>
          <w:color w:val="000000"/>
        </w:rPr>
        <w:t>    Therefore, the mismatch is affected. Southern sites are expected to show emergence occurring before budburst most of the time. Under a moderate warming scenario (RCP2.6), the wait time is expected to be short, so that larvae can have access to a rich source of nutrients, which would benefit the insect. In case of greater warming (RCP4.5, RCP8.5), variance may lead to emergence occurring too early some years, leading to larvae dying from starvation, which may lead to stronger population variances among years. </w:t>
      </w:r>
    </w:p>
    <w:p w14:paraId="31634D73" w14:textId="75C98CEE" w:rsidR="009C24AD" w:rsidRDefault="004B5640">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increase with warmer scenarios, which may increase insect mortality from time to time when emergence occurs too late. </w:t>
      </w:r>
    </w:p>
    <w:p w14:paraId="499EF91D" w14:textId="77777777" w:rsidR="009C24AD" w:rsidRDefault="004B5640">
      <w:pPr>
        <w:pStyle w:val="Titre1"/>
        <w:spacing w:before="240" w:beforeAutospacing="0" w:after="280" w:afterAutospacing="0" w:line="480" w:lineRule="auto"/>
      </w:pPr>
      <w:r>
        <w:rPr>
          <w:color w:val="000000"/>
          <w:sz w:val="32"/>
          <w:szCs w:val="32"/>
        </w:rPr>
        <w:t>4. Discussion</w:t>
      </w:r>
    </w:p>
    <w:p w14:paraId="72C79A2F" w14:textId="77777777" w:rsidR="009C24AD" w:rsidRDefault="004B5640">
      <w:pPr>
        <w:pStyle w:val="NormalWeb"/>
        <w:spacing w:before="280" w:beforeAutospacing="0" w:afterAutospacing="0" w:line="480" w:lineRule="auto"/>
      </w:pPr>
      <w:r>
        <w:rPr>
          <w:color w:val="000000"/>
        </w:rPr>
        <w:t>We propose a temperature-driven mechanistic model to determine the end of the seasonal resting period. We investigate the effects of temperature on species phenology, and its consequences on consumer-resource synchrony (mismatch), across latitude and under future climate scenarios. </w:t>
      </w:r>
    </w:p>
    <w:p w14:paraId="6E72F64E" w14:textId="6EB49627" w:rsidR="009C24AD" w:rsidRDefault="004B5640">
      <w:pPr>
        <w:pStyle w:val="Titre2"/>
        <w:spacing w:line="480" w:lineRule="auto"/>
      </w:pPr>
      <w:r>
        <w:rPr>
          <w:rFonts w:ascii="Times New Roman" w:hAnsi="Times New Roman"/>
          <w:b/>
          <w:bCs/>
          <w:color w:val="000000"/>
          <w:sz w:val="28"/>
          <w:szCs w:val="28"/>
        </w:rPr>
        <w:t xml:space="preserve">4.1 Expected impacts of climate change on phenological mismatch </w:t>
      </w:r>
    </w:p>
    <w:p w14:paraId="4B600AA4" w14:textId="07332E11" w:rsidR="009C24AD" w:rsidRDefault="004B5640">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54" w:name="__Fieldmark__1168_3903614438"/>
      <w:r>
        <w:rPr>
          <w:color w:val="000000"/>
        </w:rPr>
        <w:t>(Visser and Both 2005; Donnelly et al. 2011; Kharouba et al. 2018)</w:t>
      </w:r>
      <w:bookmarkEnd w:id="54"/>
      <w:r>
        <w:rPr>
          <w:color w:val="000000"/>
        </w:rPr>
        <w:t xml:space="preserve">. By linking development with temperature, our modelling approach </w:t>
      </w:r>
      <w:r>
        <w:rPr>
          <w:color w:val="000000"/>
        </w:rPr>
        <w:lastRenderedPageBreak/>
        <w:t>predicts the expected phenological shift under various future climate scenarios for species whose resting periods are determined by temperature.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w:t>
      </w:r>
    </w:p>
    <w:p w14:paraId="3E851C9B" w14:textId="576138D2" w:rsidR="009C24AD" w:rsidRDefault="004B5640">
      <w:pPr>
        <w:pStyle w:val="NormalWeb"/>
        <w:spacing w:before="280" w:beforeAutospacing="0" w:afterAutospacing="0" w:line="480" w:lineRule="auto"/>
        <w:ind w:firstLine="720"/>
      </w:pPr>
      <w:r>
        <w:rPr>
          <w:color w:val="000000"/>
        </w:rPr>
        <w:t xml:space="preserve">Consumers often require some form of temporal synchrony to efficiently exploit a resource.  The degree of synchrony in consumer-resource systems can increase or decrease under climate change, but the underpinning mechanisms are unclear (Kharouba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we applied our model to each species separately to predict the changes in synchrony as temperature patterns change. The accumulation functions in our model can be estimated from observational data (see section 3) or obtained from mechanistic models for the physiological processes within an individual (</w:t>
      </w:r>
      <w:proofErr w:type="spellStart"/>
      <w:r>
        <w:rPr>
          <w:color w:val="000000"/>
        </w:rPr>
        <w:t>Cartenì</w:t>
      </w:r>
      <w:proofErr w:type="spellEnd"/>
      <w:r>
        <w:rPr>
          <w:color w:val="000000"/>
        </w:rPr>
        <w:t xml:space="preserve"> et al. 2018). Our model predictions apply very generally and independently of subsequent species interactions. </w:t>
      </w:r>
    </w:p>
    <w:p w14:paraId="13A736C9" w14:textId="47028903" w:rsidR="009C24AD" w:rsidRDefault="004B5640">
      <w:pPr>
        <w:pStyle w:val="NormalWeb"/>
        <w:spacing w:before="280" w:beforeAutospacing="0" w:afterAutospacing="0" w:line="480" w:lineRule="auto"/>
        <w:ind w:firstLine="720"/>
      </w:pPr>
      <w:r>
        <w:rPr>
          <w:color w:val="000000"/>
        </w:rPr>
        <w:t>The population- and community-level consequences of changes in mismatch depend on the specific consumer-resource system or food web. For example, an increase of the phenological mismatch may limit the consumer’s food intake, which affects its biomass, its life cycle, and potentially even its persistence</w:t>
      </w:r>
      <w:bookmarkStart w:id="55" w:name="__Fieldmark__1208_3903614438"/>
      <w:r w:rsidR="002C0039">
        <w:rPr>
          <w:color w:val="000000"/>
        </w:rPr>
        <w:t xml:space="preserve"> </w:t>
      </w:r>
      <w:r>
        <w:rPr>
          <w:color w:val="000000"/>
        </w:rPr>
        <w:t>(Simmonds et al. 2020)</w:t>
      </w:r>
      <w:bookmarkEnd w:id="55"/>
      <w:r>
        <w:rPr>
          <w:color w:val="000000"/>
        </w:rPr>
        <w:t xml:space="preserve">. The consumer may also switch resources </w:t>
      </w:r>
      <w:bookmarkStart w:id="56" w:name="__Fieldmark__1219_3903614438"/>
      <w:r>
        <w:rPr>
          <w:color w:val="000000"/>
        </w:rPr>
        <w:t>(</w:t>
      </w:r>
      <w:proofErr w:type="spellStart"/>
      <w:r>
        <w:rPr>
          <w:color w:val="000000"/>
        </w:rPr>
        <w:t>Stålhandske</w:t>
      </w:r>
      <w:proofErr w:type="spellEnd"/>
      <w:r>
        <w:rPr>
          <w:color w:val="000000"/>
        </w:rPr>
        <w:t xml:space="preserve"> et al. 2016)</w:t>
      </w:r>
      <w:bookmarkEnd w:id="56"/>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and geographic distribution in many ways </w:t>
      </w:r>
      <w:bookmarkStart w:id="57" w:name="__Fieldmark__1230_3903614438"/>
      <w:r>
        <w:rPr>
          <w:color w:val="000000"/>
        </w:rPr>
        <w:t>(Miller-Rushing et al. 2010)</w:t>
      </w:r>
      <w:bookmarkEnd w:id="57"/>
      <w:r>
        <w:rPr>
          <w:color w:val="000000"/>
        </w:rPr>
        <w:t xml:space="preserve">. Our work improves our ability to predict the direction and the magnitude </w:t>
      </w:r>
      <w:r>
        <w:rPr>
          <w:color w:val="000000"/>
        </w:rPr>
        <w:lastRenderedPageBreak/>
        <w:t xml:space="preserve">of the change in phenological synchrony, a research challenge identified by earlier studies (Kharouba et al. 2018). </w:t>
      </w:r>
    </w:p>
    <w:p w14:paraId="10ED73A5"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007A4462" w14:textId="75F44F7A" w:rsidR="009C24AD" w:rsidRDefault="004B5640">
      <w:pPr>
        <w:pStyle w:val="NormalWeb"/>
        <w:spacing w:before="280" w:beforeAutospacing="0" w:afterAutospacing="0" w:line="480" w:lineRule="auto"/>
        <w:ind w:firstLine="720"/>
      </w:pPr>
      <w:r>
        <w:rPr>
          <w:color w:val="000000"/>
        </w:rPr>
        <w:t>According to the general theory, a warm spell occurring at any time during the heat accumulation period is likely to affect SBW more than bal</w:t>
      </w:r>
      <w:r w:rsidR="002C0039">
        <w:rPr>
          <w:color w:val="000000"/>
        </w:rPr>
        <w:t>s</w:t>
      </w:r>
      <w:r>
        <w:rPr>
          <w:color w:val="000000"/>
        </w:rPr>
        <w:t>am fir (see Fig. 2B, and section 2) because of the insect’s wider sensitivity period. Therefore, under several warm spells, the insect will advance its phenology (15 days on average) more than the tree (7 days on average) (section 3.4.2). The expected overall mismatch increases by approximately 7 days on average (Fig. 5). </w:t>
      </w:r>
    </w:p>
    <w:p w14:paraId="6D9E02FE" w14:textId="3E763AE6" w:rsidR="009C24AD" w:rsidRDefault="004B5640">
      <w:pPr>
        <w:pStyle w:val="NormalWeb"/>
        <w:spacing w:before="280" w:beforeAutospacing="0" w:afterAutospacing="0" w:line="480" w:lineRule="auto"/>
        <w:ind w:firstLine="720"/>
      </w:pPr>
      <w:r>
        <w:rPr>
          <w:color w:val="000000"/>
        </w:rPr>
        <w:t xml:space="preserve">Budworms have to emerge within two weeks of budburst to have access to the rich source of nutrients. A shift in phenology that increases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which would increase damages to host trees. A shift in phenology that leads to emergence occurring too early or too late could cause severe budworm mortality and prevent its persistence in some parts of its current distribution. </w:t>
      </w:r>
    </w:p>
    <w:p w14:paraId="61E5CE99" w14:textId="3F9B55EB" w:rsidR="009C24AD" w:rsidRDefault="004B5640">
      <w:pPr>
        <w:pStyle w:val="NormalWeb"/>
        <w:spacing w:before="280" w:beforeAutospacing="0" w:afterAutospacing="0" w:line="480" w:lineRule="auto"/>
        <w:ind w:firstLine="720"/>
      </w:pPr>
      <w:r>
        <w:rPr>
          <w:color w:val="000000"/>
        </w:rPr>
        <w:t xml:space="preserve">Our model assumes that neither species affects the phenology of the other. Only temperature drives phenology. Recent observations suggest that severe defoliation by budworm may advance budburst phenology </w:t>
      </w:r>
      <w:bookmarkStart w:id="58" w:name="__Fieldmark__1296_3903614438"/>
      <w:r>
        <w:rPr>
          <w:color w:val="000000"/>
        </w:rPr>
        <w:t>(</w:t>
      </w:r>
      <w:proofErr w:type="spellStart"/>
      <w:r>
        <w:rPr>
          <w:color w:val="000000"/>
        </w:rPr>
        <w:t>Deslauriers</w:t>
      </w:r>
      <w:proofErr w:type="spellEnd"/>
      <w:r>
        <w:rPr>
          <w:color w:val="000000"/>
        </w:rPr>
        <w:t xml:space="preserve"> et al. 2019)</w:t>
      </w:r>
      <w:bookmarkStart w:id="59" w:name="__Fieldmark__1034_942872385"/>
      <w:bookmarkStart w:id="60" w:name="__Fieldmark__901_2495178454"/>
      <w:bookmarkEnd w:id="58"/>
      <w:bookmarkEnd w:id="59"/>
      <w:bookmarkEnd w:id="60"/>
      <w:r>
        <w:rPr>
          <w:color w:val="000000"/>
        </w:rPr>
        <w:t xml:space="preserve">. According to our model, an increase in temperature should increase the mismatch by advancing the budworm </w:t>
      </w:r>
      <w:r>
        <w:rPr>
          <w:color w:val="000000"/>
        </w:rPr>
        <w:lastRenderedPageBreak/>
        <w:t>phenology more than that of the tree. If defoliation leads to an advance in phenology for the tree, then the resulting mismatch would stay close to the historical mismatch, which would reduce the benefit of this physiological response for the tree.</w:t>
      </w:r>
    </w:p>
    <w:p w14:paraId="4833A06B" w14:textId="77777777" w:rsidR="009C24AD" w:rsidRDefault="004B5640">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F9E04BB" w14:textId="77777777" w:rsidR="009C24AD" w:rsidRDefault="004B5640">
      <w:pPr>
        <w:pStyle w:val="NormalWeb"/>
        <w:spacing w:before="280" w:beforeAutospacing="0" w:afterAutospacing="0" w:line="480" w:lineRule="auto"/>
        <w:ind w:firstLine="720"/>
      </w:pPr>
      <w:r>
        <w:rPr>
          <w:color w:val="000000"/>
        </w:rPr>
        <w:t xml:space="preserve">Our study provides novel insights into the effects of climate change on species phenology. Further studies may consider specific features that we do not include.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61" w:name="__Fieldmark__1310_3903614438"/>
      <w:r>
        <w:rPr>
          <w:color w:val="000000"/>
        </w:rPr>
        <w:t>(McNamara et al. 2011)</w:t>
      </w:r>
      <w:bookmarkEnd w:id="61"/>
      <w:r>
        <w:rPr>
          <w:color w:val="000000"/>
        </w:rPr>
        <w:t>. </w:t>
      </w:r>
    </w:p>
    <w:p w14:paraId="6C286E4B" w14:textId="46BAF9B3" w:rsidR="009C24AD" w:rsidRDefault="004B5640">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62" w:name="__Fieldmark__1324_3903614438"/>
      <w:proofErr w:type="spellStart"/>
      <w:r>
        <w:rPr>
          <w:color w:val="000000"/>
        </w:rPr>
        <w:t>Lindén</w:t>
      </w:r>
      <w:proofErr w:type="spellEnd"/>
      <w:r>
        <w:rPr>
          <w:color w:val="000000"/>
        </w:rPr>
        <w:t xml:space="preserve"> 2018)</w:t>
      </w:r>
      <w:bookmarkEnd w:id="62"/>
      <w:r>
        <w:rPr>
          <w:color w:val="000000"/>
        </w:rPr>
        <w:t xml:space="preserve"> while others showed that, in some cases, time lag between phenological peak dates was a better predictor of resource availability than the overlap between phenological distributions </w:t>
      </w:r>
      <w:bookmarkStart w:id="63" w:name="__Fieldmark__1335_3903614438"/>
      <w:r>
        <w:rPr>
          <w:color w:val="000000"/>
        </w:rPr>
        <w:t>(</w:t>
      </w:r>
      <w:proofErr w:type="spellStart"/>
      <w:r>
        <w:rPr>
          <w:color w:val="000000"/>
        </w:rPr>
        <w:t>Ramakers</w:t>
      </w:r>
      <w:proofErr w:type="spellEnd"/>
      <w:r>
        <w:rPr>
          <w:color w:val="000000"/>
        </w:rPr>
        <w:t xml:space="preserve"> et al. 2020)</w:t>
      </w:r>
      <w:bookmarkEnd w:id="63"/>
      <w:r>
        <w:rPr>
          <w:color w:val="000000"/>
        </w:rPr>
        <w:t>.  </w:t>
      </w:r>
    </w:p>
    <w:p w14:paraId="661C36E5" w14:textId="77777777" w:rsidR="009C24AD" w:rsidRDefault="004B5640">
      <w:pPr>
        <w:pStyle w:val="NormalWeb"/>
        <w:spacing w:before="280" w:beforeAutospacing="0" w:afterAutospacing="0" w:line="480" w:lineRule="auto"/>
        <w:ind w:firstLine="720"/>
      </w:pPr>
      <w:r>
        <w:rPr>
          <w:color w:val="000000"/>
        </w:rPr>
        <w:t xml:space="preserve">Third, to understand the impact of a change in mismatch on population- and community dynamics, one needs to “close the life cycle”, which can be highly system-specific (see above). Rising temperatures are likely to affect metabolism (Brown et al. 2004) and development rate (Sharpe and </w:t>
      </w:r>
      <w:proofErr w:type="spellStart"/>
      <w:r>
        <w:rPr>
          <w:color w:val="000000"/>
        </w:rPr>
        <w:t>DeMichele</w:t>
      </w:r>
      <w:proofErr w:type="spellEnd"/>
      <w:r>
        <w:rPr>
          <w:color w:val="000000"/>
        </w:rPr>
        <w:t xml:space="preserve"> 1977). Physiology-based models for tree developmental rates exist (</w:t>
      </w:r>
      <w:proofErr w:type="spellStart"/>
      <w:r>
        <w:rPr>
          <w:color w:val="000000"/>
        </w:rPr>
        <w:t>Cartenì</w:t>
      </w:r>
      <w:proofErr w:type="spellEnd"/>
      <w:r>
        <w:rPr>
          <w:color w:val="000000"/>
        </w:rPr>
        <w:t xml:space="preserve"> et al. 2018) and can be merged with our model. Temperature-dependent life cycle models for SBW have been parametrized (</w:t>
      </w:r>
      <w:proofErr w:type="spellStart"/>
      <w:r>
        <w:rPr>
          <w:color w:val="000000"/>
        </w:rPr>
        <w:t>Régnière</w:t>
      </w:r>
      <w:proofErr w:type="spellEnd"/>
      <w:r>
        <w:rPr>
          <w:color w:val="000000"/>
        </w:rPr>
        <w:t xml:space="preserve"> et al </w:t>
      </w:r>
      <w:r>
        <w:rPr>
          <w:color w:val="000000"/>
        </w:rPr>
        <w:lastRenderedPageBreak/>
        <w:t xml:space="preserve">2012) and can be combined with our model to study the impacts of climate change on the SBW-balsam fir system. In a different but related approach, </w:t>
      </w:r>
      <w:proofErr w:type="spellStart"/>
      <w:r>
        <w:rPr>
          <w:color w:val="000000"/>
        </w:rPr>
        <w:t>Amarasekare</w:t>
      </w:r>
      <w:proofErr w:type="spellEnd"/>
      <w:r>
        <w:rPr>
          <w:color w:val="000000"/>
        </w:rPr>
        <w:t xml:space="preserve"> (2019) examined global patterns of how ectotherm consumer-resource systems respond to climate change, specifically to increasing temperature and/or amplitude of variation. These models are built on mechanistically derived rate functions (</w:t>
      </w:r>
      <w:proofErr w:type="spellStart"/>
      <w:r>
        <w:rPr>
          <w:color w:val="000000"/>
        </w:rPr>
        <w:t>Amarasekare</w:t>
      </w:r>
      <w:proofErr w:type="spellEnd"/>
      <w:r>
        <w:rPr>
          <w:color w:val="000000"/>
        </w:rPr>
        <w:t xml:space="preserve"> and Coutinho 2013) and had previously been applied to competition (</w:t>
      </w:r>
      <w:proofErr w:type="spellStart"/>
      <w:r>
        <w:rPr>
          <w:color w:val="000000"/>
        </w:rPr>
        <w:t>Amarasekare</w:t>
      </w:r>
      <w:proofErr w:type="spellEnd"/>
      <w:r>
        <w:rPr>
          <w:color w:val="000000"/>
        </w:rPr>
        <w:t xml:space="preserve"> and Coutinho 2014) and phenological shift (Scranton and </w:t>
      </w:r>
      <w:proofErr w:type="spellStart"/>
      <w:r>
        <w:rPr>
          <w:color w:val="000000"/>
        </w:rPr>
        <w:t>Amarasekare</w:t>
      </w:r>
      <w:proofErr w:type="spellEnd"/>
      <w:r>
        <w:rPr>
          <w:color w:val="000000"/>
        </w:rPr>
        <w:t xml:space="preserve"> 2017). All these studies are based on the theory of stage-structured populations (Gurney et al, 1983; Nisbet and Gurney 1983) with stage-durations evaluated similarly to our fundamental Eq. 1., but turned into delay differential equations.  In those equations, individuals of all life stages can exist simultaneously, whereas in the SBW, different developmental stages have minimal overlap, and the reproductive stage does not co-occur with larval stages. </w:t>
      </w:r>
    </w:p>
    <w:p w14:paraId="6372CE93" w14:textId="5BD9A9FA" w:rsidR="009C24AD" w:rsidRDefault="004B5640">
      <w:pPr>
        <w:pStyle w:val="NormalWeb"/>
        <w:spacing w:before="280" w:beforeAutospacing="0" w:afterAutospacing="0" w:line="480" w:lineRule="auto"/>
        <w:ind w:firstLine="720"/>
      </w:pPr>
      <w:r>
        <w:rPr>
          <w:color w:val="000000"/>
        </w:rPr>
        <w:t xml:space="preserve">The models by </w:t>
      </w:r>
      <w:proofErr w:type="spellStart"/>
      <w:r>
        <w:rPr>
          <w:color w:val="000000"/>
        </w:rPr>
        <w:t>Amarasekare</w:t>
      </w:r>
      <w:proofErr w:type="spellEnd"/>
      <w:r>
        <w:rPr>
          <w:color w:val="000000"/>
        </w:rPr>
        <w:t xml:space="preserve"> and co-workers also require highly detailed information on the temperature dependence of life traits (e.g., fecundity, development, mortality), which is available only for a limited number of species. Another difference to their approach is that our resource (the tree) has a much longer life cycle (decades) than the consumer (the insect) (a year). </w:t>
      </w:r>
    </w:p>
    <w:p w14:paraId="466BC002" w14:textId="77777777" w:rsidR="009C24AD" w:rsidRDefault="004B5640">
      <w:pPr>
        <w:pStyle w:val="NormalWeb"/>
        <w:spacing w:before="280" w:beforeAutospacing="0" w:afterAutospacing="0" w:line="480" w:lineRule="auto"/>
        <w:ind w:firstLine="720"/>
      </w:pPr>
      <w:r>
        <w:rPr>
          <w:color w:val="000000"/>
        </w:rPr>
        <w:t xml:space="preserve">Our theoretical framework can be applied to other consumer-resource systems.  The concrete example of the SBW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w:t>
      </w:r>
      <w:r>
        <w:rPr>
          <w:color w:val="000000"/>
        </w:rPr>
        <w:lastRenderedPageBreak/>
        <w:t xml:space="preserve">day may allow for development during a few hours, even when the average temperature over the whole day may not. </w:t>
      </w:r>
    </w:p>
    <w:p w14:paraId="2EB1E811" w14:textId="3F336D1F" w:rsidR="009C24AD" w:rsidRDefault="004B5640">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w:t>
      </w:r>
      <w:proofErr w:type="spellStart"/>
      <w:r>
        <w:rPr>
          <w:color w:val="000000"/>
        </w:rPr>
        <w:t>BioSim</w:t>
      </w:r>
      <w:proofErr w:type="spellEnd"/>
      <w:r>
        <w:rPr>
          <w:color w:val="000000"/>
        </w:rPr>
        <w:t xml:space="preserve"> </w:t>
      </w:r>
      <w:bookmarkStart w:id="64" w:name="__Fieldmark__1350_3903614438"/>
      <w:r>
        <w:rPr>
          <w:color w:val="000000"/>
        </w:rPr>
        <w:t>(</w:t>
      </w:r>
      <w:bookmarkStart w:id="65" w:name="__Fieldmark__940_2495178454"/>
      <w:proofErr w:type="spellStart"/>
      <w:r>
        <w:rPr>
          <w:color w:val="000000"/>
        </w:rPr>
        <w:t>R</w:t>
      </w:r>
      <w:bookmarkStart w:id="66" w:name="__Fieldmark__1072_942872385"/>
      <w:r>
        <w:rPr>
          <w:color w:val="000000"/>
        </w:rPr>
        <w:t>égnière</w:t>
      </w:r>
      <w:proofErr w:type="spellEnd"/>
      <w:r>
        <w:rPr>
          <w:color w:val="000000"/>
        </w:rPr>
        <w:t xml:space="preserve">, </w:t>
      </w:r>
      <w:r>
        <w:t>et al.</w:t>
      </w:r>
      <w:r>
        <w:rPr>
          <w:color w:val="000000"/>
        </w:rPr>
        <w:t xml:space="preserve"> 2014)</w:t>
      </w:r>
      <w:bookmarkEnd w:id="64"/>
      <w:bookmarkEnd w:id="65"/>
      <w:bookmarkEnd w:id="66"/>
      <w:r>
        <w:rPr>
          <w:color w:val="000000"/>
        </w:rPr>
        <w:t xml:space="preserve"> lead to realistic phenological mismatches, i.e., budworm usually emerging before budburst, similar to field observations </w:t>
      </w:r>
      <w:bookmarkStart w:id="67" w:name="__Fieldmark__1361_3903614438"/>
      <w:r>
        <w:rPr>
          <w:color w:val="000000"/>
        </w:rPr>
        <w:t>(</w:t>
      </w:r>
      <w:proofErr w:type="spellStart"/>
      <w:r>
        <w:rPr>
          <w:color w:val="000000"/>
        </w:rPr>
        <w:t>Pureswaran</w:t>
      </w:r>
      <w:proofErr w:type="spellEnd"/>
      <w:r>
        <w:rPr>
          <w:color w:val="000000"/>
        </w:rPr>
        <w:t xml:space="preserve"> et al. 2019)</w:t>
      </w:r>
      <w:bookmarkEnd w:id="67"/>
      <w:r>
        <w:rPr>
          <w:color w:val="000000"/>
        </w:rPr>
        <w:t xml:space="preserve">. More simplistic distributions that do not contain any warm spell can lead to the opposite pattern (i.e., budburst occurs first). Realistic temperatures show warm periods during late winter – early spring, which advance the insect phenology compared to daily averaged </w:t>
      </w:r>
      <w:r>
        <w:t xml:space="preserve">simplified </w:t>
      </w:r>
      <w:r>
        <w:rPr>
          <w:color w:val="000000"/>
        </w:rPr>
        <w:t xml:space="preserve">distributions. The tree is less sensitive to these short warm events. </w:t>
      </w:r>
    </w:p>
    <w:p w14:paraId="7A2097C2" w14:textId="059B8A65" w:rsidR="009C24AD" w:rsidRDefault="004B5640">
      <w:pPr>
        <w:pStyle w:val="NormalWeb"/>
        <w:spacing w:before="280" w:beforeAutospacing="0" w:afterAutospacing="0" w:line="480" w:lineRule="auto"/>
        <w:ind w:firstLine="720"/>
      </w:pPr>
      <w:r>
        <w:rPr>
          <w:color w:val="000000"/>
        </w:rPr>
        <w:t xml:space="preserve">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proofErr w:type="spellStart"/>
      <w:r>
        <w:rPr>
          <w:color w:val="000000"/>
        </w:rPr>
        <w:t>Bewick</w:t>
      </w:r>
      <w:proofErr w:type="spellEnd"/>
      <w:r>
        <w:rPr>
          <w:color w:val="000000"/>
        </w:rPr>
        <w:t xml:space="preserve"> et al. (2016</w:t>
      </w:r>
      <w:bookmarkStart w:id="68" w:name="__Fieldmark__1386_3903614438"/>
      <w:bookmarkEnd w:id="68"/>
      <w:r>
        <w:rPr>
          <w:color w:val="000000"/>
        </w:rPr>
        <w:t>)).</w:t>
      </w:r>
      <w:r>
        <w:br w:type="page"/>
      </w:r>
    </w:p>
    <w:p w14:paraId="4F6AE789" w14:textId="77777777" w:rsidR="009C24AD" w:rsidRDefault="004B5640">
      <w:pPr>
        <w:pStyle w:val="Titre1"/>
        <w:spacing w:before="240" w:beforeAutospacing="0" w:after="280" w:afterAutospacing="0" w:line="480" w:lineRule="auto"/>
      </w:pPr>
      <w:r>
        <w:rPr>
          <w:color w:val="000000"/>
          <w:sz w:val="32"/>
          <w:szCs w:val="32"/>
        </w:rPr>
        <w:lastRenderedPageBreak/>
        <w:t>Acknowledgement</w:t>
      </w:r>
    </w:p>
    <w:p w14:paraId="53414890" w14:textId="0659790F"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and two anonymous reviewers. </w:t>
      </w:r>
    </w:p>
    <w:p w14:paraId="0A899555" w14:textId="77777777" w:rsidR="009C24AD" w:rsidRDefault="004B5640">
      <w:pPr>
        <w:pStyle w:val="Titre1"/>
        <w:rPr>
          <w:sz w:val="32"/>
          <w:szCs w:val="32"/>
        </w:rPr>
      </w:pPr>
      <w:r>
        <w:rPr>
          <w:sz w:val="32"/>
          <w:szCs w:val="32"/>
        </w:rPr>
        <w:t>Funding</w:t>
      </w:r>
    </w:p>
    <w:p w14:paraId="5B328943"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This study was funded by the Healthy Forest Partnership.</w:t>
      </w:r>
    </w:p>
    <w:p w14:paraId="3CC8AFB3" w14:textId="77777777" w:rsidR="009C24AD" w:rsidRDefault="004B5640">
      <w:pPr>
        <w:pStyle w:val="Titre1"/>
        <w:spacing w:line="480" w:lineRule="auto"/>
        <w:rPr>
          <w:sz w:val="32"/>
          <w:szCs w:val="32"/>
        </w:rPr>
      </w:pPr>
      <w:r>
        <w:rPr>
          <w:sz w:val="32"/>
          <w:szCs w:val="32"/>
        </w:rPr>
        <w:t>Authors’ contribution</w:t>
      </w:r>
    </w:p>
    <w:p w14:paraId="7A093021"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14:paraId="4D88547A" w14:textId="77777777" w:rsidR="009C24AD" w:rsidRDefault="004B5640">
      <w:pPr>
        <w:pStyle w:val="Titre1"/>
        <w:spacing w:line="480" w:lineRule="auto"/>
        <w:rPr>
          <w:sz w:val="32"/>
          <w:szCs w:val="32"/>
        </w:rPr>
      </w:pPr>
      <w:r>
        <w:rPr>
          <w:sz w:val="32"/>
          <w:szCs w:val="32"/>
        </w:rPr>
        <w:t>Data Availability</w:t>
      </w:r>
    </w:p>
    <w:p w14:paraId="021DBB25" w14:textId="77777777" w:rsidR="009C24AD" w:rsidRDefault="004B5640">
      <w:pPr>
        <w:suppressAutoHyphens w:val="0"/>
        <w:spacing w:line="480" w:lineRule="auto"/>
        <w:rPr>
          <w:sz w:val="24"/>
          <w:szCs w:val="24"/>
        </w:rPr>
      </w:pPr>
      <w:r>
        <w:rPr>
          <w:rFonts w:ascii="Times New Roman" w:hAnsi="Times New Roman" w:cs="Times New Roman"/>
          <w:sz w:val="24"/>
          <w:szCs w:val="24"/>
        </w:rPr>
        <w:t xml:space="preserve">Code will be stored on </w:t>
      </w:r>
      <w:proofErr w:type="spellStart"/>
      <w:r>
        <w:rPr>
          <w:rFonts w:ascii="Times New Roman" w:hAnsi="Times New Roman" w:cs="Times New Roman"/>
          <w:sz w:val="24"/>
          <w:szCs w:val="24"/>
        </w:rPr>
        <w:t>Zenodo</w:t>
      </w:r>
      <w:proofErr w:type="spellEnd"/>
      <w:r>
        <w:rPr>
          <w:rFonts w:ascii="Times New Roman" w:hAnsi="Times New Roman" w:cs="Times New Roman"/>
          <w:sz w:val="24"/>
          <w:szCs w:val="24"/>
        </w:rPr>
        <w:t xml:space="preserve"> public depository. </w:t>
      </w:r>
      <w:r>
        <w:br w:type="page"/>
      </w:r>
    </w:p>
    <w:p w14:paraId="49A1205B" w14:textId="77777777" w:rsidR="009C24AD" w:rsidRDefault="004B5640">
      <w:pPr>
        <w:pStyle w:val="Titre1"/>
        <w:rPr>
          <w:sz w:val="32"/>
          <w:szCs w:val="32"/>
        </w:rPr>
      </w:pPr>
      <w:r>
        <w:rPr>
          <w:sz w:val="32"/>
          <w:szCs w:val="32"/>
        </w:rPr>
        <w:lastRenderedPageBreak/>
        <w:t>References</w:t>
      </w:r>
    </w:p>
    <w:p w14:paraId="45631974"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xml:space="preserve">, P. 2019. Effects of Climate Warming on Consumer-Resource Interactions: A Latitudinal Perspective. - Front.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7: 146.</w:t>
      </w:r>
    </w:p>
    <w:p w14:paraId="05D4522F"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and Coutinho, R. M. 2013. The intrinsic growth rate as a predictor of population viability under climate warming (W Gurney, Ed.). - J. Anim. Ecol. 82: 1240–1253.</w:t>
      </w:r>
    </w:p>
    <w:p w14:paraId="3D617CC9"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and Coutinho, R. M. 2014. Effects of temperature on intraspecific competition in ectotherms. - Am. Nat. 184: E50-65.</w:t>
      </w:r>
    </w:p>
    <w:p w14:paraId="5FFD0F32"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Bale, J. S. et al. 2002. </w:t>
      </w:r>
      <w:r>
        <w:rPr>
          <w:rFonts w:ascii="Times New Roman" w:hAnsi="Times New Roman" w:cs="Times New Roman"/>
          <w:sz w:val="24"/>
          <w:szCs w:val="24"/>
        </w:rPr>
        <w:t xml:space="preserve">Herbivory in global climate change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direct effects of rising temperature on insect herbivores. - Glob. Chang. Biol. 8: 1–16.</w:t>
      </w:r>
    </w:p>
    <w:p w14:paraId="0A3CEBC0"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 Ann.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Soc. Am. 54: 175–177.</w:t>
      </w:r>
    </w:p>
    <w:p w14:paraId="5E2CDE85"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S. et al. 2016. How resource phenology affects consumer population dynamics. - Am. Nat. 187: 151–166.</w:t>
      </w:r>
    </w:p>
    <w:p w14:paraId="7A616FE0"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Voss. - For. Chron. 33: 364–372.</w:t>
      </w:r>
    </w:p>
    <w:p w14:paraId="070DE33B"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and Visser, M. E. 2001. Adjustment to climate change is constrained by arrival date in a long-distance migrant bird. - Nature 411: 296–298.</w:t>
      </w:r>
    </w:p>
    <w:p w14:paraId="3AD315D7"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et al. 2009. Climate change and unequal phenological changes across four trophic levels: constraints or adaptations? - J. Anim. Ecol. 78: 73–83.</w:t>
      </w:r>
    </w:p>
    <w:p w14:paraId="4EF9B6EA" w14:textId="77777777" w:rsidR="009C24AD" w:rsidRDefault="004B5640">
      <w:pPr>
        <w:widowControl w:val="0"/>
        <w:spacing w:line="480" w:lineRule="auto"/>
        <w:ind w:left="480" w:hanging="480"/>
        <w:rPr>
          <w:rFonts w:ascii="Times New Roman" w:hAnsi="Times New Roman" w:cs="Times New Roman"/>
          <w:sz w:val="24"/>
          <w:szCs w:val="24"/>
        </w:rPr>
      </w:pPr>
      <w:r w:rsidRPr="008102C3">
        <w:rPr>
          <w:rFonts w:ascii="Times New Roman" w:hAnsi="Times New Roman" w:cs="Times New Roman"/>
          <w:sz w:val="24"/>
          <w:szCs w:val="24"/>
        </w:rPr>
        <w:t xml:space="preserve">Brown, J. H. et al. 2004. </w:t>
      </w:r>
      <w:r>
        <w:rPr>
          <w:rFonts w:ascii="Times New Roman" w:hAnsi="Times New Roman" w:cs="Times New Roman"/>
          <w:sz w:val="24"/>
          <w:szCs w:val="24"/>
        </w:rPr>
        <w:t xml:space="preserve">Toward A Metabolic Theory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Ecology. - Ecology 85: 1771–1789.</w:t>
      </w:r>
    </w:p>
    <w:p w14:paraId="5CEB18BB"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Cartenì</w:t>
      </w:r>
      <w:proofErr w:type="spellEnd"/>
      <w:r>
        <w:rPr>
          <w:rFonts w:ascii="Times New Roman" w:hAnsi="Times New Roman" w:cs="Times New Roman"/>
          <w:sz w:val="24"/>
          <w:szCs w:val="24"/>
        </w:rPr>
        <w:t xml:space="preserve">, F. et al. 2018. The physiological mechanisms behind the earlywood-to-latewood </w:t>
      </w:r>
      <w:r>
        <w:rPr>
          <w:rFonts w:ascii="Times New Roman" w:hAnsi="Times New Roman" w:cs="Times New Roman"/>
          <w:sz w:val="24"/>
          <w:szCs w:val="24"/>
        </w:rPr>
        <w:lastRenderedPageBreak/>
        <w:t>transition: a process-based modeling approach. - Frontiers in Plant Science 9: 1053.</w:t>
      </w:r>
    </w:p>
    <w:p w14:paraId="4220A316"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207: 337–347.</w:t>
      </w:r>
    </w:p>
    <w:p w14:paraId="791D6512"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and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48: 159–182.</w:t>
      </w:r>
    </w:p>
    <w:p w14:paraId="77BB5AD2"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C. A. and Powell, J. A. 2011. Evolution stabilises the synchronising dynamics of poikilotherm life cycles. - Bull. Math. Biol. 73: 1052–1081.</w:t>
      </w:r>
    </w:p>
    <w:p w14:paraId="6998311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et al. 2018. A global synthesis of animal phenological responses to climate change. - Nat.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 8: 224–228.</w:t>
      </w:r>
    </w:p>
    <w:p w14:paraId="0E9FEA2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Colombo, S. J. 1998. Climatic warming and its effect on bud burst and risk of frost damage to white spruce in Canada. - For. Chron. 74: 567–577.</w:t>
      </w:r>
    </w:p>
    <w:p w14:paraId="27E6360E" w14:textId="77777777" w:rsidR="009C24AD" w:rsidRDefault="004B564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 Adv. Mar. </w:t>
      </w:r>
      <w:r>
        <w:rPr>
          <w:rFonts w:ascii="Times New Roman" w:hAnsi="Times New Roman" w:cs="Times New Roman"/>
          <w:sz w:val="24"/>
          <w:szCs w:val="24"/>
          <w:lang w:val="fr-FR"/>
        </w:rPr>
        <w:t>Biol. 26: 249–293.</w:t>
      </w:r>
    </w:p>
    <w:p w14:paraId="45B47BCC" w14:textId="77777777" w:rsidR="009C24AD" w:rsidRDefault="004B564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sz w:val="24"/>
          <w:szCs w:val="24"/>
          <w:lang w:val="fr-FR"/>
        </w:rPr>
        <w:t>Choristoneura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fumiferana</w:t>
      </w:r>
      <w:proofErr w:type="spellEnd"/>
      <w:r>
        <w:rPr>
          <w:rFonts w:ascii="Times New Roman" w:hAnsi="Times New Roman" w:cs="Times New Roman"/>
          <w:sz w:val="24"/>
          <w:szCs w:val="24"/>
          <w:lang w:val="fr-FR"/>
        </w:rPr>
        <w:t xml:space="preserve"> (</w:t>
      </w:r>
      <w:proofErr w:type="spellStart"/>
      <w:proofErr w:type="gramStart"/>
      <w:r>
        <w:rPr>
          <w:rFonts w:ascii="Times New Roman" w:hAnsi="Times New Roman" w:cs="Times New Roman"/>
          <w:sz w:val="24"/>
          <w:szCs w:val="24"/>
          <w:lang w:val="fr-FR"/>
        </w:rPr>
        <w:t>Lepidoptera</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Tortricidae</w:t>
      </w:r>
      <w:proofErr w:type="spellEnd"/>
      <w:r>
        <w:rPr>
          <w:rFonts w:ascii="Times New Roman" w:hAnsi="Times New Roman" w:cs="Times New Roman"/>
          <w:sz w:val="24"/>
          <w:szCs w:val="24"/>
          <w:lang w:val="fr-FR"/>
        </w:rPr>
        <w:t>).</w:t>
      </w:r>
    </w:p>
    <w:p w14:paraId="37FE0A3D"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Deslauriers</w:t>
      </w:r>
      <w:proofErr w:type="spellEnd"/>
      <w:r>
        <w:rPr>
          <w:rFonts w:ascii="Times New Roman" w:hAnsi="Times New Roman" w:cs="Times New Roman"/>
          <w:sz w:val="24"/>
          <w:szCs w:val="24"/>
        </w:rPr>
        <w:t>, A. et al. 2019. Phenological shifts in conifer species stressed by spruce budworm defoliation (M Ball, Ed.). - Tree Physiol. 39: 590–605.</w:t>
      </w:r>
    </w:p>
    <w:p w14:paraId="27DBAACA"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et al.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 Int. J. </w:t>
      </w:r>
      <w:proofErr w:type="spellStart"/>
      <w:r>
        <w:rPr>
          <w:rFonts w:ascii="Times New Roman" w:hAnsi="Times New Roman" w:cs="Times New Roman"/>
          <w:sz w:val="24"/>
          <w:szCs w:val="24"/>
        </w:rPr>
        <w:t>Biometeorol</w:t>
      </w:r>
      <w:proofErr w:type="spellEnd"/>
      <w:r>
        <w:rPr>
          <w:rFonts w:ascii="Times New Roman" w:hAnsi="Times New Roman" w:cs="Times New Roman"/>
          <w:sz w:val="24"/>
          <w:szCs w:val="24"/>
        </w:rPr>
        <w:t>. 55: 805–817.</w:t>
      </w:r>
    </w:p>
    <w:p w14:paraId="3133DF0D"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 World </w:t>
      </w:r>
      <w:proofErr w:type="spellStart"/>
      <w:r>
        <w:rPr>
          <w:rFonts w:ascii="Times New Roman" w:hAnsi="Times New Roman" w:cs="Times New Roman"/>
          <w:sz w:val="24"/>
          <w:szCs w:val="24"/>
        </w:rPr>
        <w:t>Resour</w:t>
      </w:r>
      <w:proofErr w:type="spellEnd"/>
      <w:r>
        <w:rPr>
          <w:rFonts w:ascii="Times New Roman" w:hAnsi="Times New Roman" w:cs="Times New Roman"/>
          <w:sz w:val="24"/>
          <w:szCs w:val="24"/>
        </w:rPr>
        <w:t>. Rev. 12: 521–548.</w:t>
      </w:r>
    </w:p>
    <w:p w14:paraId="2E00BD21"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and Thomson, J. D. 2012. Pollinator experience, neophobia and the evolution of </w:t>
      </w:r>
      <w:r>
        <w:rPr>
          <w:rFonts w:ascii="Times New Roman" w:hAnsi="Times New Roman" w:cs="Times New Roman"/>
          <w:sz w:val="24"/>
          <w:szCs w:val="24"/>
        </w:rPr>
        <w:lastRenderedPageBreak/>
        <w:t>flowering time. - Proc. R. Soc. B Biol. Sci. 276: 935–943.</w:t>
      </w:r>
    </w:p>
    <w:p w14:paraId="6D6478CC"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A. et al. 2017. How does synchrony with host plant affect the performance of an outbreaking insect defoliator? - </w:t>
      </w:r>
      <w:proofErr w:type="spellStart"/>
      <w:r>
        <w:rPr>
          <w:rFonts w:ascii="Times New Roman" w:hAnsi="Times New Roman" w:cs="Times New Roman"/>
          <w:sz w:val="24"/>
          <w:szCs w:val="24"/>
        </w:rPr>
        <w:t>Oecologia</w:t>
      </w:r>
      <w:proofErr w:type="spellEnd"/>
      <w:r>
        <w:rPr>
          <w:rFonts w:ascii="Times New Roman" w:hAnsi="Times New Roman" w:cs="Times New Roman"/>
          <w:sz w:val="24"/>
          <w:szCs w:val="24"/>
        </w:rPr>
        <w:t xml:space="preserve"> 184: 847–857.</w:t>
      </w:r>
    </w:p>
    <w:p w14:paraId="427B13D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Gienapp, P. and Visser, M. E. 2006. Possible fitness consequences of experimentally advanced laying dates in Great Tits: differences between populations in different habitats. -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Ecol. 20: 180–185.</w:t>
      </w:r>
    </w:p>
    <w:p w14:paraId="06B4B79C"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Gurney, W. S. C. et al. 1983. The Systematic Formulation of Tractable Single-Species Population Models Incorporating Age Structure. - J. Anim. Ecol. 52: 479–495.</w:t>
      </w:r>
    </w:p>
    <w:p w14:paraId="5DF49E5B"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et al. 1983. Emergence patterns in male butterflies: A hypothesis and a test. -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w:t>
      </w:r>
      <w:proofErr w:type="spellEnd"/>
      <w:r>
        <w:rPr>
          <w:rFonts w:ascii="Times New Roman" w:hAnsi="Times New Roman" w:cs="Times New Roman"/>
          <w:sz w:val="24"/>
          <w:szCs w:val="24"/>
        </w:rPr>
        <w:t>. Biol. 23: 363–379.</w:t>
      </w:r>
    </w:p>
    <w:p w14:paraId="0C6BFC3A"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Kharouba, H. M. and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 Nat.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 10: 406–415.</w:t>
      </w:r>
    </w:p>
    <w:p w14:paraId="25B7F784"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Kharouba, H. M. et al. 2018. Global shifts in the phenological synchrony of species interactions over recent decades. - Proc. Natl. Acad. Sci. 115: 5211–5216.</w:t>
      </w:r>
    </w:p>
    <w:p w14:paraId="1D9F5082" w14:textId="77777777" w:rsidR="009C24AD" w:rsidRDefault="004B5640">
      <w:pPr>
        <w:widowControl w:val="0"/>
        <w:spacing w:line="480" w:lineRule="auto"/>
        <w:ind w:left="480" w:hanging="480"/>
        <w:rPr>
          <w:rFonts w:ascii="Times New Roman" w:hAnsi="Times New Roman" w:cs="Times New Roman"/>
          <w:sz w:val="24"/>
          <w:szCs w:val="24"/>
        </w:rPr>
      </w:pPr>
      <w:r w:rsidRPr="008102C3">
        <w:rPr>
          <w:rFonts w:ascii="Times New Roman" w:hAnsi="Times New Roman" w:cs="Times New Roman"/>
          <w:sz w:val="24"/>
          <w:szCs w:val="24"/>
        </w:rPr>
        <w:t xml:space="preserve">Lawrence, R. K. et al. 1997. </w:t>
      </w:r>
      <w:r>
        <w:rPr>
          <w:rFonts w:ascii="Times New Roman" w:hAnsi="Times New Roman" w:cs="Times New Roman"/>
          <w:sz w:val="24"/>
          <w:szCs w:val="24"/>
        </w:rPr>
        <w:t xml:space="preserve">White spruce and the spruce budworm: Defining the phenological window of susceptibility. - Can.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129: 291–318.</w:t>
      </w:r>
    </w:p>
    <w:p w14:paraId="03E03EA2"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A. 2018. Adaptive and nonadaptive changes in phenological synchrony. - Proc. Natl. Acad. Sci. U. S. A. 115: 5057–5059.</w:t>
      </w:r>
    </w:p>
    <w:p w14:paraId="4CCF7131"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and Scriber, M. 1987. Feeding ecology of insect folivores of woody plants: nitrogen, water, fiber, and mineral considerations. - In: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F. and Rodriguez, J. (eds), The Nutritional Ecology of Insects, Mites, and Spiders. John Wiley &amp; Sons, New York, pp. 105–146.</w:t>
      </w:r>
    </w:p>
    <w:p w14:paraId="4D364250"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McNamara, J. M. et al. 2011. Cues and the optimal timing of activities under environmental changes. - Ecol. Lett. 14: 1183–1190.</w:t>
      </w:r>
    </w:p>
    <w:p w14:paraId="359AC4EA"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Miller-Rushing, A. J. et al. 2010. The effects of phenological mismatches on demography. - Philos. Trans. R. Soc. B Biol. Sci. 365: 3177–3186.</w:t>
      </w:r>
    </w:p>
    <w:p w14:paraId="0D81144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Nisbet, R. M. and Gurney, W. S. C. 1983. The systematic formulation of population models for insects with dynamically varying instar duration. -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w:t>
      </w:r>
      <w:proofErr w:type="spellEnd"/>
      <w:r>
        <w:rPr>
          <w:rFonts w:ascii="Times New Roman" w:hAnsi="Times New Roman" w:cs="Times New Roman"/>
          <w:sz w:val="24"/>
          <w:szCs w:val="24"/>
        </w:rPr>
        <w:t>. Biol. 23: 114–135.</w:t>
      </w:r>
    </w:p>
    <w:p w14:paraId="2BF3EEBE"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et al.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Quebec). - For. Sci. 29: 478–490.</w:t>
      </w:r>
    </w:p>
    <w:p w14:paraId="481AA7AB"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Pachauri</w:t>
      </w:r>
      <w:proofErr w:type="spellEnd"/>
      <w:r>
        <w:rPr>
          <w:rFonts w:ascii="Times New Roman" w:hAnsi="Times New Roman" w:cs="Times New Roman"/>
          <w:sz w:val="24"/>
          <w:szCs w:val="24"/>
          <w:lang w:val="fr-FR"/>
        </w:rPr>
        <w:t xml:space="preserve">, R. K. et al. 2014. </w:t>
      </w:r>
      <w:r>
        <w:rPr>
          <w:rFonts w:ascii="Times New Roman" w:hAnsi="Times New Roman" w:cs="Times New Roman"/>
          <w:sz w:val="24"/>
          <w:szCs w:val="24"/>
        </w:rPr>
        <w:t xml:space="preserve">Climate change </w:t>
      </w:r>
      <w:proofErr w:type="gramStart"/>
      <w:r>
        <w:rPr>
          <w:rFonts w:ascii="Times New Roman" w:hAnsi="Times New Roman" w:cs="Times New Roman"/>
          <w:sz w:val="24"/>
          <w:szCs w:val="24"/>
        </w:rPr>
        <w:t>2014:</w:t>
      </w:r>
      <w:proofErr w:type="gramEnd"/>
      <w:r>
        <w:rPr>
          <w:rFonts w:ascii="Times New Roman" w:hAnsi="Times New Roman" w:cs="Times New Roman"/>
          <w:sz w:val="24"/>
          <w:szCs w:val="24"/>
        </w:rPr>
        <w:t xml:space="preserve"> synthesis report. Contribution of Working Groups I, II and III to the fifth assessment report of the Intergovernmental Panel on Climate Change. - </w:t>
      </w:r>
      <w:proofErr w:type="spellStart"/>
      <w:r>
        <w:rPr>
          <w:rFonts w:ascii="Times New Roman" w:hAnsi="Times New Roman" w:cs="Times New Roman"/>
          <w:sz w:val="24"/>
          <w:szCs w:val="24"/>
        </w:rPr>
        <w:t>Ipcc</w:t>
      </w:r>
      <w:proofErr w:type="spellEnd"/>
      <w:r>
        <w:rPr>
          <w:rFonts w:ascii="Times New Roman" w:hAnsi="Times New Roman" w:cs="Times New Roman"/>
          <w:sz w:val="24"/>
          <w:szCs w:val="24"/>
        </w:rPr>
        <w:t>.</w:t>
      </w:r>
    </w:p>
    <w:p w14:paraId="419F3140"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37: 637–669.</w:t>
      </w:r>
    </w:p>
    <w:p w14:paraId="13312DD5"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and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G. 2003. A globally coherent fingerprint of climate change impacts across natural systems. - Nature 421: 37–42.</w:t>
      </w:r>
    </w:p>
    <w:p w14:paraId="60B80617"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Post, E. et al. 2001. The timing of life-history events in a changing climate. - Proc. R. Soc. B Biol. Sci. 268: 15–23.</w:t>
      </w:r>
    </w:p>
    <w:p w14:paraId="0ECE85A9"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sidRPr="008102C3">
        <w:rPr>
          <w:rFonts w:ascii="Times New Roman" w:hAnsi="Times New Roman" w:cs="Times New Roman"/>
          <w:sz w:val="24"/>
          <w:szCs w:val="24"/>
        </w:rPr>
        <w:t>Pureswaran</w:t>
      </w:r>
      <w:proofErr w:type="spellEnd"/>
      <w:r w:rsidRPr="008102C3">
        <w:rPr>
          <w:rFonts w:ascii="Times New Roman" w:hAnsi="Times New Roman" w:cs="Times New Roman"/>
          <w:sz w:val="24"/>
          <w:szCs w:val="24"/>
        </w:rPr>
        <w:t xml:space="preserve">, D. S. et al. 2019. </w:t>
      </w:r>
      <w:r>
        <w:rPr>
          <w:rFonts w:ascii="Times New Roman" w:hAnsi="Times New Roman" w:cs="Times New Roman"/>
          <w:sz w:val="24"/>
          <w:szCs w:val="24"/>
        </w:rPr>
        <w:t xml:space="preserve">Phenological synchrony between eastern spruce budworm and its host trees increases with warmer temperatures in the boreal forest. -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9: 576–586.</w:t>
      </w:r>
    </w:p>
    <w:p w14:paraId="23EA6E0D"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J. J. C. et al. 2020. Comparing two measures of phenological synchrony in a predator–prey interaction: Simpler works better (A Phillimore, Ed.). - J. Anim. Ecol. 89: 745–756.</w:t>
      </w:r>
    </w:p>
    <w:p w14:paraId="738CB166"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lastRenderedPageBreak/>
        <w:t>Rebaudo</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Exp. Appl. 166: 607–617.</w:t>
      </w:r>
    </w:p>
    <w:p w14:paraId="777E9D99"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xml:space="preserve">, V. G. 2008. The fine-scale population dynamics of spruce budworm: survival of early instars related to forest condition. -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33: 362–373.</w:t>
      </w:r>
    </w:p>
    <w:p w14:paraId="4F70E70C"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V. G. 2018. Two sides of a coin: host-plant synchrony fitness trade-offs in the population dynamics of the western spruce budworm. - Insect Sci. 25: 117–126.</w:t>
      </w:r>
    </w:p>
    <w:p w14:paraId="395CA9ED" w14:textId="77777777" w:rsidR="009C24AD" w:rsidRDefault="004B5640">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et al. 2012. Predicting insect distributions under climate change from physiological responses: spruce budworm as an example. - Biol. </w:t>
      </w:r>
      <w:r>
        <w:rPr>
          <w:rFonts w:ascii="Times New Roman" w:hAnsi="Times New Roman" w:cs="Times New Roman"/>
          <w:sz w:val="24"/>
          <w:szCs w:val="24"/>
          <w:lang w:val="fr-FR"/>
        </w:rPr>
        <w:t>Invasions 14: 1571–1586.</w:t>
      </w:r>
    </w:p>
    <w:p w14:paraId="32EFB886"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et al. 2014. </w:t>
      </w:r>
      <w:proofErr w:type="spellStart"/>
      <w:r>
        <w:rPr>
          <w:rFonts w:ascii="Times New Roman" w:hAnsi="Times New Roman" w:cs="Times New Roman"/>
          <w:sz w:val="24"/>
          <w:szCs w:val="24"/>
          <w:lang w:val="fr-FR"/>
        </w:rPr>
        <w:t>BioSIM</w:t>
      </w:r>
      <w:proofErr w:type="spell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10:</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User’s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manual</w:t>
      </w:r>
      <w:proofErr w:type="spellEnd"/>
      <w:r>
        <w:rPr>
          <w:rFonts w:ascii="Times New Roman" w:hAnsi="Times New Roman" w:cs="Times New Roman"/>
          <w:sz w:val="24"/>
          <w:szCs w:val="24"/>
          <w:lang w:val="fr-FR"/>
        </w:rPr>
        <w:t xml:space="preserve">, A. Nat. </w:t>
      </w:r>
      <w:proofErr w:type="spellStart"/>
      <w:r>
        <w:rPr>
          <w:rFonts w:ascii="Times New Roman" w:hAnsi="Times New Roman" w:cs="Times New Roman"/>
          <w:sz w:val="24"/>
          <w:szCs w:val="24"/>
        </w:rPr>
        <w:t>Resour</w:t>
      </w:r>
      <w:proofErr w:type="spellEnd"/>
      <w:r>
        <w:rPr>
          <w:rFonts w:ascii="Times New Roman" w:hAnsi="Times New Roman" w:cs="Times New Roman"/>
          <w:sz w:val="24"/>
          <w:szCs w:val="24"/>
        </w:rPr>
        <w:t>. Can., Can. For. Serv. - Laurentian Forestry Centre, Québec (Quebec). Inf. Rep. LAU-X-137E.</w:t>
      </w:r>
    </w:p>
    <w:p w14:paraId="3186B4D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and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49: 165–182.</w:t>
      </w:r>
    </w:p>
    <w:p w14:paraId="17D44C83"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et al. 2021. Strengthening the evidence base for temperature-mediated phenological asynchrony and its impacts. - Nat.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5: 155–164.</w:t>
      </w:r>
    </w:p>
    <w:p w14:paraId="4687FE1A"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Schoolfield</w:t>
      </w:r>
      <w:proofErr w:type="spellEnd"/>
      <w:r>
        <w:rPr>
          <w:rFonts w:ascii="Times New Roman" w:hAnsi="Times New Roman" w:cs="Times New Roman"/>
          <w:sz w:val="24"/>
          <w:szCs w:val="24"/>
        </w:rPr>
        <w:t xml:space="preserve">, R. M. et al. 1981. Non-linear regression of biological temperature-dependent rate models based on absolute reaction-rate theory. -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88: 719–731.</w:t>
      </w:r>
    </w:p>
    <w:p w14:paraId="6A2C1458"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Scranton, K. and </w:t>
      </w: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2017. Predicting phenological shifts in a changing climate. - Proc. Natl. Acad. Sci. U. S. A. 114: 13212–13217.</w:t>
      </w:r>
    </w:p>
    <w:p w14:paraId="38155933"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Sharpe, P. J. H. and </w:t>
      </w:r>
      <w:proofErr w:type="spellStart"/>
      <w:r>
        <w:rPr>
          <w:rFonts w:ascii="Times New Roman" w:hAnsi="Times New Roman" w:cs="Times New Roman"/>
          <w:sz w:val="24"/>
          <w:szCs w:val="24"/>
        </w:rPr>
        <w:t>DeMichele</w:t>
      </w:r>
      <w:proofErr w:type="spellEnd"/>
      <w:r>
        <w:rPr>
          <w:rFonts w:ascii="Times New Roman" w:hAnsi="Times New Roman" w:cs="Times New Roman"/>
          <w:sz w:val="24"/>
          <w:szCs w:val="24"/>
        </w:rPr>
        <w:t xml:space="preserve">, D. W. 1977. Reaction kinetics of poikilotherm development. </w:t>
      </w:r>
      <w:r>
        <w:rPr>
          <w:rFonts w:ascii="Times New Roman" w:hAnsi="Times New Roman" w:cs="Times New Roman"/>
          <w:sz w:val="24"/>
          <w:szCs w:val="24"/>
        </w:rPr>
        <w:lastRenderedPageBreak/>
        <w:t xml:space="preserve">-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64: 649–670.</w:t>
      </w:r>
    </w:p>
    <w:p w14:paraId="260BBC37"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Simmonds, E. G. et al. 2020. Phenological asynchrony: a ticking time‐bomb for seemingly stable populations? (E Cleland, Ed.). - Ecol. Lett. 23: 1766–1775.</w:t>
      </w:r>
    </w:p>
    <w:p w14:paraId="2B4056C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C. and Parmesan, C. 2010. Phenological asynchrony between herbivorous insects and their hosts: Signal of climate change or pre-existing adaptive strategy? - Philos. Trans. R. Soc. B Biol. Sci. 365: 3161–3176.</w:t>
      </w:r>
    </w:p>
    <w:p w14:paraId="5E4E177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and Parmesan, C. 2020. Misunderstanding mismatch. in press.</w:t>
      </w:r>
    </w:p>
    <w:p w14:paraId="74E6FDC7" w14:textId="77777777" w:rsidR="009C24AD" w:rsidRDefault="004B564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S. et al. 2016. Phenological matching rather than genetic variation in host preference underlies geographical variation in host plants used by orange tip butterflies. - Biol. J. Linn. Soc. 119: 1060–1067.</w:t>
      </w:r>
    </w:p>
    <w:p w14:paraId="5CA2BB6B"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and Visser, M. E. 2007. Phenology of forest caterpillars and their host trees: The importance of synchrony.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52: 37–55.</w:t>
      </w:r>
    </w:p>
    <w:p w14:paraId="69FCE916"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et al. 2011. The representative concentration pathways: an overview. -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Change 109: 5–31.</w:t>
      </w:r>
    </w:p>
    <w:p w14:paraId="2686DC71"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Holleman, L. J. M. 2001. Warmer springs disrupt the synchrony of oak and winter moth phenology. - Proc. R. Soc. B Biol. Sci. 268: 289–294.</w:t>
      </w:r>
    </w:p>
    <w:p w14:paraId="1EC3A0A9" w14:textId="77777777" w:rsidR="009C24AD" w:rsidRDefault="004B564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Both, C. 2005. Shifts in phenology due to global climate change: the need for a yardstick. - Proc. R. Soc. B Biol. Sci. 272: 2561–2569.</w:t>
      </w:r>
    </w:p>
    <w:p w14:paraId="51F7436B" w14:textId="77777777" w:rsidR="009C24AD" w:rsidRDefault="004B5640">
      <w:pPr>
        <w:suppressAutoHyphens w:val="0"/>
        <w:rPr>
          <w:rFonts w:ascii="Times New Roman" w:hAnsi="Times New Roman" w:cs="Times New Roman"/>
          <w:sz w:val="24"/>
          <w:szCs w:val="24"/>
        </w:rPr>
      </w:pPr>
      <w:r>
        <w:br w:type="page"/>
      </w:r>
    </w:p>
    <w:p w14:paraId="15E2396A"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1358369C" wp14:editId="3A33C9C0">
            <wp:extent cx="5543550" cy="4157980"/>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5543550" cy="4157980"/>
                    </a:xfrm>
                    <a:prstGeom prst="rect">
                      <a:avLst/>
                    </a:prstGeom>
                  </pic:spPr>
                </pic:pic>
              </a:graphicData>
            </a:graphic>
          </wp:inline>
        </w:drawing>
      </w:r>
    </w:p>
    <w:p w14:paraId="22C14D4F"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proofErr w:type="spellStart"/>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c</w:t>
      </w:r>
      <w:proofErr w:type="spellEnd"/>
      <w:r>
        <w:rPr>
          <w:rFonts w:ascii="Times New Roman" w:hAnsi="Times New Roman" w:cs="Times New Roman"/>
          <w:color w:val="000000"/>
          <w:sz w:val="24"/>
          <w:szCs w:val="24"/>
        </w:rPr>
        <w:t xml:space="preserve"> = -1.32, </w:t>
      </w:r>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7.14, </w:t>
      </w:r>
      <w:proofErr w:type="spellStart"/>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-1.16, </w:t>
      </w:r>
      <w:proofErr w:type="spellStart"/>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8.14.</w:t>
      </w:r>
      <w:r>
        <w:br w:type="page"/>
      </w:r>
    </w:p>
    <w:p w14:paraId="6CBF9335"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6FCFB03D" wp14:editId="0DA90275">
            <wp:extent cx="6687185"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stretch>
                      <a:fillRect/>
                    </a:stretch>
                  </pic:blipFill>
                  <pic:spPr bwMode="auto">
                    <a:xfrm>
                      <a:off x="0" y="0"/>
                      <a:ext cx="6687185" cy="3209925"/>
                    </a:xfrm>
                    <a:prstGeom prst="rect">
                      <a:avLst/>
                    </a:prstGeom>
                  </pic:spPr>
                </pic:pic>
              </a:graphicData>
            </a:graphic>
          </wp:inline>
        </w:drawing>
      </w:r>
    </w:p>
    <w:p w14:paraId="0C7F4B59"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Sensitivity of resource accumulation functions, </w:t>
      </w:r>
      <w:r>
        <w:rPr>
          <w:rFonts w:ascii="Times New Roman" w:hAnsi="Times New Roman" w:cs="Times New Roman"/>
          <w:i/>
          <w:iCs/>
          <w:color w:val="000000"/>
          <w:sz w:val="24"/>
          <w:szCs w:val="24"/>
        </w:rPr>
        <w:t>R’(x(t))</w:t>
      </w:r>
      <w:r>
        <w:rPr>
          <w:rFonts w:ascii="Times New Roman" w:hAnsi="Times New Roman" w:cs="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w:t>
      </w:r>
      <w:proofErr w:type="spellStart"/>
      <w:r>
        <w:rPr>
          <w:rFonts w:ascii="Times New Roman" w:hAnsi="Times New Roman" w:cs="Times New Roman"/>
          <w:color w:val="000000"/>
          <w:sz w:val="24"/>
          <w:szCs w:val="24"/>
        </w:rPr>
        <w:t>phenologies</w:t>
      </w:r>
      <w:proofErr w:type="spellEnd"/>
      <w:r>
        <w:rPr>
          <w:rFonts w:ascii="Times New Roman" w:hAnsi="Times New Roman" w:cs="Times New Roman"/>
          <w:color w:val="000000"/>
          <w:sz w:val="24"/>
          <w:szCs w:val="24"/>
        </w:rPr>
        <w:t xml:space="preserve">. For this illustration, we used the accumulation function in Eq 2 for species 1 with parameter values for balsam fir (see section 3.4.1). We used the same function for species 2 in (A), but with </w:t>
      </w:r>
      <w:r>
        <w:rPr>
          <w:rFonts w:ascii="Times New Roman" w:hAnsi="Times New Roman" w:cs="Times New Roman"/>
          <w:i/>
          <w:iCs/>
          <w:color w:val="000000"/>
          <w:sz w:val="24"/>
          <w:szCs w:val="24"/>
        </w:rPr>
        <w:t>c</w:t>
      </w:r>
      <w:r>
        <w:rPr>
          <w:rFonts w:ascii="Times New Roman" w:hAnsi="Times New Roman" w:cs="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14:paraId="0A7A48D0"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br w:type="page"/>
      </w:r>
    </w:p>
    <w:p w14:paraId="1047FEE0" w14:textId="77777777" w:rsidR="009C24AD" w:rsidRDefault="004B5640">
      <w:pPr>
        <w:spacing w:line="480" w:lineRule="auto"/>
      </w:pPr>
      <w:r>
        <w:rPr>
          <w:noProof/>
        </w:rPr>
        <w:lastRenderedPageBreak/>
        <w:drawing>
          <wp:inline distT="0" distB="0" distL="0" distR="0" wp14:anchorId="27D0045E" wp14:editId="72445706">
            <wp:extent cx="6542405" cy="2867025"/>
            <wp:effectExtent l="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0"/>
                    <a:stretch>
                      <a:fillRect/>
                    </a:stretch>
                  </pic:blipFill>
                  <pic:spPr bwMode="auto">
                    <a:xfrm>
                      <a:off x="0" y="0"/>
                      <a:ext cx="6542405" cy="2867025"/>
                    </a:xfrm>
                    <a:prstGeom prst="rect">
                      <a:avLst/>
                    </a:prstGeom>
                  </pic:spPr>
                </pic:pic>
              </a:graphicData>
            </a:graphic>
          </wp:inline>
        </w:drawing>
      </w:r>
    </w:p>
    <w:p w14:paraId="35098A67" w14:textId="77777777" w:rsidR="009C24AD" w:rsidRDefault="004B5640">
      <w:pPr>
        <w:spacing w:line="480" w:lineRule="auto"/>
        <w:rPr>
          <w:rFonts w:ascii="Times New Roman" w:hAnsi="Times New Roman" w:cs="Times New Roman"/>
          <w:color w:val="000000"/>
          <w:sz w:val="24"/>
          <w:szCs w:val="24"/>
        </w:rPr>
      </w:pPr>
      <w:r>
        <w:rPr>
          <w:rFonts w:ascii="Times New Roman" w:hAnsi="Times New Roman" w:cs="Times New Roman"/>
          <w:b/>
          <w:bCs/>
        </w:rPr>
        <w:t>Figure 3</w:t>
      </w:r>
      <w:r>
        <w:rPr>
          <w:rFonts w:ascii="Times New Roman" w:hAnsi="Times New Roman" w:cs="Times New Roman"/>
        </w:rPr>
        <w:t>: life cycles of balsam fir and spruce budworm. Black line represents SBW life cycle, and grey line is balsam fir life cycle.</w:t>
      </w:r>
      <w:r>
        <w:br w:type="page"/>
      </w:r>
    </w:p>
    <w:p w14:paraId="4A0F5FA5"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42CB68F5" wp14:editId="10864883">
            <wp:extent cx="5638800" cy="56388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638800" cy="5638800"/>
                    </a:xfrm>
                    <a:prstGeom prst="rect">
                      <a:avLst/>
                    </a:prstGeom>
                  </pic:spPr>
                </pic:pic>
              </a:graphicData>
            </a:graphic>
          </wp:inline>
        </w:drawing>
      </w:r>
    </w:p>
    <w:p w14:paraId="4AD508B2" w14:textId="77777777" w:rsidR="009C24AD" w:rsidRDefault="004B564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9BB60A4" w14:textId="77777777" w:rsidR="009C24AD" w:rsidRDefault="004B5640">
      <w:pPr>
        <w:spacing w:line="480" w:lineRule="auto"/>
        <w:rPr>
          <w:rFonts w:ascii="Times New Roman" w:hAnsi="Times New Roman" w:cs="Times New Roman"/>
          <w:sz w:val="24"/>
          <w:szCs w:val="24"/>
        </w:rPr>
      </w:pPr>
      <w:r>
        <w:rPr>
          <w:noProof/>
        </w:rPr>
        <w:lastRenderedPageBreak/>
        <w:drawing>
          <wp:inline distT="0" distB="0" distL="0" distR="0" wp14:anchorId="0A988456" wp14:editId="18199A4E">
            <wp:extent cx="6525260" cy="4486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stretch>
                      <a:fillRect/>
                    </a:stretch>
                  </pic:blipFill>
                  <pic:spPr bwMode="auto">
                    <a:xfrm>
                      <a:off x="0" y="0"/>
                      <a:ext cx="6525260" cy="4486275"/>
                    </a:xfrm>
                    <a:prstGeom prst="rect">
                      <a:avLst/>
                    </a:prstGeom>
                  </pic:spPr>
                </pic:pic>
              </a:graphicData>
            </a:graphic>
          </wp:inline>
        </w:drawing>
      </w:r>
    </w:p>
    <w:p w14:paraId="00F00764" w14:textId="3F979FA6" w:rsidR="009C24AD" w:rsidRPr="008102C3" w:rsidRDefault="004B5640" w:rsidP="008102C3">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w:t>
      </w:r>
      <w:r>
        <w:rPr>
          <w:rFonts w:ascii="Times New Roman" w:eastAsia="Times New Roman" w:hAnsi="Times New Roman" w:cs="Times New Roman"/>
          <w:color w:val="000000"/>
          <w:sz w:val="24"/>
          <w:szCs w:val="24"/>
          <w:lang w:eastAsia="en-CA"/>
        </w:rPr>
        <w:lastRenderedPageBreak/>
        <w:t>expected to systematically occur a few days before budburst, which would increase survival of SBW.</w:t>
      </w:r>
    </w:p>
    <w:sectPr w:rsidR="009C24AD" w:rsidRPr="008102C3">
      <w:footerReference w:type="default" r:id="rId13"/>
      <w:pgSz w:w="11906" w:h="16838"/>
      <w:pgMar w:top="1417" w:right="1417" w:bottom="1417" w:left="1417" w:header="0" w:footer="708" w:gutter="0"/>
      <w:lnNumType w:countBy="1"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6D112" w14:textId="77777777" w:rsidR="00EF3451" w:rsidRDefault="00EF3451">
      <w:pPr>
        <w:spacing w:after="0" w:line="240" w:lineRule="auto"/>
      </w:pPr>
      <w:r>
        <w:separator/>
      </w:r>
    </w:p>
  </w:endnote>
  <w:endnote w:type="continuationSeparator" w:id="0">
    <w:p w14:paraId="41835B4B" w14:textId="77777777" w:rsidR="00EF3451" w:rsidRDefault="00EF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506726"/>
      <w:docPartObj>
        <w:docPartGallery w:val="Page Numbers (Bottom of Page)"/>
        <w:docPartUnique/>
      </w:docPartObj>
    </w:sdtPr>
    <w:sdtEndPr/>
    <w:sdtContent>
      <w:p w14:paraId="4B9BA612" w14:textId="77777777" w:rsidR="009C24AD" w:rsidRDefault="004B5640">
        <w:pPr>
          <w:pStyle w:val="Pieddepage"/>
          <w:jc w:val="right"/>
        </w:pPr>
        <w:r>
          <w:fldChar w:fldCharType="begin"/>
        </w:r>
        <w:r>
          <w:instrText>PAGE</w:instrText>
        </w:r>
        <w:r>
          <w:fldChar w:fldCharType="separate"/>
        </w:r>
        <w:r>
          <w:t>34</w:t>
        </w:r>
        <w:r>
          <w:fldChar w:fldCharType="end"/>
        </w:r>
      </w:p>
    </w:sdtContent>
  </w:sdt>
  <w:p w14:paraId="2D3EE9E4" w14:textId="77777777" w:rsidR="009C24AD" w:rsidRDefault="009C24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92411" w14:textId="77777777" w:rsidR="00EF3451" w:rsidRDefault="00EF3451">
      <w:pPr>
        <w:spacing w:after="0" w:line="240" w:lineRule="auto"/>
      </w:pPr>
      <w:r>
        <w:separator/>
      </w:r>
    </w:p>
  </w:footnote>
  <w:footnote w:type="continuationSeparator" w:id="0">
    <w:p w14:paraId="2C125994" w14:textId="77777777" w:rsidR="00EF3451" w:rsidRDefault="00EF34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AD"/>
    <w:rsid w:val="000A40EA"/>
    <w:rsid w:val="000E41AE"/>
    <w:rsid w:val="001959C2"/>
    <w:rsid w:val="001D37AB"/>
    <w:rsid w:val="00244E18"/>
    <w:rsid w:val="002C0039"/>
    <w:rsid w:val="002C21FD"/>
    <w:rsid w:val="003D5FC9"/>
    <w:rsid w:val="004B5640"/>
    <w:rsid w:val="0068209C"/>
    <w:rsid w:val="00696381"/>
    <w:rsid w:val="00754A93"/>
    <w:rsid w:val="007678B2"/>
    <w:rsid w:val="008102C3"/>
    <w:rsid w:val="00817978"/>
    <w:rsid w:val="008312AA"/>
    <w:rsid w:val="009C24AD"/>
    <w:rsid w:val="00A15483"/>
    <w:rsid w:val="00E75E48"/>
    <w:rsid w:val="00EE799C"/>
    <w:rsid w:val="00EF3451"/>
    <w:rsid w:val="00F8393E"/>
    <w:rsid w:val="00F97691"/>
    <w:rsid w:val="00FB45D1"/>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8BB0"/>
  <w15:docId w15:val="{E4288D5E-006F-44ED-9967-FF72F082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45"/>
    <w:pPr>
      <w:suppressAutoHyphens/>
      <w:spacing w:after="160" w:line="259" w:lineRule="auto"/>
    </w:pPr>
    <w:rPr>
      <w:sz w:val="22"/>
    </w:rPr>
  </w:style>
  <w:style w:type="paragraph" w:styleId="Titre1">
    <w:name w:val="heading 1"/>
    <w:basedOn w:val="Normal"/>
    <w:link w:val="Titre1Car"/>
    <w:uiPriority w:val="9"/>
    <w:qFormat/>
    <w:rsid w:val="00F25745"/>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25745"/>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F25745"/>
    <w:pPr>
      <w:keepNext/>
      <w:keepLines/>
      <w:spacing w:before="40" w:after="0"/>
      <w:outlineLvl w:val="2"/>
    </w:pPr>
    <w:rPr>
      <w:rFonts w:ascii="Calibri Light" w:eastAsia="Times New Roman" w:hAnsi="Calibri Light" w:cs="Times New Roman"/>
      <w:color w:val="1F3763"/>
      <w:sz w:val="24"/>
      <w:szCs w:val="24"/>
    </w:rPr>
  </w:style>
  <w:style w:type="paragraph" w:styleId="Titre5">
    <w:name w:val="heading 5"/>
    <w:basedOn w:val="Normal"/>
    <w:next w:val="Normal"/>
    <w:link w:val="Titre5Car"/>
    <w:uiPriority w:val="9"/>
    <w:unhideWhenUsed/>
    <w:qFormat/>
    <w:rsid w:val="00FC1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25745"/>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25745"/>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F25745"/>
    <w:rPr>
      <w:rFonts w:ascii="Calibri Light" w:eastAsia="Times New Roman" w:hAnsi="Calibri Light" w:cs="Times New Roman"/>
      <w:color w:val="1F3763"/>
      <w:sz w:val="24"/>
      <w:szCs w:val="24"/>
    </w:rPr>
  </w:style>
  <w:style w:type="character" w:customStyle="1" w:styleId="Titre5Car">
    <w:name w:val="Titre 5 Car"/>
    <w:basedOn w:val="Policepardfaut"/>
    <w:link w:val="Titre5"/>
    <w:uiPriority w:val="9"/>
    <w:qFormat/>
    <w:rsid w:val="00FC152A"/>
    <w:rPr>
      <w:rFonts w:asciiTheme="majorHAnsi" w:eastAsiaTheme="majorEastAsia" w:hAnsiTheme="majorHAnsi" w:cstheme="majorBidi"/>
      <w:color w:val="2F5496" w:themeColor="accent1" w:themeShade="BF"/>
    </w:rPr>
  </w:style>
  <w:style w:type="character" w:customStyle="1" w:styleId="InternetLink">
    <w:name w:val="Internet Link"/>
    <w:basedOn w:val="Policepardfaut"/>
    <w:uiPriority w:val="99"/>
    <w:unhideWhenUsed/>
    <w:rsid w:val="00FC152A"/>
    <w:rPr>
      <w:color w:val="0563C1" w:themeColor="hyperlink"/>
      <w:u w:val="single"/>
    </w:rPr>
  </w:style>
  <w:style w:type="character" w:customStyle="1" w:styleId="En-tteCar">
    <w:name w:val="En-tête Car"/>
    <w:basedOn w:val="Policepardfaut"/>
    <w:uiPriority w:val="99"/>
    <w:qFormat/>
    <w:rsid w:val="003D7EDC"/>
    <w:rPr>
      <w:rFonts w:ascii="Calibri" w:eastAsia="Calibri" w:hAnsi="Calibri" w:cs="Arial"/>
    </w:rPr>
  </w:style>
  <w:style w:type="character" w:customStyle="1" w:styleId="PieddepageCar">
    <w:name w:val="Pied de page Car"/>
    <w:basedOn w:val="Policepardfaut"/>
    <w:link w:val="Pieddepage"/>
    <w:uiPriority w:val="99"/>
    <w:qFormat/>
    <w:rsid w:val="003D7EDC"/>
    <w:rPr>
      <w:rFonts w:ascii="Calibri" w:eastAsia="Calibri" w:hAnsi="Calibri" w:cs="Arial"/>
    </w:rPr>
  </w:style>
  <w:style w:type="character" w:styleId="Numrodeligne">
    <w:name w:val="line number"/>
    <w:basedOn w:val="Policepardfaut"/>
    <w:uiPriority w:val="99"/>
    <w:semiHidden/>
    <w:unhideWhenUsed/>
    <w:qFormat/>
    <w:rsid w:val="003D7EDC"/>
  </w:style>
  <w:style w:type="character" w:customStyle="1" w:styleId="ListLabel1">
    <w:name w:val="ListLabel 1"/>
    <w:qFormat/>
    <w:rPr>
      <w:rFonts w:ascii="Times New Roman" w:eastAsia="Times New Roman" w:hAnsi="Times New Roman"/>
      <w:color w:val="000000"/>
      <w:sz w:val="24"/>
    </w:rPr>
  </w:style>
  <w:style w:type="character" w:customStyle="1" w:styleId="ListLabel2">
    <w:name w:val="ListLabel 2"/>
    <w:qFormat/>
    <w:rPr>
      <w:rFonts w:ascii="Times New Roman" w:eastAsia="Times New Roman" w:hAnsi="Times New Roman" w:cs="Times New Roman"/>
      <w:sz w:val="24"/>
      <w:szCs w:val="24"/>
      <w:lang w:eastAsia="en-CA"/>
    </w:rPr>
  </w:style>
  <w:style w:type="character" w:customStyle="1" w:styleId="LineNumbering">
    <w:name w:val="Line Numbering"/>
  </w:style>
  <w:style w:type="character" w:customStyle="1" w:styleId="ListLabel3">
    <w:name w:val="ListLabel 3"/>
    <w:qFormat/>
    <w:rPr>
      <w:rFonts w:ascii="Times New Roman" w:eastAsia="Times New Roman" w:hAnsi="Times New Roman"/>
      <w:color w:val="000000"/>
      <w:sz w:val="24"/>
    </w:rPr>
  </w:style>
  <w:style w:type="character" w:customStyle="1" w:styleId="ListLabel4">
    <w:name w:val="ListLabel 4"/>
    <w:qFormat/>
    <w:rPr>
      <w:rFonts w:ascii="Times New Roman" w:eastAsia="Times New Roman" w:hAnsi="Times New Roman" w:cs="Times New Roman"/>
      <w:sz w:val="24"/>
      <w:szCs w:val="24"/>
      <w:lang w:eastAsia="en-CA"/>
    </w:rPr>
  </w:style>
  <w:style w:type="character" w:styleId="Marquedecommentaire">
    <w:name w:val="annotation reference"/>
    <w:basedOn w:val="Policepardfaut"/>
    <w:uiPriority w:val="99"/>
    <w:semiHidden/>
    <w:unhideWhenUsed/>
    <w:qFormat/>
    <w:rsid w:val="00994BB4"/>
    <w:rPr>
      <w:sz w:val="16"/>
      <w:szCs w:val="16"/>
    </w:rPr>
  </w:style>
  <w:style w:type="character" w:customStyle="1" w:styleId="CommentaireCar">
    <w:name w:val="Commentaire Car"/>
    <w:basedOn w:val="Policepardfaut"/>
    <w:link w:val="Commentaire"/>
    <w:uiPriority w:val="99"/>
    <w:semiHidden/>
    <w:qFormat/>
    <w:rsid w:val="00994BB4"/>
    <w:rPr>
      <w:szCs w:val="20"/>
    </w:rPr>
  </w:style>
  <w:style w:type="character" w:customStyle="1" w:styleId="ObjetducommentaireCar">
    <w:name w:val="Objet du commentaire Car"/>
    <w:basedOn w:val="CommentaireCar"/>
    <w:link w:val="Objetducommentaire"/>
    <w:uiPriority w:val="99"/>
    <w:semiHidden/>
    <w:qFormat/>
    <w:rsid w:val="00994BB4"/>
    <w:rPr>
      <w:b/>
      <w:bCs/>
      <w:szCs w:val="20"/>
    </w:rPr>
  </w:style>
  <w:style w:type="character" w:customStyle="1" w:styleId="ListLabel5">
    <w:name w:val="ListLabel 5"/>
    <w:qFormat/>
    <w:rPr>
      <w:rFonts w:eastAsia="Times New Roman"/>
      <w:color w:val="000000"/>
      <w:sz w:val="24"/>
    </w:rPr>
  </w:style>
  <w:style w:type="character" w:customStyle="1" w:styleId="ListLabel6">
    <w:name w:val="ListLabel 6"/>
    <w:qFormat/>
    <w:rPr>
      <w:rFonts w:ascii="Times New Roman" w:eastAsia="Times New Roman" w:hAnsi="Times New Roman" w:cs="Times New Roman"/>
      <w:sz w:val="24"/>
      <w:szCs w:val="24"/>
      <w:lang w:eastAsia="en-CA"/>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25745"/>
    <w:pPr>
      <w:spacing w:beforeAutospacing="1" w:afterAutospacing="1" w:line="240" w:lineRule="auto"/>
    </w:pPr>
    <w:rPr>
      <w:rFonts w:ascii="Times New Roman" w:eastAsia="Times New Roman" w:hAnsi="Times New Roman" w:cs="Times New Roman"/>
      <w:sz w:val="24"/>
      <w:szCs w:val="24"/>
      <w:lang w:eastAsia="en-CA"/>
    </w:rPr>
  </w:style>
  <w:style w:type="paragraph" w:styleId="Paragraphedeliste">
    <w:name w:val="List Paragraph"/>
    <w:basedOn w:val="Normal"/>
    <w:uiPriority w:val="34"/>
    <w:qFormat/>
    <w:rsid w:val="00321132"/>
    <w:pPr>
      <w:ind w:left="720"/>
      <w:contextualSpacing/>
    </w:pPr>
  </w:style>
  <w:style w:type="paragraph" w:styleId="Rvision">
    <w:name w:val="Revision"/>
    <w:uiPriority w:val="99"/>
    <w:semiHidden/>
    <w:qFormat/>
    <w:rsid w:val="00903C37"/>
    <w:rPr>
      <w:sz w:val="22"/>
    </w:rPr>
  </w:style>
  <w:style w:type="paragraph" w:styleId="En-tte">
    <w:name w:val="header"/>
    <w:basedOn w:val="Normal"/>
    <w:uiPriority w:val="99"/>
    <w:unhideWhenUsed/>
    <w:rsid w:val="003D7EDC"/>
    <w:pPr>
      <w:suppressLineNumbers/>
      <w:tabs>
        <w:tab w:val="center" w:pos="4320"/>
        <w:tab w:val="right" w:pos="8640"/>
      </w:tabs>
      <w:spacing w:after="0" w:line="240" w:lineRule="auto"/>
    </w:pPr>
  </w:style>
  <w:style w:type="paragraph" w:styleId="Pieddepage">
    <w:name w:val="footer"/>
    <w:basedOn w:val="Normal"/>
    <w:link w:val="PieddepageCar"/>
    <w:uiPriority w:val="99"/>
    <w:unhideWhenUsed/>
    <w:rsid w:val="003D7EDC"/>
    <w:pPr>
      <w:suppressLineNumbers/>
      <w:tabs>
        <w:tab w:val="center" w:pos="4320"/>
        <w:tab w:val="right" w:pos="8640"/>
      </w:tabs>
      <w:spacing w:after="0" w:line="240" w:lineRule="auto"/>
    </w:pPr>
  </w:style>
  <w:style w:type="paragraph" w:styleId="Commentaire">
    <w:name w:val="annotation text"/>
    <w:basedOn w:val="Normal"/>
    <w:link w:val="CommentaireCar"/>
    <w:uiPriority w:val="99"/>
    <w:semiHidden/>
    <w:unhideWhenUsed/>
    <w:qFormat/>
    <w:rsid w:val="00994BB4"/>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994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portali@uottawa.c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33</Pages>
  <Words>7513</Words>
  <Characters>41322</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17</cp:revision>
  <dcterms:created xsi:type="dcterms:W3CDTF">2021-12-27T22:00:00Z</dcterms:created>
  <dcterms:modified xsi:type="dcterms:W3CDTF">2022-01-09T19:54:00Z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