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418A03E6"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r w:rsidRPr="007B5CA4">
        <w:rPr>
          <w:rFonts w:ascii="Times New Roman" w:eastAsia="Times New Roman" w:hAnsi="Times New Roman" w:cs="Times New Roman"/>
          <w:b/>
          <w:bCs/>
          <w:color w:val="000000"/>
          <w:sz w:val="28"/>
          <w:szCs w:val="28"/>
          <w:lang w:val="fr-CA" w:eastAsia="en-CA"/>
        </w:rPr>
        <w:t>Authors</w:t>
      </w:r>
      <w:r w:rsidRPr="00991E1A">
        <w:rPr>
          <w:rFonts w:ascii="Times New Roman" w:eastAsia="Times New Roman" w:hAnsi="Times New Roman" w:cs="Times New Roman"/>
          <w:color w:val="000000"/>
          <w:sz w:val="28"/>
          <w:szCs w:val="28"/>
          <w:lang w:val="fr-FR" w:eastAsia="en-CA"/>
        </w:rPr>
        <w:t xml:space="preserve">: </w:t>
      </w:r>
      <w:r w:rsidR="006B7108" w:rsidRPr="00991E1A">
        <w:rPr>
          <w:rFonts w:ascii="Times New Roman" w:eastAsia="Times New Roman" w:hAnsi="Times New Roman" w:cs="Times New Roman"/>
          <w:color w:val="000000"/>
          <w:sz w:val="28"/>
          <w:szCs w:val="28"/>
          <w:lang w:val="fr-FR" w:eastAsia="en-CA"/>
        </w:rPr>
        <w:t>Portalier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Candau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 Department of Mathematics and Statistics, University of Ottawa, Ottawa, ON, Canada</w:t>
      </w:r>
    </w:p>
    <w:p w14:paraId="725AB3FC" w14:textId="77777777"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 Natural Resources Canada, Canadian Forest Service, Great Lake Forestry Centre, Sault Ste. Marie, ON, Canada</w:t>
      </w:r>
    </w:p>
    <w:p w14:paraId="2CC1D247" w14:textId="77777777" w:rsidR="00D63030" w:rsidRDefault="00D63030" w:rsidP="00D63030">
      <w:pPr>
        <w:spacing w:after="0" w:line="480" w:lineRule="auto"/>
        <w:rPr>
          <w:rFonts w:ascii="Times New Roman" w:eastAsia="Times New Roman" w:hAnsi="Times New Roman" w:cs="Times New Roman"/>
          <w:b/>
          <w:bCs/>
          <w:color w:val="000000"/>
          <w:sz w:val="28"/>
          <w:szCs w:val="28"/>
          <w:lang w:eastAsia="en-CA"/>
        </w:rPr>
      </w:pP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34DF7001" w14:textId="3E8AC94F"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sportali@uottawa.ca</w:t>
      </w:r>
    </w:p>
    <w:p w14:paraId="05927C80" w14:textId="77777777" w:rsidR="00991E1A" w:rsidRDefault="00991E1A" w:rsidP="00D63030">
      <w:pPr>
        <w:pStyle w:val="Titre5"/>
        <w:spacing w:line="480" w:lineRule="auto"/>
        <w:rPr>
          <w:rFonts w:ascii="Times New Roman" w:eastAsia="Times New Roman" w:hAnsi="Times New Roman" w:cs="Times New Roman"/>
          <w:color w:val="000000"/>
          <w:sz w:val="24"/>
          <w:szCs w:val="24"/>
          <w:lang w:eastAsia="en-CA"/>
        </w:rPr>
      </w:pPr>
    </w:p>
    <w:p w14:paraId="1E28E586" w14:textId="77777777" w:rsidR="00D63030" w:rsidRDefault="00D63030" w:rsidP="00D63030">
      <w:pPr>
        <w:pStyle w:val="Titre5"/>
        <w:spacing w:line="480" w:lineRule="auto"/>
        <w:rPr>
          <w:rFonts w:ascii="Times New Roman" w:eastAsia="Times New Roman" w:hAnsi="Times New Roman" w:cs="Times New Roman"/>
          <w:b/>
          <w:bCs/>
          <w:color w:val="000000"/>
          <w:sz w:val="24"/>
          <w:szCs w:val="24"/>
          <w:lang w:eastAsia="en-CA"/>
        </w:rPr>
      </w:pPr>
    </w:p>
    <w:p w14:paraId="1E065A50" w14:textId="0854ACA2" w:rsidR="00991E1A" w:rsidRPr="00991E1A" w:rsidRDefault="00D63030" w:rsidP="00D63030">
      <w:pPr>
        <w:pStyle w:val="Titre5"/>
        <w:spacing w:line="480" w:lineRule="auto"/>
        <w:rPr>
          <w:rFonts w:ascii="Times New Roman" w:hAnsi="Times New Roman" w:cs="Times New Roman"/>
          <w:sz w:val="24"/>
          <w:szCs w:val="24"/>
        </w:rPr>
      </w:pPr>
      <w:r w:rsidRPr="00D63030">
        <w:rPr>
          <w:rFonts w:ascii="Times New Roman" w:eastAsia="Times New Roman" w:hAnsi="Times New Roman" w:cs="Times New Roman"/>
          <w:b/>
          <w:bCs/>
          <w:color w:val="000000"/>
          <w:sz w:val="24"/>
          <w:szCs w:val="24"/>
          <w:lang w:eastAsia="en-CA"/>
        </w:rPr>
        <w:t>Word count</w:t>
      </w:r>
      <w:r>
        <w:rPr>
          <w:rFonts w:ascii="Times New Roman" w:eastAsia="Times New Roman" w:hAnsi="Times New Roman" w:cs="Times New Roman"/>
          <w:color w:val="000000"/>
          <w:sz w:val="24"/>
          <w:szCs w:val="24"/>
          <w:lang w:eastAsia="en-CA"/>
        </w:rPr>
        <w:t>: 84</w:t>
      </w:r>
      <w:r w:rsidR="00C247CE">
        <w:rPr>
          <w:rFonts w:ascii="Times New Roman" w:eastAsia="Times New Roman" w:hAnsi="Times New Roman" w:cs="Times New Roman"/>
          <w:color w:val="000000"/>
          <w:sz w:val="24"/>
          <w:szCs w:val="24"/>
          <w:lang w:eastAsia="en-CA"/>
        </w:rPr>
        <w:t>8</w:t>
      </w:r>
      <w:r>
        <w:rPr>
          <w:rFonts w:ascii="Times New Roman" w:eastAsia="Times New Roman" w:hAnsi="Times New Roman" w:cs="Times New Roman"/>
          <w:color w:val="000000"/>
          <w:sz w:val="24"/>
          <w:szCs w:val="24"/>
          <w:lang w:eastAsia="en-CA"/>
        </w:rPr>
        <w:t>9 words</w:t>
      </w:r>
      <w:r w:rsidR="00991E1A" w:rsidRPr="00991E1A">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6891903F"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49FB4543" w14:textId="642E167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57670D91"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 van As</w:t>
      </w:r>
      <w:r w:rsidR="005349F2">
        <w:rPr>
          <w:rFonts w:ascii="Times New Roman" w:eastAsia="Times New Roman" w:hAnsi="Times New Roman" w:cs="Times New Roman"/>
          <w:color w:val="000000"/>
          <w:sz w:val="24"/>
          <w:szCs w:val="24"/>
          <w:lang w:eastAsia="en-CA"/>
        </w:rPr>
        <w:t>c</w:t>
      </w:r>
      <w:r w:rsidR="00086128">
        <w:rPr>
          <w:rFonts w:ascii="Times New Roman" w:eastAsia="Times New Roman" w:hAnsi="Times New Roman" w:cs="Times New Roman"/>
          <w:color w:val="000000"/>
          <w:sz w:val="24"/>
          <w:szCs w:val="24"/>
          <w:lang w:eastAsia="en-CA"/>
        </w:rPr>
        <w:t>h,</w:t>
      </w:r>
      <w:r>
        <w:rPr>
          <w:rFonts w:ascii="Times New Roman" w:eastAsia="Times New Roman" w:hAnsi="Times New Roman" w:cs="Times New Roman"/>
          <w:color w:val="000000"/>
          <w:sz w:val="24"/>
          <w:szCs w:val="24"/>
          <w:lang w:eastAsia="en-CA"/>
        </w:rPr>
        <w:t xml:space="preserve"> et al., 2009</w:t>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(Kharouba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 &amp; Wolkovich, 2020)</w:t>
      </w:r>
      <w:bookmarkEnd w:id="15"/>
      <w:bookmarkEnd w:id="16"/>
      <w:bookmarkEnd w:id="17"/>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phenologies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 et al., 1983)</w:t>
      </w:r>
      <w:bookmarkEnd w:id="30"/>
      <w:bookmarkEnd w:id="31"/>
      <w:bookmarkEnd w:id="32"/>
      <w:r>
        <w:rPr>
          <w:rFonts w:ascii="Times New Roman" w:eastAsia="Times New Roman" w:hAnsi="Times New Roman" w:cs="Times New Roman"/>
          <w:color w:val="000000"/>
          <w:sz w:val="24"/>
          <w:szCs w:val="24"/>
          <w:lang w:eastAsia="en-CA"/>
        </w:rPr>
        <w:t>.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Régnière &amp; Nealis,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armesan &amp; Yohe,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127_942872385"/>
      <w:bookmarkStart w:id="44" w:name="__Fieldmark__124_2495178454"/>
      <w:bookmarkStart w:id="45" w:name="__Fieldmark__206_3903614438"/>
      <w:bookmarkEnd w:id="43"/>
      <w:bookmarkEnd w:id="44"/>
      <w:bookmarkEnd w:id="45"/>
      <w:r>
        <w:rPr>
          <w:rFonts w:ascii="Times New Roman" w:eastAsia="Times New Roman" w:hAnsi="Times New Roman" w:cs="Times New Roman"/>
          <w:color w:val="000000"/>
          <w:sz w:val="24"/>
          <w:szCs w:val="24"/>
          <w:lang w:eastAsia="en-CA"/>
        </w:rPr>
        <w:t>). In a meta-analysis of 27 pairs of interacting species, Kharouba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Zohner, 2018)</w:t>
      </w:r>
      <w:bookmarkStart w:id="46" w:name="__Fieldmark__131_2495178454"/>
      <w:bookmarkStart w:id="47" w:name="__Fieldmark__140_942872385"/>
      <w:bookmarkStart w:id="48" w:name="__Fieldmark__227_3903614438"/>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45_942872385"/>
      <w:bookmarkStart w:id="51" w:name="__Fieldmark__138_2495178454"/>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259_3903614438"/>
      <w:bookmarkStart w:id="53" w:name="__Fieldmark__150_2495178454"/>
      <w:bookmarkStart w:id="54" w:name="__Fieldmark__154_942872385"/>
      <w:bookmarkStart w:id="55" w:name="__Fieldmark__145_2495178454"/>
      <w:bookmarkStart w:id="56" w:name="__Fieldmark__150_942872385"/>
      <w:bookmarkEnd w:id="52"/>
      <w:bookmarkEnd w:id="53"/>
      <w:bookmarkEnd w:id="54"/>
      <w:bookmarkEnd w:id="55"/>
      <w:bookmarkEnd w:id="5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 &amp; Régnière,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 et al., 2021)</w:t>
      </w:r>
      <w:bookmarkEnd w:id="60"/>
      <w:bookmarkEnd w:id="61"/>
      <w:bookmarkEnd w:id="62"/>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(Kharouba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77777777" w:rsidR="001A179F" w:rsidRDefault="006B7108">
      <w:pPr>
        <w:pStyle w:val="Titre1"/>
        <w:spacing w:before="280" w:after="280" w:line="480" w:lineRule="auto"/>
        <w:rPr>
          <w:sz w:val="32"/>
          <w:szCs w:val="32"/>
        </w:rPr>
      </w:pPr>
      <w:r>
        <w:rPr>
          <w:sz w:val="32"/>
          <w:szCs w:val="32"/>
        </w:rPr>
        <w:t>2. Methods</w:t>
      </w:r>
    </w:p>
    <w:p w14:paraId="2BCCE503"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begin with a unified description of the mechanisms that determine the duration of the resting period of a consumer and its resource in terms of accumulation of ambient temperature. Then we list our data sources and explain the fitting methods for the spruce budworm - balsam fir system.</w:t>
      </w:r>
    </w:p>
    <w:p w14:paraId="6E7A762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2.1 Theoretical development</w:t>
      </w:r>
    </w:p>
    <w:p w14:paraId="6B12F295" w14:textId="53FFA06C" w:rsidR="001A179F" w:rsidRDefault="006B7108">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ambient temperature. The resting period ends when a certain level of the quantity has accumulated. For trees, this quantity can be heat, for </w:t>
      </w:r>
      <w:r>
        <w:rPr>
          <w:color w:val="000000"/>
        </w:rPr>
        <w:lastRenderedPageBreak/>
        <w:t xml:space="preserve">example in degree-day models </w:t>
      </w:r>
      <w:bookmarkStart w:id="69" w:name="__Fieldmark__374_3903614438"/>
      <w:r>
        <w:rPr>
          <w:color w:val="000000"/>
        </w:rPr>
        <w:t>(</w:t>
      </w:r>
      <w:bookmarkStart w:id="70" w:name="__Fieldmark__198_2495178454"/>
      <w:r>
        <w:rPr>
          <w:color w:val="000000"/>
        </w:rPr>
        <w:t>C</w:t>
      </w:r>
      <w:bookmarkStart w:id="71" w:name="__Fieldmark__204_942872385"/>
      <w:r>
        <w:rPr>
          <w:color w:val="000000"/>
        </w:rPr>
        <w:t>olombo, 1998)</w:t>
      </w:r>
      <w:bookmarkEnd w:id="69"/>
      <w:bookmarkEnd w:id="70"/>
      <w:bookmarkEnd w:id="71"/>
      <w:r>
        <w:rPr>
          <w:color w:val="000000"/>
        </w:rPr>
        <w:t xml:space="preserve"> or more recent nonlinear models </w:t>
      </w:r>
      <w:bookmarkStart w:id="72" w:name="__Fieldmark__385_3903614438"/>
      <w:r>
        <w:rPr>
          <w:color w:val="000000"/>
        </w:rPr>
        <w:t>(</w:t>
      </w:r>
      <w:bookmarkStart w:id="73" w:name="__Fieldmark__205_2495178454"/>
      <w:r>
        <w:rPr>
          <w:color w:val="000000"/>
        </w:rPr>
        <w:t>C</w:t>
      </w:r>
      <w:bookmarkStart w:id="74" w:name="__Fieldmark__209_942872385"/>
      <w:r>
        <w:rPr>
          <w:color w:val="000000"/>
        </w:rPr>
        <w:t>huine, 2000</w:t>
      </w:r>
      <w:bookmarkEnd w:id="72"/>
      <w:bookmarkEnd w:id="73"/>
      <w:bookmarkEnd w:id="74"/>
      <w:r>
        <w:rPr>
          <w:color w:val="000000"/>
        </w:rPr>
        <w:t xml:space="preserve">; </w:t>
      </w:r>
      <w:bookmarkStart w:id="75" w:name="__Fieldmark__396_3903614438"/>
      <w:r>
        <w:rPr>
          <w:color w:val="000000"/>
        </w:rPr>
        <w:t>D</w:t>
      </w:r>
      <w:bookmarkStart w:id="76" w:name="__Fieldmark__212_2495178454"/>
      <w:r>
        <w:rPr>
          <w:color w:val="000000"/>
        </w:rPr>
        <w:t>e</w:t>
      </w:r>
      <w:bookmarkStart w:id="77" w:name="__Fieldmark__214_942872385"/>
      <w:r>
        <w:rPr>
          <w:color w:val="000000"/>
        </w:rPr>
        <w:t>sbiens, 2007)</w:t>
      </w:r>
      <w:bookmarkEnd w:id="75"/>
      <w:bookmarkEnd w:id="76"/>
      <w:bookmarkEnd w:id="77"/>
      <w:r>
        <w:rPr>
          <w:color w:val="000000"/>
        </w:rPr>
        <w:t xml:space="preserve">. For insects, the quantity can be the proportion of the corresponding life-cycle stage that they have completed </w:t>
      </w:r>
      <w:bookmarkStart w:id="78" w:name="__Fieldmark__407_3903614438"/>
      <w:r>
        <w:rPr>
          <w:color w:val="000000"/>
        </w:rPr>
        <w:t>(</w:t>
      </w:r>
      <w:bookmarkStart w:id="79" w:name="__Fieldmark__219_2495178454"/>
      <w:r>
        <w:rPr>
          <w:color w:val="000000"/>
        </w:rPr>
        <w:t>C</w:t>
      </w:r>
      <w:bookmarkStart w:id="80" w:name="__Fieldmark__219_942872385"/>
      <w:r>
        <w:rPr>
          <w:color w:val="000000"/>
        </w:rPr>
        <w:t>obbold &amp; Powell, 2011</w:t>
      </w:r>
      <w:bookmarkEnd w:id="78"/>
      <w:bookmarkEnd w:id="79"/>
      <w:bookmarkEnd w:id="80"/>
      <w:r>
        <w:rPr>
          <w:color w:val="000000"/>
        </w:rPr>
        <w:t xml:space="preserve">; </w:t>
      </w:r>
      <w:bookmarkStart w:id="81" w:name="__Fieldmark__418_3903614438"/>
      <w:r>
        <w:rPr>
          <w:color w:val="000000"/>
        </w:rPr>
        <w:t>R</w:t>
      </w:r>
      <w:bookmarkStart w:id="82" w:name="__Fieldmark__226_2495178454"/>
      <w:r>
        <w:rPr>
          <w:color w:val="000000"/>
        </w:rPr>
        <w:t>é</w:t>
      </w:r>
      <w:bookmarkStart w:id="83" w:name="__Fieldmark__224_942872385"/>
      <w:r>
        <w:rPr>
          <w:color w:val="000000"/>
        </w:rPr>
        <w:t>gnière, St-Amant, &amp; Duval, 2012)</w:t>
      </w:r>
      <w:bookmarkEnd w:id="81"/>
      <w:bookmarkEnd w:id="82"/>
      <w:bookmarkEnd w:id="83"/>
      <w:r>
        <w:rPr>
          <w:color w:val="000000"/>
        </w:rPr>
        <w:t>. Since the development rate is temperature dependent, this quantity ultimately measures accumulated heat. This concept of an accumulating quantity is “still the most important assumption in plant and animal phenology modelling” (Chuine &amp; Régnière,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84" w:name="__Fieldmark__463_3903614438"/>
      <w:r>
        <w:rPr>
          <w:color w:val="000000"/>
        </w:rPr>
        <w:t>(</w:t>
      </w:r>
      <w:bookmarkStart w:id="85" w:name="__Fieldmark__474_3903614438"/>
      <w:bookmarkEnd w:id="84"/>
      <w:r>
        <w:rPr>
          <w:color w:val="000000"/>
        </w:rPr>
        <w:t>A</w:t>
      </w:r>
      <w:bookmarkStart w:id="86" w:name="__Fieldmark__250_2495178454"/>
      <w:r>
        <w:rPr>
          <w:color w:val="000000"/>
        </w:rPr>
        <w:t>m</w:t>
      </w:r>
      <w:bookmarkStart w:id="87" w:name="__Fieldmark__244_942872385"/>
      <w:r>
        <w:rPr>
          <w:color w:val="000000"/>
        </w:rPr>
        <w:t>arasekare &amp; Coutinho, 2014)</w:t>
      </w:r>
      <w:bookmarkEnd w:id="85"/>
      <w:bookmarkEnd w:id="86"/>
      <w:bookmarkEnd w:id="87"/>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393A4A">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64E8111B" w14:textId="7D53E1E7"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77777777"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70890C9C"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88" w:name="__Fieldmark__553_3903614438"/>
      <w:r>
        <w:rPr>
          <w:rFonts w:ascii="Times New Roman" w:eastAsia="Times New Roman" w:hAnsi="Times New Roman" w:cs="Times New Roman"/>
          <w:color w:val="000000"/>
          <w:sz w:val="24"/>
          <w:szCs w:val="24"/>
          <w:lang w:eastAsia="en-CA"/>
        </w:rPr>
        <w:t>(</w:t>
      </w:r>
      <w:bookmarkStart w:id="89" w:name="__Fieldmark__289_2495178454"/>
      <w:r>
        <w:rPr>
          <w:rFonts w:ascii="Times New Roman" w:eastAsia="Times New Roman" w:hAnsi="Times New Roman" w:cs="Times New Roman"/>
          <w:color w:val="000000"/>
          <w:sz w:val="24"/>
          <w:szCs w:val="24"/>
          <w:lang w:eastAsia="en-CA"/>
        </w:rPr>
        <w:t>C</w:t>
      </w:r>
      <w:bookmarkStart w:id="90" w:name="__Fieldmark__286_942872385"/>
      <w:r>
        <w:rPr>
          <w:rFonts w:ascii="Times New Roman" w:eastAsia="Times New Roman" w:hAnsi="Times New Roman" w:cs="Times New Roman"/>
          <w:color w:val="000000"/>
          <w:sz w:val="24"/>
          <w:szCs w:val="24"/>
          <w:lang w:eastAsia="en-CA"/>
        </w:rPr>
        <w:t>huine, 2000</w:t>
      </w:r>
      <w:bookmarkEnd w:id="88"/>
      <w:bookmarkEnd w:id="89"/>
      <w:bookmarkEnd w:id="90"/>
      <w:r>
        <w:rPr>
          <w:rFonts w:ascii="Times New Roman" w:eastAsia="Times New Roman" w:hAnsi="Times New Roman" w:cs="Times New Roman"/>
          <w:color w:val="000000"/>
          <w:sz w:val="24"/>
          <w:szCs w:val="24"/>
          <w:lang w:eastAsia="en-CA"/>
        </w:rPr>
        <w:t xml:space="preserve">; </w:t>
      </w:r>
      <w:bookmarkStart w:id="91" w:name="__Fieldmark__564_3903614438"/>
      <w:r>
        <w:rPr>
          <w:rFonts w:ascii="Times New Roman" w:eastAsia="Times New Roman" w:hAnsi="Times New Roman" w:cs="Times New Roman"/>
          <w:color w:val="000000"/>
          <w:sz w:val="24"/>
          <w:szCs w:val="24"/>
          <w:lang w:eastAsia="en-CA"/>
        </w:rPr>
        <w:t>R</w:t>
      </w:r>
      <w:bookmarkStart w:id="92" w:name="__Fieldmark__296_2495178454"/>
      <w:r>
        <w:rPr>
          <w:rFonts w:ascii="Times New Roman" w:eastAsia="Times New Roman" w:hAnsi="Times New Roman" w:cs="Times New Roman"/>
          <w:color w:val="000000"/>
          <w:sz w:val="24"/>
          <w:szCs w:val="24"/>
          <w:lang w:eastAsia="en-CA"/>
        </w:rPr>
        <w:t>e</w:t>
      </w:r>
      <w:bookmarkStart w:id="93" w:name="__Fieldmark__291_942872385"/>
      <w:r>
        <w:rPr>
          <w:rFonts w:ascii="Times New Roman" w:eastAsia="Times New Roman" w:hAnsi="Times New Roman" w:cs="Times New Roman"/>
          <w:color w:val="000000"/>
          <w:sz w:val="24"/>
          <w:szCs w:val="24"/>
          <w:lang w:eastAsia="en-CA"/>
        </w:rPr>
        <w:t>baudo &amp; Rabhi, 2018)</w:t>
      </w:r>
      <w:bookmarkEnd w:id="91"/>
      <w:bookmarkEnd w:id="92"/>
      <w:bookmarkEnd w:id="93"/>
      <w:r>
        <w:rPr>
          <w:rFonts w:ascii="Times New Roman" w:eastAsia="Times New Roman" w:hAnsi="Times New Roman" w:cs="Times New Roman"/>
          <w:color w:val="000000"/>
          <w:sz w:val="24"/>
          <w:szCs w:val="24"/>
          <w:lang w:eastAsia="en-CA"/>
        </w:rPr>
        <w:t xml:space="preserve">. </w:t>
      </w:r>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Eq. 2 as well as the condition in Eq. 1 for two different species and two simplistic temperature time series in Figure 1. As temperature patterns during the resting period change because of climate change, the end time of the resting period of a species may shift.  When </w:t>
      </w:r>
      <w:r>
        <w:rPr>
          <w:rFonts w:ascii="Times New Roman" w:eastAsia="Times New Roman" w:hAnsi="Times New Roman" w:cs="Times New Roman"/>
          <w:color w:val="000000"/>
          <w:sz w:val="24"/>
          <w:szCs w:val="24"/>
          <w:lang w:eastAsia="en-CA"/>
        </w:rPr>
        <w:lastRenderedPageBreak/>
        <w:t>temperatures increase, accumulation occurs faster and the phenology advances, i.e., the end time is earlier (Fig. 1D).</w:t>
      </w:r>
    </w:p>
    <w:p w14:paraId="1FF23A01" w14:textId="77777777"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t xml:space="preserve">The rate accumulation function of a consumer and its resource will generally differ even in the same temperature regime (compare solid and dashed curves in Fig. 1C), which typically leads to different end times of the resting period (Fig. 1D). We denote these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insect (consumer)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host tree (resource).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mismatch = 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2AA7F56E" w14:textId="77777777" w:rsidR="001A179F" w:rsidRDefault="006B7108">
      <w:pPr>
        <w:spacing w:before="280" w:line="480" w:lineRule="auto"/>
        <w:ind w:firstLine="720"/>
        <w:rPr>
          <w:rFonts w:ascii="Times New Roman" w:hAnsi="Times New Roman" w:cs="Times New Roman"/>
          <w:sz w:val="24"/>
          <w:szCs w:val="24"/>
        </w:rPr>
      </w:pPr>
      <w:r>
        <w:rPr>
          <w:rFonts w:ascii="Times New Roman" w:hAnsi="Times New Roman" w:cs="Times New Roman"/>
          <w:sz w:val="24"/>
          <w:szCs w:val="24"/>
        </w:rPr>
        <w:t>We</w:t>
      </w:r>
      <w:r>
        <w:rPr>
          <w:rFonts w:ascii="Times New Roman" w:eastAsia="Times New Roman" w:hAnsi="Times New Roman" w:cs="Times New Roman"/>
          <w:color w:val="000000"/>
          <w:sz w:val="24"/>
          <w:szCs w:val="24"/>
          <w:lang w:eastAsia="en-CA"/>
        </w:rPr>
        <w:t xml:space="preserve"> use our theoretical model to predict general patterns of climate-change induced shifts in species phenologies and changes in the mismatch between interacting species. We use the spruce budworm and balsam fir system in eastern Canada to illustrate how estimated rate accumulation functions can be applied to different temperature scenarios to investigate how climate change may affect the phenological between these two species.</w:t>
      </w:r>
    </w:p>
    <w:p w14:paraId="087F583A"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2.2 The spruce budworm – balsam fir system</w:t>
      </w:r>
    </w:p>
    <w:p w14:paraId="186865B1"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2.2.1 Study system</w:t>
      </w:r>
    </w:p>
    <w:p w14:paraId="7811E8C0" w14:textId="2D18B6FD"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r>
        <w:rPr>
          <w:rFonts w:ascii="Times New Roman" w:hAnsi="Times New Roman" w:cs="Times New Roman"/>
          <w:i/>
          <w:iCs/>
          <w:color w:val="000000"/>
          <w:sz w:val="24"/>
          <w:szCs w:val="24"/>
        </w:rPr>
        <w:t>Choristoneura fumiferana</w:t>
      </w:r>
      <w:r>
        <w:rPr>
          <w:rFonts w:ascii="Times New Roman" w:hAnsi="Times New Roman" w:cs="Times New Roman"/>
          <w:color w:val="000000"/>
          <w:sz w:val="24"/>
          <w:szCs w:val="24"/>
        </w:rPr>
        <w:t xml:space="preserve">) is the most destructive defoliator of North American boreal forests </w:t>
      </w:r>
      <w:bookmarkStart w:id="94" w:name="__Fieldmark__640_3903614438"/>
      <w:r>
        <w:rPr>
          <w:rFonts w:ascii="Times New Roman" w:hAnsi="Times New Roman" w:cs="Times New Roman"/>
          <w:color w:val="000000"/>
          <w:sz w:val="24"/>
          <w:szCs w:val="24"/>
        </w:rPr>
        <w:t>(</w:t>
      </w:r>
      <w:bookmarkStart w:id="95" w:name="__Fieldmark__352_2495178454"/>
      <w:r>
        <w:rPr>
          <w:rFonts w:ascii="Times New Roman" w:hAnsi="Times New Roman" w:cs="Times New Roman"/>
          <w:color w:val="000000"/>
          <w:sz w:val="24"/>
          <w:szCs w:val="24"/>
        </w:rPr>
        <w:t>F</w:t>
      </w:r>
      <w:bookmarkStart w:id="96" w:name="__Fieldmark__356_942872385"/>
      <w:r>
        <w:rPr>
          <w:rFonts w:ascii="Times New Roman" w:hAnsi="Times New Roman" w:cs="Times New Roman"/>
          <w:color w:val="000000"/>
          <w:sz w:val="24"/>
          <w:szCs w:val="24"/>
        </w:rPr>
        <w:t>leming, 2000)</w:t>
      </w:r>
      <w:bookmarkEnd w:id="94"/>
      <w:bookmarkEnd w:id="95"/>
      <w:bookmarkEnd w:id="96"/>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Abies balsamea</w:t>
      </w:r>
      <w:r>
        <w:rPr>
          <w:rFonts w:ascii="Times New Roman" w:hAnsi="Times New Roman" w:cs="Times New Roman"/>
          <w:color w:val="000000"/>
          <w:sz w:val="24"/>
          <w:szCs w:val="24"/>
        </w:rPr>
        <w:t>), black spruce (</w:t>
      </w:r>
      <w:r>
        <w:rPr>
          <w:rFonts w:ascii="Times New Roman" w:hAnsi="Times New Roman" w:cs="Times New Roman"/>
          <w:i/>
          <w:iCs/>
          <w:color w:val="000000"/>
          <w:sz w:val="24"/>
          <w:szCs w:val="24"/>
        </w:rPr>
        <w:t xml:space="preserve">Picea mariana), </w:t>
      </w:r>
      <w:r>
        <w:rPr>
          <w:rFonts w:ascii="Times New Roman" w:hAnsi="Times New Roman" w:cs="Times New Roman"/>
          <w:color w:val="000000"/>
          <w:sz w:val="24"/>
          <w:szCs w:val="24"/>
        </w:rPr>
        <w:t>white spruce (</w:t>
      </w:r>
      <w:r>
        <w:rPr>
          <w:rFonts w:ascii="Times New Roman" w:hAnsi="Times New Roman" w:cs="Times New Roman"/>
          <w:i/>
          <w:iCs/>
          <w:color w:val="000000"/>
          <w:sz w:val="24"/>
          <w:szCs w:val="24"/>
        </w:rPr>
        <w:t>Picea glauca)</w:t>
      </w:r>
      <w:r>
        <w:rPr>
          <w:rFonts w:ascii="Times New Roman" w:hAnsi="Times New Roman" w:cs="Times New Roman"/>
          <w:color w:val="000000"/>
          <w:sz w:val="24"/>
          <w:szCs w:val="24"/>
        </w:rPr>
        <w:t>, and red spruce (</w:t>
      </w:r>
      <w:r>
        <w:rPr>
          <w:rFonts w:ascii="Times New Roman" w:hAnsi="Times New Roman" w:cs="Times New Roman"/>
          <w:i/>
          <w:iCs/>
          <w:color w:val="000000"/>
          <w:sz w:val="24"/>
          <w:szCs w:val="24"/>
        </w:rPr>
        <w:t>Picea rubens)</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w:t>
      </w:r>
      <w:r>
        <w:rPr>
          <w:rFonts w:ascii="Times New Roman" w:hAnsi="Times New Roman" w:cs="Times New Roman"/>
          <w:color w:val="000000"/>
          <w:sz w:val="24"/>
          <w:szCs w:val="24"/>
        </w:rPr>
        <w:lastRenderedPageBreak/>
        <w:t xml:space="preserve">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97" w:name="__Fieldmark__691_3903614438"/>
      <w:r>
        <w:rPr>
          <w:rFonts w:ascii="Times New Roman" w:hAnsi="Times New Roman" w:cs="Times New Roman"/>
          <w:color w:val="000000"/>
          <w:sz w:val="24"/>
          <w:szCs w:val="24"/>
        </w:rPr>
        <w:t>(</w:t>
      </w:r>
      <w:bookmarkStart w:id="98" w:name="__Fieldmark__376_2495178454"/>
      <w:r>
        <w:rPr>
          <w:rFonts w:ascii="Times New Roman" w:hAnsi="Times New Roman" w:cs="Times New Roman"/>
          <w:color w:val="000000"/>
          <w:sz w:val="24"/>
          <w:szCs w:val="24"/>
        </w:rPr>
        <w:t>R</w:t>
      </w:r>
      <w:bookmarkStart w:id="99" w:name="__Fieldmark__389_942872385"/>
      <w:r>
        <w:rPr>
          <w:rFonts w:ascii="Times New Roman" w:hAnsi="Times New Roman" w:cs="Times New Roman"/>
          <w:color w:val="000000"/>
          <w:sz w:val="24"/>
          <w:szCs w:val="24"/>
        </w:rPr>
        <w:t>égnière &amp; Nealis, 2008</w:t>
      </w:r>
      <w:bookmarkStart w:id="100" w:name="__Fieldmark__702_3903614438"/>
      <w:bookmarkStart w:id="101" w:name="__Fieldmark__383_2495178454"/>
      <w:bookmarkStart w:id="102" w:name="__Fieldmark__394_942872385"/>
      <w:bookmarkEnd w:id="97"/>
      <w:bookmarkEnd w:id="98"/>
      <w:bookmarkEnd w:id="99"/>
      <w:r>
        <w:rPr>
          <w:rFonts w:ascii="Times New Roman" w:hAnsi="Times New Roman" w:cs="Times New Roman"/>
          <w:color w:val="000000"/>
          <w:sz w:val="24"/>
          <w:szCs w:val="24"/>
        </w:rPr>
        <w:t>)</w:t>
      </w:r>
      <w:bookmarkEnd w:id="100"/>
      <w:bookmarkEnd w:id="101"/>
      <w:bookmarkEnd w:id="102"/>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103" w:name="__Fieldmark__713_3903614438"/>
      <w:r>
        <w:rPr>
          <w:rFonts w:ascii="Times New Roman" w:hAnsi="Times New Roman" w:cs="Times New Roman"/>
          <w:color w:val="000000"/>
          <w:sz w:val="24"/>
          <w:szCs w:val="24"/>
        </w:rPr>
        <w:t>(</w:t>
      </w:r>
      <w:bookmarkStart w:id="104" w:name="__Fieldmark__390_2495178454"/>
      <w:r>
        <w:rPr>
          <w:rFonts w:ascii="Times New Roman" w:hAnsi="Times New Roman" w:cs="Times New Roman"/>
          <w:color w:val="000000"/>
          <w:sz w:val="24"/>
          <w:szCs w:val="24"/>
        </w:rPr>
        <w:t>L</w:t>
      </w:r>
      <w:bookmarkStart w:id="105" w:name="__Fieldmark__399_942872385"/>
      <w:r>
        <w:rPr>
          <w:rFonts w:ascii="Times New Roman" w:hAnsi="Times New Roman" w:cs="Times New Roman"/>
          <w:color w:val="000000"/>
          <w:sz w:val="24"/>
          <w:szCs w:val="24"/>
        </w:rPr>
        <w:t>awrence et al., 1997)</w:t>
      </w:r>
      <w:bookmarkEnd w:id="103"/>
      <w:bookmarkEnd w:id="104"/>
      <w:bookmarkEnd w:id="105"/>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106" w:name="__Fieldmark__724_3903614438"/>
      <w:r>
        <w:rPr>
          <w:rFonts w:ascii="Times New Roman" w:hAnsi="Times New Roman" w:cs="Times New Roman"/>
          <w:color w:val="000000"/>
          <w:sz w:val="24"/>
          <w:szCs w:val="24"/>
        </w:rPr>
        <w:t>(</w:t>
      </w:r>
      <w:bookmarkStart w:id="107" w:name="__Fieldmark__397_2495178454"/>
      <w:r>
        <w:rPr>
          <w:rFonts w:ascii="Times New Roman" w:hAnsi="Times New Roman" w:cs="Times New Roman"/>
          <w:color w:val="000000"/>
          <w:sz w:val="24"/>
          <w:szCs w:val="24"/>
        </w:rPr>
        <w:t>B</w:t>
      </w:r>
      <w:bookmarkStart w:id="108" w:name="__Fieldmark__406_942872385"/>
      <w:r>
        <w:rPr>
          <w:rFonts w:ascii="Times New Roman" w:hAnsi="Times New Roman" w:cs="Times New Roman"/>
          <w:color w:val="000000"/>
          <w:sz w:val="24"/>
          <w:szCs w:val="24"/>
        </w:rPr>
        <w:t>lais, 1957)</w:t>
      </w:r>
      <w:bookmarkEnd w:id="106"/>
      <w:bookmarkEnd w:id="107"/>
      <w:bookmarkEnd w:id="108"/>
      <w:r>
        <w:rPr>
          <w:rFonts w:ascii="Times New Roman" w:hAnsi="Times New Roman" w:cs="Times New Roman"/>
          <w:color w:val="000000"/>
          <w:sz w:val="24"/>
          <w:szCs w:val="24"/>
        </w:rPr>
        <w:t xml:space="preserve">. The emergence of SBW generally precedes balsam fir budburst by several days. Balsam fir phenology appears to be related to forcing temperatures but not photoperiod </w:t>
      </w:r>
      <w:bookmarkStart w:id="109" w:name="__Fieldmark__739_3903614438"/>
      <w:r>
        <w:rPr>
          <w:rFonts w:ascii="Times New Roman" w:hAnsi="Times New Roman" w:cs="Times New Roman"/>
          <w:color w:val="000000"/>
          <w:sz w:val="24"/>
          <w:szCs w:val="24"/>
        </w:rPr>
        <w:t>(</w:t>
      </w:r>
      <w:bookmarkStart w:id="110" w:name="__Fieldmark__408_2495178454"/>
      <w:r>
        <w:rPr>
          <w:rFonts w:ascii="Times New Roman" w:hAnsi="Times New Roman" w:cs="Times New Roman"/>
          <w:color w:val="000000"/>
          <w:sz w:val="24"/>
          <w:szCs w:val="24"/>
        </w:rPr>
        <w:t>O</w:t>
      </w:r>
      <w:bookmarkStart w:id="111" w:name="__Fieldmark__415_942872385"/>
      <w:r>
        <w:rPr>
          <w:rFonts w:ascii="Times New Roman" w:hAnsi="Times New Roman" w:cs="Times New Roman"/>
          <w:color w:val="000000"/>
          <w:sz w:val="24"/>
          <w:szCs w:val="24"/>
        </w:rPr>
        <w:t>sawa et al., 1983)</w:t>
      </w:r>
      <w:bookmarkEnd w:id="109"/>
      <w:bookmarkEnd w:id="110"/>
      <w:bookmarkEnd w:id="111"/>
      <w:r>
        <w:rPr>
          <w:rFonts w:ascii="Times New Roman" w:hAnsi="Times New Roman" w:cs="Times New Roman"/>
          <w:color w:val="000000"/>
          <w:sz w:val="24"/>
          <w:szCs w:val="24"/>
        </w:rPr>
        <w:t>. </w:t>
      </w:r>
    </w:p>
    <w:p w14:paraId="621B0974" w14:textId="5BA6B2A0" w:rsidR="001A179F" w:rsidRDefault="006B7108">
      <w:pPr>
        <w:pStyle w:val="NormalWeb"/>
        <w:spacing w:line="480" w:lineRule="auto"/>
        <w:ind w:firstLine="720"/>
      </w:pPr>
      <w:r>
        <w:rPr>
          <w:color w:val="000000"/>
        </w:rPr>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3.1.2 and Fig. 2).</w:t>
      </w:r>
    </w:p>
    <w:p w14:paraId="4246A326"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2.2.2 Phenological model of spruce budworm’s spring emergence</w:t>
      </w:r>
    </w:p>
    <w:p w14:paraId="2AEDB3E2" w14:textId="0079D1E2" w:rsidR="001A179F" w:rsidRDefault="006B7108">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112" w:name="__Fieldmark__754_3903614438"/>
      <w:r>
        <w:rPr>
          <w:color w:val="000000"/>
        </w:rPr>
        <w:t>(</w:t>
      </w:r>
      <w:bookmarkStart w:id="113" w:name="__Fieldmark__419_2495178454"/>
      <w:r>
        <w:rPr>
          <w:color w:val="000000"/>
        </w:rPr>
        <w:t>B</w:t>
      </w:r>
      <w:bookmarkStart w:id="114" w:name="__Fieldmark__429_942872385"/>
      <w:r>
        <w:rPr>
          <w:color w:val="000000"/>
        </w:rPr>
        <w:t>ean, 1961)</w:t>
      </w:r>
      <w:bookmarkEnd w:id="112"/>
      <w:bookmarkEnd w:id="113"/>
      <w:bookmarkEnd w:id="114"/>
      <w:r>
        <w:rPr>
          <w:color w:val="000000"/>
        </w:rPr>
        <w:t>. For modelling purposes, March 1</w:t>
      </w:r>
      <w:r w:rsidR="00B30119">
        <w:rPr>
          <w:color w:val="000000"/>
        </w:rPr>
        <w:t>st</w:t>
      </w:r>
      <w:r>
        <w:rPr>
          <w:color w:val="000000"/>
        </w:rPr>
        <w:t xml:space="preserve"> is generally taken as the start of the quiescent stage </w:t>
      </w:r>
      <w:bookmarkStart w:id="115" w:name="__Fieldmark__765_3903614438"/>
      <w:r>
        <w:rPr>
          <w:color w:val="000000"/>
        </w:rPr>
        <w:t>(</w:t>
      </w:r>
      <w:bookmarkStart w:id="116" w:name="__Fieldmark__426_2495178454"/>
      <w:r>
        <w:rPr>
          <w:color w:val="000000"/>
        </w:rPr>
        <w:t>R</w:t>
      </w:r>
      <w:bookmarkStart w:id="117" w:name="__Fieldmark__434_942872385"/>
      <w:r>
        <w:rPr>
          <w:color w:val="000000"/>
        </w:rPr>
        <w:t xml:space="preserve">égnière, </w:t>
      </w:r>
      <w:r>
        <w:t xml:space="preserve">St-Amant, &amp; </w:t>
      </w:r>
      <w:r>
        <w:lastRenderedPageBreak/>
        <w:t>Duval</w:t>
      </w:r>
      <w:r>
        <w:rPr>
          <w:color w:val="000000"/>
        </w:rPr>
        <w:t>, 2012)</w:t>
      </w:r>
      <w:bookmarkEnd w:id="115"/>
      <w:bookmarkEnd w:id="116"/>
      <w:bookmarkEnd w:id="117"/>
      <w:r>
        <w:rPr>
          <w:color w:val="000000"/>
        </w:rPr>
        <w:t xml:space="preserve">. Taking an earlier starting date would not affect the predicted date of emergence since temperatures are generally well below the 2.5ºC development threshold prior to March 1st across the vast majority of SBW’s geographical range. The heat accumulation rate during the quiescent stage is defined as (Régnière, </w:t>
      </w:r>
      <w:r>
        <w:t>St-Amant,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77777777"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5D9E00C7" w:rsidR="001A179F" w:rsidRDefault="006B7108">
            <w:pPr>
              <w:pStyle w:val="NormalWeb"/>
              <w:spacing w:before="280" w:after="0" w:line="480" w:lineRule="auto"/>
              <w:jc w:val="center"/>
            </w:pPr>
            <w:r>
              <w:t xml:space="preserve">Eq. </w:t>
            </w:r>
            <w:r w:rsidR="005203EE">
              <w:t>3</w:t>
            </w:r>
          </w:p>
        </w:tc>
      </w:tr>
    </w:tbl>
    <w:p w14:paraId="30DED731" w14:textId="77777777" w:rsidR="001A179F" w:rsidRDefault="006B7108">
      <w:pPr>
        <w:pStyle w:val="NormalWeb"/>
        <w:spacing w:before="280" w:beforeAutospacing="0" w:afterAutospacing="0" w:line="480" w:lineRule="auto"/>
        <w:rPr>
          <w:color w:val="000000"/>
        </w:rPr>
      </w:pPr>
      <w:r>
        <w:rPr>
          <w:color w:val="000000"/>
        </w:rPr>
        <w:t>where</w:t>
      </w:r>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6F7774CE" w:rsidR="001A179F" w:rsidRDefault="006B7108">
            <w:pPr>
              <w:pStyle w:val="NormalWeb"/>
              <w:spacing w:before="280" w:after="0" w:line="480" w:lineRule="auto"/>
              <w:jc w:val="center"/>
            </w:pPr>
            <w:r>
              <w:t xml:space="preserve">Eq. </w:t>
            </w:r>
            <w:r w:rsidR="005203EE">
              <w:t>4</w:t>
            </w:r>
          </w:p>
        </w:tc>
      </w:tr>
    </w:tbl>
    <w:p w14:paraId="70A5AB57" w14:textId="730BCDD2"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and a maximal value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Parameter values for SBW, estimated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 2.5 °C,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Pr>
          <w:rFonts w:ascii="Times New Roman" w:eastAsia="Times New Roman" w:hAnsi="Times New Roman" w:cs="Times New Roman"/>
          <w:color w:val="000000"/>
          <w:sz w:val="24"/>
          <w:szCs w:val="24"/>
          <w:lang w:eastAsia="en-CA"/>
        </w:rPr>
        <w:t xml:space="preserve"> (Régnière, </w:t>
      </w:r>
      <w:r>
        <w:rPr>
          <w:rFonts w:ascii="Times New Roman" w:hAnsi="Times New Roman" w:cs="Times New Roman"/>
        </w:rPr>
        <w:t>St-Amant, &amp; Duval</w:t>
      </w:r>
      <w:r>
        <w:rPr>
          <w:rFonts w:ascii="Times New Roman" w:eastAsia="Times New Roman" w:hAnsi="Times New Roman" w:cs="Times New Roman"/>
          <w:color w:val="000000"/>
          <w:sz w:val="24"/>
          <w:szCs w:val="24"/>
          <w:lang w:eastAsia="en-CA"/>
        </w:rPr>
        <w:t>, 2012). The accumulation rate function is increasing for temperatures up to 31°C, which is well above the temperatures observed during the quiescent stage.</w:t>
      </w:r>
    </w:p>
    <w:p w14:paraId="1EAB20A5"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2.2.3 Phenological model of balsam fir’s budburst</w:t>
      </w:r>
    </w:p>
    <w:p w14:paraId="26100D1F" w14:textId="0537FF58" w:rsidR="001A179F" w:rsidRDefault="006B7108">
      <w:pPr>
        <w:pStyle w:val="NormalWeb"/>
        <w:spacing w:before="280" w:beforeAutospacing="0" w:afterAutospacing="0" w:line="480" w:lineRule="auto"/>
      </w:pPr>
      <w:r>
        <w:rPr>
          <w:color w:val="000000"/>
        </w:rPr>
        <w:t xml:space="preserve">Process-based tree phenology models describe the individual or interactive effects of environmental conditions (e.g., temperature or photoperiod) on bud development (Chuine &amp; Régnière, 2017). We use the </w:t>
      </w:r>
      <w:r w:rsidRPr="0015494D">
        <w:rPr>
          <w:i/>
          <w:iCs/>
          <w:color w:val="000000"/>
        </w:rPr>
        <w:t>Uniforc</w:t>
      </w:r>
      <w:r>
        <w:rPr>
          <w:color w:val="000000"/>
        </w:rPr>
        <w:t xml:space="preserve"> model of Chuine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w:t>
      </w:r>
      <w:r>
        <w:rPr>
          <w:color w:val="000000"/>
        </w:rPr>
        <w:lastRenderedPageBreak/>
        <w:t xml:space="preserve">trees have accumulated enough cold to end bud dormancy. Budburst occurs when accumulation reaches a threshold </w:t>
      </w:r>
      <w:r>
        <w:rPr>
          <w:i/>
          <w:iCs/>
          <w:color w:val="000000"/>
        </w:rPr>
        <w:t>F*</w:t>
      </w:r>
      <w:r>
        <w:rPr>
          <w:color w:val="000000"/>
        </w:rPr>
        <w:t>.</w:t>
      </w:r>
    </w:p>
    <w:p w14:paraId="50D4140F" w14:textId="77777777" w:rsidR="001A179F" w:rsidRDefault="006B7108">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Régnière pers. comm. 2020). Each year, bud development was observed in different sites during the growing season at time intervals ranging from two days to two weeks. Budburst occurs when buds develop from class I to II according to the class scheme developed by </w:t>
      </w:r>
      <w:bookmarkStart w:id="118" w:name="__Fieldmark__834_3903614438"/>
      <w:r>
        <w:rPr>
          <w:color w:val="000000"/>
        </w:rPr>
        <w:t>D</w:t>
      </w:r>
      <w:bookmarkStart w:id="119" w:name="__Fieldmark__491_2495178454"/>
      <w:r>
        <w:rPr>
          <w:color w:val="000000"/>
        </w:rPr>
        <w:t>o</w:t>
      </w:r>
      <w:bookmarkStart w:id="120" w:name="__Fieldmark__543_942872385"/>
      <w:r>
        <w:rPr>
          <w:color w:val="000000"/>
        </w:rPr>
        <w:t>rais &amp; Kettela (1982)</w:t>
      </w:r>
      <w:bookmarkEnd w:id="118"/>
      <w:bookmarkEnd w:id="119"/>
      <w:bookmarkEnd w:id="120"/>
      <w:r>
        <w:rPr>
          <w:color w:val="000000"/>
        </w:rPr>
        <w:t>. The budburst date was defined as the date when 50% of the buds in the site have reached stage II.</w:t>
      </w:r>
    </w:p>
    <w:p w14:paraId="73126D52" w14:textId="77777777" w:rsidR="001A179F" w:rsidRDefault="006B7108">
      <w:pPr>
        <w:pStyle w:val="NormalWeb"/>
        <w:spacing w:before="280" w:beforeAutospacing="0" w:afterAutospacing="0" w:line="480" w:lineRule="auto"/>
        <w:ind w:firstLine="720"/>
      </w:pPr>
      <w:r>
        <w:rPr>
          <w:color w:val="000000"/>
        </w:rPr>
        <w:t>We perform sensitivity analysis on both models using partial rank correlation coefficients </w:t>
      </w:r>
      <w:bookmarkStart w:id="121" w:name="__Fieldmark__847_3903614438"/>
      <w:r>
        <w:rPr>
          <w:color w:val="000000"/>
        </w:rPr>
        <w:t>(</w:t>
      </w:r>
      <w:bookmarkStart w:id="122" w:name="__Fieldmark__500_2495178454"/>
      <w:r>
        <w:rPr>
          <w:color w:val="000000"/>
        </w:rPr>
        <w:t>W</w:t>
      </w:r>
      <w:bookmarkStart w:id="123" w:name="__Fieldmark__554_942872385"/>
      <w:r>
        <w:rPr>
          <w:color w:val="000000"/>
        </w:rPr>
        <w:t>u et al., 2013)</w:t>
      </w:r>
      <w:bookmarkEnd w:id="121"/>
      <w:bookmarkEnd w:id="122"/>
      <w:bookmarkEnd w:id="123"/>
      <w:r>
        <w:rPr>
          <w:color w:val="000000"/>
        </w:rPr>
        <w:t>.</w:t>
      </w:r>
    </w:p>
    <w:p w14:paraId="24F8D5E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2.3 Historical and future temperature regimes in eastern Canada</w:t>
      </w:r>
    </w:p>
    <w:p w14:paraId="7931F293" w14:textId="0EEF54E7"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3) to explore the effects of historical and future temperature regimes on the synchrony between SBW and balsam fir phenology. The temperature data for these locations were calculated using BioSIM </w:t>
      </w:r>
      <w:bookmarkStart w:id="124" w:name="__Fieldmark__861_3903614438"/>
      <w:r>
        <w:rPr>
          <w:color w:val="000000"/>
        </w:rPr>
        <w:t>(</w:t>
      </w:r>
      <w:bookmarkStart w:id="125" w:name="__Fieldmark__510_2495178454"/>
      <w:r>
        <w:rPr>
          <w:color w:val="000000"/>
        </w:rPr>
        <w:t>R</w:t>
      </w:r>
      <w:bookmarkStart w:id="126" w:name="__Fieldmark__566_942872385"/>
      <w:r>
        <w:rPr>
          <w:color w:val="000000"/>
        </w:rPr>
        <w:t>égnière, Saint-Amant, Béchard, et al., 2014)</w:t>
      </w:r>
      <w:bookmarkEnd w:id="124"/>
      <w:bookmarkEnd w:id="125"/>
      <w:bookmarkEnd w:id="126"/>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14:paraId="0C33E971" w14:textId="082406FC" w:rsidR="001A179F" w:rsidRDefault="006B710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 RCP4.5 and RCP8.5 </w:t>
      </w:r>
      <w:bookmarkStart w:id="127" w:name="__Fieldmark__874_3903614438"/>
      <w:r>
        <w:rPr>
          <w:color w:val="000000"/>
        </w:rPr>
        <w:t>(</w:t>
      </w:r>
      <w:bookmarkStart w:id="128" w:name="__Fieldmark__519_2495178454"/>
      <w:r>
        <w:rPr>
          <w:color w:val="000000"/>
        </w:rPr>
        <w:t>v</w:t>
      </w:r>
      <w:bookmarkStart w:id="129" w:name="__Fieldmark__576_942872385"/>
      <w:r>
        <w:rPr>
          <w:color w:val="000000"/>
        </w:rPr>
        <w:t>an Vuuren et al., 2011)</w:t>
      </w:r>
      <w:bookmarkEnd w:id="127"/>
      <w:bookmarkEnd w:id="128"/>
      <w:bookmarkEnd w:id="129"/>
      <w:r>
        <w:rPr>
          <w:color w:val="000000"/>
        </w:rPr>
        <w:t>. For each scenario, we generated 1200 stochastic temperature time series over the 2001-2100 period. </w:t>
      </w:r>
    </w:p>
    <w:p w14:paraId="3E8F473A" w14:textId="600F12BD" w:rsidR="001A179F" w:rsidRDefault="006B7108">
      <w:pPr>
        <w:pStyle w:val="NormalWeb"/>
        <w:spacing w:before="280" w:beforeAutospacing="0" w:afterAutospacing="0" w:line="480" w:lineRule="auto"/>
        <w:ind w:firstLine="720"/>
      </w:pPr>
      <w:r>
        <w:rPr>
          <w:color w:val="000000"/>
        </w:rPr>
        <w:lastRenderedPageBreak/>
        <w:t xml:space="preserve">Both models used temperature data with a four-hour time interval, which allows for the capture of warm events within a day.  </w:t>
      </w:r>
    </w:p>
    <w:p w14:paraId="19AC583C" w14:textId="77777777" w:rsidR="001A179F" w:rsidRDefault="006B7108">
      <w:pPr>
        <w:pStyle w:val="Titre1"/>
        <w:spacing w:before="240" w:beforeAutospacing="0" w:after="280" w:afterAutospacing="0" w:line="480" w:lineRule="auto"/>
      </w:pPr>
      <w:r>
        <w:rPr>
          <w:color w:val="000000"/>
          <w:sz w:val="32"/>
          <w:szCs w:val="32"/>
        </w:rPr>
        <w:t>3. Results</w:t>
      </w:r>
    </w:p>
    <w:p w14:paraId="03C1B950"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3.1 Theoretical results</w:t>
      </w:r>
    </w:p>
    <w:p w14:paraId="39EED86D" w14:textId="1B610FF6" w:rsidR="001A179F" w:rsidRDefault="006B7108">
      <w:pPr>
        <w:pStyle w:val="NormalWeb"/>
        <w:spacing w:before="280" w:beforeAutospacing="0" w:afterAutospacing="0" w:line="480" w:lineRule="auto"/>
      </w:pPr>
      <w:r>
        <w:rPr>
          <w:color w:val="000000"/>
        </w:rPr>
        <w:t xml:space="preserve">Model equation (Eq. 1) can in general not be solved explicitly for the end time, </w:t>
      </w:r>
      <w:r>
        <w:rPr>
          <w:i/>
          <w:iCs/>
          <w:color w:val="000000"/>
        </w:rPr>
        <w:t>t</w:t>
      </w:r>
      <w:r>
        <w:rPr>
          <w:i/>
          <w:iCs/>
          <w:color w:val="000000"/>
          <w:vertAlign w:val="superscript"/>
        </w:rPr>
        <w:t>*</w:t>
      </w:r>
      <w:r>
        <w:rPr>
          <w:i/>
          <w:iCs/>
          <w:color w:val="000000"/>
        </w:rPr>
        <w:t>,</w:t>
      </w:r>
      <w:r>
        <w:rPr>
          <w:color w:val="000000"/>
        </w:rPr>
        <w:t xml:space="preserve"> at least not for realistic temperature time series </w:t>
      </w:r>
      <w:r>
        <w:rPr>
          <w:i/>
          <w:iCs/>
          <w:color w:val="000000"/>
        </w:rPr>
        <w:t>x(t)</w:t>
      </w:r>
      <w:r>
        <w:rPr>
          <w:color w:val="000000"/>
        </w:rPr>
        <w:t xml:space="preserve">. Instead, we derive a general approximation formula for how </w:t>
      </w:r>
      <w:r>
        <w:rPr>
          <w:i/>
          <w:iCs/>
          <w:color w:val="000000"/>
        </w:rPr>
        <w:t>t</w:t>
      </w:r>
      <w:r>
        <w:rPr>
          <w:i/>
          <w:iCs/>
          <w:color w:val="000000"/>
          <w:vertAlign w:val="superscript"/>
        </w:rPr>
        <w:t>*</w:t>
      </w:r>
      <w:r>
        <w:rPr>
          <w:color w:val="000000"/>
        </w:rPr>
        <w:t xml:space="preserve"> changes when future temperature time series (</w:t>
      </w:r>
      <w:r>
        <w:rPr>
          <w:i/>
          <w:iCs/>
          <w:color w:val="000000"/>
        </w:rPr>
        <w:t>x</w:t>
      </w:r>
      <w:r>
        <w:rPr>
          <w:i/>
          <w:iCs/>
          <w:color w:val="000000"/>
          <w:vertAlign w:val="subscript"/>
        </w:rPr>
        <w:t>2</w:t>
      </w:r>
      <w:r>
        <w:rPr>
          <w:i/>
          <w:iCs/>
          <w:color w:val="000000"/>
        </w:rPr>
        <w:t>(t)</w:t>
      </w:r>
      <w:r w:rsidR="007A34C2">
        <w:rPr>
          <w:color w:val="000000"/>
        </w:rPr>
        <w:t>) deviate</w:t>
      </w:r>
      <w:r>
        <w:rPr>
          <w:color w:val="000000"/>
        </w:rPr>
        <w:t xml:space="preserve"> from historical expectation (</w:t>
      </w:r>
      <w:r>
        <w:rPr>
          <w:i/>
          <w:iCs/>
          <w:color w:val="000000"/>
        </w:rPr>
        <w:t>x</w:t>
      </w:r>
      <w:r>
        <w:rPr>
          <w:i/>
          <w:iCs/>
          <w:color w:val="000000"/>
          <w:vertAlign w:val="subscript"/>
        </w:rPr>
        <w:t>1</w:t>
      </w:r>
      <w:r>
        <w:rPr>
          <w:i/>
          <w:iCs/>
          <w:color w:val="000000"/>
        </w:rPr>
        <w:t>(t)</w:t>
      </w:r>
      <w:r>
        <w:rPr>
          <w:color w:val="000000"/>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p>
    <w:p w14:paraId="1AF1A770"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3.1.1 Phenology shift of a single species</w:t>
      </w:r>
    </w:p>
    <w:p w14:paraId="43B1455C" w14:textId="34391FEF" w:rsidR="001A179F" w:rsidRDefault="006B7108">
      <w:pPr>
        <w:pStyle w:val="NormalWeb"/>
        <w:spacing w:line="480" w:lineRule="auto"/>
        <w:rPr>
          <w:color w:val="000000"/>
        </w:rPr>
      </w:pPr>
      <w:r>
        <w:rPr>
          <w:color w:val="000000"/>
        </w:rPr>
        <w:t xml:space="preserve"> When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1A179F" w14:paraId="042A4EB3" w14:textId="77777777">
        <w:tc>
          <w:tcPr>
            <w:tcW w:w="985" w:type="dxa"/>
            <w:shd w:val="clear" w:color="auto" w:fill="auto"/>
            <w:vAlign w:val="center"/>
          </w:tcPr>
          <w:p w14:paraId="02BEB3D1"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690500C9" w14:textId="1A533615" w:rsidR="001A179F" w:rsidRDefault="00393A4A">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FFC1122" w14:textId="3803D1B8" w:rsidR="001A179F" w:rsidRDefault="006B7108">
            <w:pPr>
              <w:pStyle w:val="NormalWeb"/>
              <w:spacing w:before="280" w:after="0" w:line="480" w:lineRule="auto"/>
              <w:jc w:val="center"/>
            </w:pPr>
            <w:r>
              <w:t xml:space="preserve">Eq. </w:t>
            </w:r>
            <w:r w:rsidR="005203EE">
              <w:t>5</w:t>
            </w:r>
          </w:p>
        </w:tc>
      </w:tr>
    </w:tbl>
    <w:p w14:paraId="6619DA8E" w14:textId="32E9B9DA" w:rsidR="001A179F" w:rsidRDefault="006B7108">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1A179F" w14:paraId="1F735B93" w14:textId="77777777">
        <w:tc>
          <w:tcPr>
            <w:tcW w:w="985" w:type="dxa"/>
            <w:shd w:val="clear" w:color="auto" w:fill="auto"/>
            <w:vAlign w:val="center"/>
          </w:tcPr>
          <w:p w14:paraId="08E255E7"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6E062A00" w14:textId="607D5A48" w:rsidR="001A179F" w:rsidRDefault="00393A4A">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7D862CD8" w14:textId="02D228E7" w:rsidR="001A179F" w:rsidRDefault="006B7108">
            <w:pPr>
              <w:pStyle w:val="NormalWeb"/>
              <w:spacing w:before="280" w:after="0" w:line="480" w:lineRule="auto"/>
              <w:jc w:val="center"/>
            </w:pPr>
            <w:r>
              <w:t xml:space="preserve">Eq. </w:t>
            </w:r>
            <w:r w:rsidR="005203EE">
              <w:t>6</w:t>
            </w:r>
          </w:p>
        </w:tc>
      </w:tr>
    </w:tbl>
    <w:p w14:paraId="278CC8AE" w14:textId="420DA644" w:rsidR="001A179F" w:rsidRDefault="006B7108">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w:t>
      </w:r>
      <w:r w:rsidR="007A34C2">
        <w:rPr>
          <w:color w:val="000000"/>
        </w:rPr>
        <w:t>is at</w:t>
      </w:r>
      <w:r>
        <w:rPr>
          <w:color w:val="000000"/>
        </w:rPr>
        <w:t xml:space="preserve"> its maximal slope. For the rate function in Eq. 2, this occurs at temperature </w:t>
      </w:r>
      <w:r>
        <w:rPr>
          <w:i/>
          <w:iCs/>
          <w:color w:val="000000"/>
        </w:rPr>
        <w:t>x=c</w:t>
      </w:r>
      <w:r>
        <w:rPr>
          <w:color w:val="000000"/>
        </w:rPr>
        <w:t>.</w:t>
      </w:r>
    </w:p>
    <w:p w14:paraId="5EFB907A" w14:textId="118A4D09"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 xml:space="preserve">3.1.2 Effects on the mismatch </w:t>
      </w:r>
    </w:p>
    <w:p w14:paraId="73E28D48" w14:textId="5B9C0BC1" w:rsidR="001A179F" w:rsidRDefault="006B7108">
      <w:pPr>
        <w:pStyle w:val="NormalWeb"/>
        <w:spacing w:line="480" w:lineRule="auto"/>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5 and 6 indicate that information about the current phenology (</w:t>
      </w:r>
      <w:r>
        <w:rPr>
          <w:i/>
          <w:iCs/>
          <w:color w:val="000000"/>
        </w:rPr>
        <w:t>R(x(t</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14:paraId="5552F1C0" w14:textId="3ED0DC50" w:rsidR="001A179F" w:rsidRDefault="006B7108">
      <w:pPr>
        <w:pStyle w:val="NormalWeb"/>
        <w:spacing w:line="480" w:lineRule="auto"/>
        <w:ind w:firstLine="720"/>
      </w:pPr>
      <w:r>
        <w:rPr>
          <w:color w:val="000000"/>
        </w:rPr>
        <w:t xml:space="preserve">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w:t>
      </w:r>
      <w:r>
        <w:rPr>
          <w:color w:val="000000"/>
        </w:rPr>
        <w:lastRenderedPageBreak/>
        <w:t>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14:paraId="6A11307C" w14:textId="77777777" w:rsidR="001A179F" w:rsidRDefault="006B7108">
      <w:pPr>
        <w:pStyle w:val="NormalWeb"/>
        <w:spacing w:line="480" w:lineRule="auto"/>
        <w:ind w:firstLine="720"/>
        <w:rPr>
          <w:color w:val="000000"/>
        </w:rPr>
      </w:pPr>
      <w:r>
        <w:rPr>
          <w:color w:val="000000"/>
        </w:rPr>
        <w:t xml:space="preserve">In reality, the periods of high sensitivity of the two species may overlap and the rate functions at emergence time (the terms in the denominators in Eqs 5 and 6) could differ 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Pr>
          <w:color w:val="000000"/>
        </w:rPr>
        <w:t xml:space="preserve"> for SBW</w:t>
      </w:r>
      <w:r>
        <w:rPr>
          <w:color w:val="FF0000"/>
        </w:rPr>
        <w:t xml:space="preserve"> </w:t>
      </w:r>
      <w:r>
        <w:rPr>
          <w:color w:val="000000"/>
        </w:rPr>
        <w:t>(Eq. 3) together with 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1A179F" w14:paraId="0056362B" w14:textId="77777777">
        <w:tc>
          <w:tcPr>
            <w:tcW w:w="985" w:type="dxa"/>
            <w:shd w:val="clear" w:color="auto" w:fill="auto"/>
            <w:vAlign w:val="center"/>
          </w:tcPr>
          <w:p w14:paraId="307DE7CE"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69328CBF" w14:textId="77777777" w:rsidR="001A179F" w:rsidRDefault="00393A4A">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534E5D18" w14:textId="2C9E38E8" w:rsidR="001A179F" w:rsidRDefault="006B7108">
            <w:pPr>
              <w:pStyle w:val="NormalWeb"/>
              <w:spacing w:before="280" w:after="0" w:line="480" w:lineRule="auto"/>
              <w:jc w:val="center"/>
            </w:pPr>
            <w:r>
              <w:t xml:space="preserve">Eq. </w:t>
            </w:r>
            <w:r w:rsidR="005203EE">
              <w:t>7</w:t>
            </w:r>
          </w:p>
        </w:tc>
      </w:tr>
    </w:tbl>
    <w:p w14:paraId="0668B7F0" w14:textId="3593C779" w:rsidR="001A179F" w:rsidRDefault="006B7108">
      <w:pPr>
        <w:pStyle w:val="NormalWeb"/>
        <w:spacing w:before="240" w:beforeAutospacing="0" w:after="280" w:afterAutospacing="0" w:line="480" w:lineRule="auto"/>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r>
        <w:rPr>
          <w:i/>
          <w:iCs/>
          <w:color w:val="000000"/>
        </w:rPr>
        <w:t>t</w:t>
      </w:r>
      <w:r>
        <w:rPr>
          <w:i/>
          <w:iCs/>
          <w:color w:val="000000"/>
          <w:vertAlign w:val="subscript"/>
        </w:rPr>
        <w:t>e,i</w:t>
      </w:r>
      <w:r>
        <w:rPr>
          <w:i/>
          <w:iCs/>
          <w:color w:val="000000"/>
          <w:vertAlign w:val="superscript"/>
        </w:rPr>
        <w:t>*</w:t>
      </w:r>
      <w:r>
        <w:rPr>
          <w:color w:val="000000"/>
        </w:rPr>
        <w:t xml:space="preserve"> (emergence time) and of the resource by </w:t>
      </w:r>
      <w:r>
        <w:rPr>
          <w:i/>
          <w:iCs/>
          <w:color w:val="000000"/>
        </w:rPr>
        <w:t>t</w:t>
      </w:r>
      <w:r>
        <w:rPr>
          <w:i/>
          <w:iCs/>
          <w:color w:val="000000"/>
          <w:vertAlign w:val="subscript"/>
        </w:rPr>
        <w:t>b,i</w:t>
      </w:r>
      <w:r>
        <w:rPr>
          <w:i/>
          <w:iCs/>
          <w:color w:val="000000"/>
          <w:vertAlign w:val="superscript"/>
        </w:rPr>
        <w:t>*</w:t>
      </w:r>
      <w:r>
        <w:rPr>
          <w:color w:val="000000"/>
        </w:rPr>
        <w:t xml:space="preserve"> (budburst time).</w:t>
      </w:r>
    </w:p>
    <w:p w14:paraId="7A651B06" w14:textId="2E2654E9" w:rsidR="001A179F" w:rsidRDefault="006B7108">
      <w:pPr>
        <w:pStyle w:val="NormalWeb"/>
        <w:spacing w:line="480" w:lineRule="auto"/>
        <w:ind w:firstLine="720"/>
      </w:pPr>
      <w:r>
        <w:rPr>
          <w:color w:val="000000"/>
        </w:rPr>
        <w:t xml:space="preserve">When future temperatures differ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w:t>
      </w:r>
      <w:r>
        <w:rPr>
          <w:color w:val="000000"/>
        </w:rPr>
        <w:lastRenderedPageBreak/>
        <w:t>(0.13 days per degree increase). With this simplified temperature time series, the tree emerges before the insect, whereas in reality the budworm usually emerges earlier. More realistic time series give us the empirically observed pattern (see Section 3.2).</w:t>
      </w:r>
    </w:p>
    <w:p w14:paraId="13CA9D2B" w14:textId="77777777" w:rsidR="001A179F" w:rsidRDefault="006B7108">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6)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1A179F" w14:paraId="539CA06E" w14:textId="77777777">
        <w:tc>
          <w:tcPr>
            <w:tcW w:w="985" w:type="dxa"/>
            <w:shd w:val="clear" w:color="auto" w:fill="auto"/>
            <w:vAlign w:val="center"/>
          </w:tcPr>
          <w:p w14:paraId="5EFC422D"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0E83A419" w14:textId="63F6DF57" w:rsidR="001A179F" w:rsidRDefault="00393A4A">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6B3B0E33" w14:textId="1E6F634A" w:rsidR="001A179F" w:rsidRDefault="006B7108">
            <w:pPr>
              <w:pStyle w:val="NormalWeb"/>
              <w:spacing w:before="280" w:after="0" w:line="480" w:lineRule="auto"/>
              <w:jc w:val="center"/>
            </w:pPr>
            <w:r>
              <w:t xml:space="preserve">Eq. </w:t>
            </w:r>
            <w:r w:rsidR="005203EE">
              <w:t>8</w:t>
            </w:r>
          </w:p>
        </w:tc>
      </w:tr>
    </w:tbl>
    <w:p w14:paraId="3AC37700" w14:textId="77777777" w:rsidR="001A179F" w:rsidRDefault="006B7108">
      <w:pPr>
        <w:pStyle w:val="NormalWeb"/>
        <w:spacing w:before="240" w:beforeAutospacing="0" w:after="280" w:afterAutospacing="0" w:line="480" w:lineRule="auto"/>
        <w:ind w:firstLine="720"/>
      </w:pPr>
      <w:r>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Pr>
          <w:i/>
          <w:iCs/>
          <w:color w:val="000000"/>
        </w:rPr>
        <w:t>x=c</w:t>
      </w:r>
      <w:r>
        <w:rPr>
          <w:i/>
          <w:iCs/>
          <w:color w:val="000000"/>
          <w:vertAlign w:val="subscript"/>
        </w:rPr>
        <w:t xml:space="preserve">1, </w:t>
      </w:r>
      <w:r>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Pr>
          <w:i/>
          <w:iCs/>
          <w:color w:val="000000"/>
        </w:rPr>
        <w:t>x=c1</w:t>
      </w:r>
      <w:r>
        <w:rPr>
          <w:color w:val="000000"/>
        </w:rPr>
        <w:t xml:space="preserve">. In addition, the rate function at emergence (the denominators in Eq. 8) differs vastly between the two species. For our particular time series, the values are </w:t>
      </w:r>
      <w:r>
        <w:rPr>
          <w:i/>
          <w:iCs/>
          <w:color w:val="000000"/>
        </w:rPr>
        <w:t>R</w:t>
      </w:r>
      <w:r>
        <w:rPr>
          <w:i/>
          <w:iCs/>
          <w:color w:val="000000"/>
          <w:vertAlign w:val="subscript"/>
        </w:rPr>
        <w:t>b</w:t>
      </w:r>
      <w:r>
        <w:rPr>
          <w:i/>
          <w:iCs/>
          <w:color w:val="000000"/>
        </w:rPr>
        <w:t>(x(t</w:t>
      </w:r>
      <w:r>
        <w:rPr>
          <w:i/>
          <w:iCs/>
          <w:color w:val="000000"/>
          <w:vertAlign w:val="subscript"/>
        </w:rPr>
        <w:t>1,b</w:t>
      </w:r>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r>
        <w:rPr>
          <w:i/>
          <w:iCs/>
          <w:color w:val="000000"/>
        </w:rPr>
        <w:t>R’</w:t>
      </w:r>
      <w:r>
        <w:rPr>
          <w:i/>
          <w:iCs/>
          <w:color w:val="000000"/>
          <w:vertAlign w:val="subscript"/>
        </w:rPr>
        <w:t>e</w:t>
      </w:r>
      <w:r>
        <w:rPr>
          <w:i/>
          <w:iCs/>
          <w:color w:val="000000"/>
        </w:rPr>
        <w:t>&gt;R’</w:t>
      </w:r>
      <w:r>
        <w:rPr>
          <w:i/>
          <w:iCs/>
          <w:color w:val="000000"/>
          <w:vertAlign w:val="subscript"/>
        </w:rPr>
        <w:t>b</w:t>
      </w:r>
      <w:r>
        <w:rPr>
          <w:color w:val="000000"/>
        </w:rPr>
        <w:t xml:space="preserve">), the difference in parentheses in Eq. 8 can still be negative because the denominator in the first term is much larger than in the second. Indeed, this is what happens with the simplified time series: the phenology of both species advances, and that of the consumer advances more, so </w:t>
      </w:r>
      <w:r>
        <w:rPr>
          <w:color w:val="000000"/>
        </w:rPr>
        <w:lastRenderedPageBreak/>
        <w:t>that the mismatch decreases, no matter when a warm spell happens. The situation with realistic time series that vary across latitude is more nuanced (see below).</w:t>
      </w:r>
    </w:p>
    <w:p w14:paraId="77B90912" w14:textId="77777777" w:rsidR="001A179F" w:rsidRDefault="006B7108">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p>
    <w:p w14:paraId="109E0216"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3.2 Case study: spruce budworm - balsam fir system</w:t>
      </w:r>
    </w:p>
    <w:p w14:paraId="18C2B3ED" w14:textId="77777777" w:rsidR="001A179F" w:rsidRDefault="006B7108">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3.2.1 Fitting and sensitivity</w:t>
      </w:r>
    </w:p>
    <w:p w14:paraId="61D3282F" w14:textId="756050D2" w:rsidR="001A179F" w:rsidRDefault="006B7108">
      <w:pPr>
        <w:pStyle w:val="NormalWeb"/>
        <w:spacing w:before="280" w:beforeAutospacing="0" w:afterAutospacing="0" w:line="480" w:lineRule="auto"/>
      </w:pPr>
      <w:r>
        <w:rPr>
          <w:color w:val="000000"/>
        </w:rPr>
        <w:t xml:space="preserve">Fitting the </w:t>
      </w:r>
      <w:r w:rsidRPr="001130E6">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RMSE = 12.6).</w:t>
      </w:r>
      <w:r w:rsidR="00770A04">
        <w:t xml:space="preserve"> </w:t>
      </w:r>
      <w:r>
        <w:rPr>
          <w:color w:val="000000"/>
        </w:rPr>
        <w:t>The residuals of this fitting follow a Normal distribution centred on 0 (Fig. 4A). There is no obvious pattern for the residuals across latitude in the range of our study (Fig. 4B). </w:t>
      </w:r>
    </w:p>
    <w:p w14:paraId="7CB96BF0" w14:textId="0FA369E1" w:rsidR="001A179F" w:rsidRDefault="006B7108">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for two years (2013, 2014) in two sites in Quebec </w:t>
      </w:r>
      <w:bookmarkStart w:id="130" w:name="__Fieldmark__1090_3903614438"/>
      <w:r>
        <w:rPr>
          <w:color w:val="000000"/>
        </w:rPr>
        <w:t>(</w:t>
      </w:r>
      <w:bookmarkStart w:id="131" w:name="__Fieldmark__731_2495178454"/>
      <w:r>
        <w:rPr>
          <w:color w:val="000000"/>
        </w:rPr>
        <w:t>P</w:t>
      </w:r>
      <w:bookmarkStart w:id="132" w:name="__Fieldmark__818_942872385"/>
      <w:r>
        <w:rPr>
          <w:color w:val="000000"/>
        </w:rPr>
        <w:t xml:space="preserve">ureswaran, </w:t>
      </w:r>
      <w:r>
        <w:t>Neau,</w:t>
      </w:r>
      <w:r>
        <w:rPr>
          <w:color w:val="000000"/>
        </w:rPr>
        <w:t xml:space="preserve"> et al., 2019)</w:t>
      </w:r>
      <w:bookmarkEnd w:id="130"/>
      <w:bookmarkEnd w:id="131"/>
      <w:bookmarkEnd w:id="132"/>
      <w:r>
        <w:rPr>
          <w:color w:val="000000"/>
        </w:rPr>
        <w:t>.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the accuracy of both models is satisfactory.  </w:t>
      </w:r>
    </w:p>
    <w:p w14:paraId="706ECBD3" w14:textId="25319E10" w:rsidR="001A179F" w:rsidRDefault="006B7108">
      <w:pPr>
        <w:pStyle w:val="NormalWeb"/>
        <w:spacing w:before="280" w:beforeAutospacing="0" w:afterAutospacing="0" w:line="480" w:lineRule="auto"/>
      </w:pPr>
      <w:r>
        <w:rPr>
          <w:color w:val="000000"/>
        </w:rPr>
        <w:t xml:space="preserve">The budworm model is sensitive to most parameters (Fig. 4C). The only exception is </w:t>
      </w:r>
      <w:r>
        <w:rPr>
          <w:i/>
          <w:iCs/>
          <w:color w:val="000000"/>
        </w:rPr>
        <w:t>x</w:t>
      </w:r>
      <w:r>
        <w:rPr>
          <w:i/>
          <w:iCs/>
          <w:color w:val="000000"/>
          <w:vertAlign w:val="subscript"/>
        </w:rPr>
        <w:t>m</w:t>
      </w:r>
      <w:r>
        <w:rPr>
          <w:color w:val="000000"/>
        </w:rPr>
        <w:t xml:space="preserve"> (the maximal temperature) since very high temperatures are rare during late winter and spring, and to </w:t>
      </w:r>
      <w:r>
        <w:rPr>
          <w:color w:val="000000"/>
        </w:rPr>
        <w:lastRenderedPageBreak/>
        <w:t xml:space="preserve">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r>
        <w:rPr>
          <w:i/>
          <w:iCs/>
          <w:color w:val="000000"/>
        </w:rPr>
        <w:t>x</w:t>
      </w:r>
      <w:r>
        <w:rPr>
          <w:i/>
          <w:iCs/>
          <w:color w:val="000000"/>
          <w:vertAlign w:val="subscript"/>
        </w:rPr>
        <w:t>b</w:t>
      </w:r>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4D).</w:t>
      </w:r>
    </w:p>
    <w:p w14:paraId="658E3E62"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3.2.2 Spruce budworm – balsam fir system across latitude</w:t>
      </w:r>
    </w:p>
    <w:p w14:paraId="1CFC22A0" w14:textId="1D9631DB" w:rsidR="001A179F" w:rsidRDefault="006B7108">
      <w:pPr>
        <w:pStyle w:val="NormalWeb"/>
        <w:spacing w:before="280" w:beforeAutospacing="0" w:afterAutospacing="0" w:line="480" w:lineRule="auto"/>
      </w:pPr>
      <w:r>
        <w:rPr>
          <w:color w:val="000000"/>
        </w:rPr>
        <w:t xml:space="preserve">Both emergence (Fig. 5A) and budburst (Fig. 5B) occur later at higher latitudes, although some discrepancies may occur due to altitude. However, insects and trees are not affected by temperatures in the same way. Hence, the mismatch between both species varies across latitude (Fig. 5C).  At lower latitudes, emergence is expected to occur 5 to 10 days before budburst. Hence, the whole larval population may have time to emerge before budburst occurs, which allows larvae to benefit from an important source of nutrients.  At higher latitudes, emergence may sometimes occur before budburst and sometimes after. In brief, insects </w:t>
      </w:r>
      <w:r w:rsidR="00A730BE">
        <w:rPr>
          <w:color w:val="000000"/>
        </w:rPr>
        <w:t xml:space="preserve">seem </w:t>
      </w:r>
      <w:r>
        <w:rPr>
          <w:color w:val="000000"/>
        </w:rPr>
        <w:t>more adapted to their host phenology at lower than at higher latitudes.</w:t>
      </w:r>
    </w:p>
    <w:p w14:paraId="0FC9129E"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3.2.3 Predicted trends according to warming scenarios</w:t>
      </w:r>
    </w:p>
    <w:p w14:paraId="2FDBFD9C" w14:textId="067008ED" w:rsidR="001A179F" w:rsidRDefault="006B7108">
      <w:pPr>
        <w:pStyle w:val="NormalWeb"/>
        <w:spacing w:before="280" w:beforeAutospacing="0" w:afterAutospacing="0" w:line="480" w:lineRule="auto"/>
      </w:pPr>
      <w:r>
        <w:rPr>
          <w:color w:val="000000"/>
        </w:rPr>
        <w:t>Across all scenarios, emergence and budburst are expected to occur earlier when temperatures increase. 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5A). By contrast, emergence of SBW is expected to shift differently across latitude (about 15 days difference compared to 10 nowadays, see Fig. 5B). </w:t>
      </w:r>
    </w:p>
    <w:p w14:paraId="259D04B8" w14:textId="0D10AE37" w:rsidR="001A179F" w:rsidRDefault="006B7108">
      <w:pPr>
        <w:pStyle w:val="NormalWeb"/>
        <w:spacing w:before="280" w:beforeAutospacing="0" w:afterAutospacing="0" w:line="480" w:lineRule="auto"/>
      </w:pPr>
      <w:r>
        <w:rPr>
          <w:color w:val="000000"/>
        </w:rPr>
        <w:lastRenderedPageBreak/>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Titre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3FC69EBC" w14:textId="77777777"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133" w:name="__Fieldmark__1168_3903614438"/>
      <w:r>
        <w:rPr>
          <w:color w:val="000000"/>
        </w:rPr>
        <w:t>(</w:t>
      </w:r>
      <w:bookmarkStart w:id="134" w:name="__Fieldmark__805_2495178454"/>
      <w:r>
        <w:rPr>
          <w:color w:val="000000"/>
        </w:rPr>
        <w:t>V</w:t>
      </w:r>
      <w:bookmarkStart w:id="135" w:name="__Fieldmark__912_942872385"/>
      <w:r>
        <w:rPr>
          <w:color w:val="000000"/>
        </w:rPr>
        <w:t>isser &amp; Both, 2005</w:t>
      </w:r>
      <w:bookmarkEnd w:id="133"/>
      <w:bookmarkEnd w:id="134"/>
      <w:bookmarkEnd w:id="135"/>
      <w:r>
        <w:rPr>
          <w:color w:val="000000"/>
        </w:rPr>
        <w:t xml:space="preserve">; </w:t>
      </w:r>
      <w:bookmarkStart w:id="136" w:name="__Fieldmark__1179_3903614438"/>
      <w:r>
        <w:rPr>
          <w:color w:val="000000"/>
        </w:rPr>
        <w:t>D</w:t>
      </w:r>
      <w:bookmarkStart w:id="137" w:name="__Fieldmark__812_2495178454"/>
      <w:r>
        <w:rPr>
          <w:color w:val="000000"/>
        </w:rPr>
        <w:t>o</w:t>
      </w:r>
      <w:bookmarkStart w:id="138" w:name="__Fieldmark__917_942872385"/>
      <w:r>
        <w:rPr>
          <w:color w:val="000000"/>
        </w:rPr>
        <w:t>nnelly et al., 2011</w:t>
      </w:r>
      <w:bookmarkEnd w:id="136"/>
      <w:bookmarkEnd w:id="137"/>
      <w:bookmarkEnd w:id="138"/>
      <w:r>
        <w:rPr>
          <w:color w:val="000000"/>
        </w:rPr>
        <w:t xml:space="preserve">; </w:t>
      </w:r>
      <w:bookmarkStart w:id="139" w:name="__Fieldmark__1190_3903614438"/>
      <w:r>
        <w:rPr>
          <w:color w:val="000000"/>
        </w:rPr>
        <w:t>K</w:t>
      </w:r>
      <w:bookmarkStart w:id="140" w:name="__Fieldmark__819_2495178454"/>
      <w:r>
        <w:rPr>
          <w:color w:val="000000"/>
        </w:rPr>
        <w:t>h</w:t>
      </w:r>
      <w:bookmarkStart w:id="141" w:name="__Fieldmark__926_942872385"/>
      <w:r>
        <w:rPr>
          <w:color w:val="000000"/>
        </w:rPr>
        <w:t>arouba et al., 2018)</w:t>
      </w:r>
      <w:bookmarkEnd w:id="139"/>
      <w:bookmarkEnd w:id="140"/>
      <w:bookmarkEnd w:id="141"/>
      <w:r>
        <w:rPr>
          <w:color w:val="000000"/>
        </w:rPr>
        <w:t xml:space="preserve">. By linking development with temperature, our modelling approach predicts the </w:t>
      </w:r>
      <w:r>
        <w:rPr>
          <w:color w:val="000000"/>
        </w:rPr>
        <w:lastRenderedPageBreak/>
        <w:t>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1C4708F" w14:textId="77777777" w:rsidR="001A179F" w:rsidRDefault="006B7108">
      <w:pPr>
        <w:pStyle w:val="NormalWeb"/>
        <w:spacing w:before="280" w:beforeAutospacing="0" w:afterAutospacing="0" w:line="480" w:lineRule="auto"/>
        <w:ind w:firstLine="720"/>
      </w:pPr>
      <w:r>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14:paraId="281EE4C2" w14:textId="0C615800"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142" w:name="__Fieldmark__1208_3903614438"/>
      <w:r>
        <w:rPr>
          <w:color w:val="000000"/>
        </w:rPr>
        <w:t>(</w:t>
      </w:r>
      <w:bookmarkStart w:id="143" w:name="__Fieldmark__833_2495178454"/>
      <w:r>
        <w:rPr>
          <w:color w:val="000000"/>
        </w:rPr>
        <w:t>S</w:t>
      </w:r>
      <w:bookmarkStart w:id="144" w:name="__Fieldmark__944_942872385"/>
      <w:r>
        <w:rPr>
          <w:color w:val="000000"/>
        </w:rPr>
        <w:t>immonds et al., 2020)</w:t>
      </w:r>
      <w:bookmarkEnd w:id="142"/>
      <w:bookmarkEnd w:id="143"/>
      <w:bookmarkEnd w:id="144"/>
      <w:r>
        <w:rPr>
          <w:color w:val="000000"/>
        </w:rPr>
        <w:t xml:space="preserve">. If a subsidiary resource is available, the consumer may switch resources </w:t>
      </w:r>
      <w:bookmarkStart w:id="145" w:name="__Fieldmark__1219_3903614438"/>
      <w:r>
        <w:rPr>
          <w:color w:val="000000"/>
        </w:rPr>
        <w:t>(</w:t>
      </w:r>
      <w:bookmarkStart w:id="146" w:name="__Fieldmark__840_2495178454"/>
      <w:r>
        <w:rPr>
          <w:color w:val="000000"/>
        </w:rPr>
        <w:t>S</w:t>
      </w:r>
      <w:bookmarkStart w:id="147" w:name="__Fieldmark__954_942872385"/>
      <w:r>
        <w:rPr>
          <w:color w:val="000000"/>
        </w:rPr>
        <w:t>tålhandske et al., 2016)</w:t>
      </w:r>
      <w:bookmarkEnd w:id="145"/>
      <w:bookmarkEnd w:id="146"/>
      <w:bookmarkEnd w:id="147"/>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w:t>
      </w:r>
      <w:r>
        <w:rPr>
          <w:color w:val="000000"/>
        </w:rPr>
        <w:lastRenderedPageBreak/>
        <w:t xml:space="preserve">demography in many ways </w:t>
      </w:r>
      <w:bookmarkStart w:id="148" w:name="__Fieldmark__1230_3903614438"/>
      <w:r>
        <w:rPr>
          <w:color w:val="000000"/>
        </w:rPr>
        <w:t>(</w:t>
      </w:r>
      <w:bookmarkStart w:id="149" w:name="__Fieldmark__847_2495178454"/>
      <w:r>
        <w:rPr>
          <w:color w:val="000000"/>
        </w:rPr>
        <w:t>M</w:t>
      </w:r>
      <w:bookmarkStart w:id="150" w:name="__Fieldmark__961_942872385"/>
      <w:r>
        <w:rPr>
          <w:color w:val="000000"/>
        </w:rPr>
        <w:t>iller-Rushing et al., 2010)</w:t>
      </w:r>
      <w:bookmarkEnd w:id="148"/>
      <w:bookmarkEnd w:id="149"/>
      <w:bookmarkEnd w:id="150"/>
      <w:r>
        <w:rPr>
          <w:color w:val="000000"/>
        </w:rPr>
        <w:t xml:space="preserve">, </w:t>
      </w:r>
      <w:r w:rsidR="007B5CA4">
        <w:rPr>
          <w:color w:val="000000"/>
        </w:rPr>
        <w:t>as well as</w:t>
      </w:r>
      <w:r>
        <w:rPr>
          <w:color w:val="000000"/>
        </w:rPr>
        <w:t xml:space="preserve"> their geographic distribution. Our work, which is based on heat accumulation, improves our ability to predict the direction and the magnitude of the change in phenological synchrony, a research challenge identified by earlier studies (Kharouba et al. 2018).</w:t>
      </w:r>
    </w:p>
    <w:p w14:paraId="443AB2E7"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AEE2C40" w14:textId="79DEFEE9"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3.1.2).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5 and section 3.2.3). </w:t>
      </w:r>
    </w:p>
    <w:p w14:paraId="3E244F0B" w14:textId="4DEF747D" w:rsidR="001A179F" w:rsidRDefault="006B7108">
      <w:pPr>
        <w:pStyle w:val="NormalWeb"/>
        <w:spacing w:before="280" w:beforeAutospacing="0" w:afterAutospacing="0" w:line="480" w:lineRule="auto"/>
        <w:ind w:firstLine="720"/>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t>
      </w:r>
      <w:r>
        <w:rPr>
          <w:color w:val="000000"/>
        </w:rPr>
        <w:lastRenderedPageBreak/>
        <w:t xml:space="preserve">would emerge too early some years. A shift in phenology that leads to emergence occurring too early (or too late)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w:t>
      </w:r>
      <w:r w:rsidR="007B5CA4">
        <w:rPr>
          <w:color w:val="000000"/>
        </w:rPr>
        <w:t>to host trees</w:t>
      </w:r>
      <w:r>
        <w:rPr>
          <w:color w:val="000000"/>
        </w:rPr>
        <w:t xml:space="preserve">. Since insect pests (especially SBW) are one of the main drivers of forest composition in the black spruce, white spruce and balsam fir zones </w:t>
      </w:r>
      <w:bookmarkStart w:id="151" w:name="__Fieldmark__1253_3903614438"/>
      <w:r>
        <w:rPr>
          <w:color w:val="000000"/>
        </w:rPr>
        <w:t>(</w:t>
      </w:r>
      <w:bookmarkStart w:id="152" w:name="__Fieldmark__866_2495178454"/>
      <w:r>
        <w:rPr>
          <w:color w:val="000000"/>
        </w:rPr>
        <w:t>H</w:t>
      </w:r>
      <w:bookmarkStart w:id="153" w:name="__Fieldmark__999_942872385"/>
      <w:r>
        <w:rPr>
          <w:color w:val="000000"/>
        </w:rPr>
        <w:t>arper et al., 2003)</w:t>
      </w:r>
      <w:bookmarkEnd w:id="151"/>
      <w:bookmarkEnd w:id="152"/>
      <w:bookmarkEnd w:id="153"/>
      <w:r>
        <w:rPr>
          <w:color w:val="000000"/>
        </w:rPr>
        <w:t>, a change in phenological synchrony between these species may affect their future geographic distribution</w:t>
      </w:r>
      <w:r w:rsidR="00487067">
        <w:rPr>
          <w:color w:val="000000"/>
        </w:rPr>
        <w:t>s</w:t>
      </w:r>
      <w:r>
        <w:rPr>
          <w:color w:val="000000"/>
        </w:rPr>
        <w:t>. </w:t>
      </w:r>
    </w:p>
    <w:p w14:paraId="11F930E4" w14:textId="1AC90DD6" w:rsidR="001A179F" w:rsidRDefault="006B7108">
      <w:pPr>
        <w:pStyle w:val="NormalWeb"/>
        <w:spacing w:before="280" w:beforeAutospacing="0" w:afterAutospacing="0" w:line="480" w:lineRule="auto"/>
        <w:ind w:firstLine="720"/>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154" w:name="__Fieldmark__1274_3903614438"/>
      <w:r>
        <w:rPr>
          <w:color w:val="000000"/>
        </w:rPr>
        <w:t>(</w:t>
      </w:r>
      <w:bookmarkStart w:id="155" w:name="__Fieldmark__883_2495178454"/>
      <w:r>
        <w:rPr>
          <w:color w:val="000000"/>
        </w:rPr>
        <w:t>P</w:t>
      </w:r>
      <w:bookmarkStart w:id="156" w:name="__Fieldmark__1014_942872385"/>
      <w:r>
        <w:rPr>
          <w:color w:val="000000"/>
        </w:rPr>
        <w:t xml:space="preserve">ureswaran, </w:t>
      </w:r>
      <w:r>
        <w:t>De Grandpré,</w:t>
      </w:r>
      <w:r>
        <w:rPr>
          <w:color w:val="000000"/>
        </w:rPr>
        <w:t xml:space="preserve"> et al., 2015)</w:t>
      </w:r>
      <w:bookmarkEnd w:id="154"/>
      <w:bookmarkEnd w:id="155"/>
      <w:bookmarkEnd w:id="156"/>
      <w:r>
        <w:rPr>
          <w:color w:val="000000"/>
        </w:rPr>
        <w:t xml:space="preserve">. Moreover, in northern sites, black spruce seems to be somehow protected because the budworm cannot establish for a long period due to a high frequency of cold years (Pureswaran, </w:t>
      </w:r>
      <w:r>
        <w:t>De Grandpré,</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black spruce.  </w:t>
      </w:r>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157" w:name="__Fieldmark__1296_3903614438"/>
      <w:r>
        <w:rPr>
          <w:color w:val="000000"/>
        </w:rPr>
        <w:t>(Deslauriers et al., 2019)</w:t>
      </w:r>
      <w:bookmarkStart w:id="158" w:name="__Fieldmark__1034_942872385"/>
      <w:bookmarkStart w:id="159" w:name="__Fieldmark__901_2495178454"/>
      <w:bookmarkEnd w:id="157"/>
      <w:bookmarkEnd w:id="158"/>
      <w:bookmarkEnd w:id="159"/>
      <w:r>
        <w:rPr>
          <w:color w:val="000000"/>
        </w:rPr>
        <w:t xml:space="preserve">. According to our model, an increase in temperature should increase the mismatch by advancing the budworm phenology more than that of the tree. If defoliation leads to an advance in phenology for the tree, then the resulting </w:t>
      </w:r>
      <w:r>
        <w:rPr>
          <w:color w:val="000000"/>
        </w:rPr>
        <w:lastRenderedPageBreak/>
        <w:t>mismatch would stay close to the historical mismatch, which would reduce the benefit of this physiological response for the tree.</w:t>
      </w:r>
    </w:p>
    <w:p w14:paraId="5588B3B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78644481" w14:textId="7C6014D4" w:rsidR="001A179F" w:rsidRDefault="006B7108">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optimal time window to have access to resources or convenient environmental conditions (e.g., photoperiod, rainfall) </w:t>
      </w:r>
      <w:bookmarkStart w:id="160" w:name="__Fieldmark__1310_3903614438"/>
      <w:r>
        <w:rPr>
          <w:color w:val="000000"/>
        </w:rPr>
        <w:t>(</w:t>
      </w:r>
      <w:bookmarkStart w:id="161" w:name="__Fieldmark__912_2495178454"/>
      <w:r>
        <w:rPr>
          <w:color w:val="000000"/>
        </w:rPr>
        <w:t>M</w:t>
      </w:r>
      <w:bookmarkStart w:id="162" w:name="__Fieldmark__1043_942872385"/>
      <w:r>
        <w:rPr>
          <w:color w:val="000000"/>
        </w:rPr>
        <w:t>cNamara et al., 2011)</w:t>
      </w:r>
      <w:bookmarkEnd w:id="160"/>
      <w:bookmarkEnd w:id="161"/>
      <w:bookmarkEnd w:id="162"/>
      <w:r>
        <w:rPr>
          <w:color w:val="000000"/>
        </w:rPr>
        <w:t>. </w:t>
      </w:r>
    </w:p>
    <w:p w14:paraId="39A509D1" w14:textId="77777777" w:rsidR="001A179F" w:rsidRDefault="006B7108">
      <w:pPr>
        <w:pStyle w:val="NormalWeb"/>
        <w:spacing w:before="280" w:beforeAutospacing="0" w:afterAutospacing="0" w:line="480" w:lineRule="auto"/>
      </w:pPr>
      <w:r>
        <w:rPr>
          <w:color w:val="000000"/>
        </w:rPr>
        <w:t xml:space="preserve">    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163" w:name="__Fieldmark__1324_3903614438"/>
      <w:r>
        <w:rPr>
          <w:color w:val="000000"/>
        </w:rPr>
        <w:t>L</w:t>
      </w:r>
      <w:bookmarkStart w:id="164" w:name="__Fieldmark__922_2495178454"/>
      <w:r>
        <w:rPr>
          <w:color w:val="000000"/>
        </w:rPr>
        <w:t>i</w:t>
      </w:r>
      <w:bookmarkStart w:id="165" w:name="__Fieldmark__1050_942872385"/>
      <w:r>
        <w:rPr>
          <w:color w:val="000000"/>
        </w:rPr>
        <w:t>ndén, 2018</w:t>
      </w:r>
      <w:bookmarkEnd w:id="163"/>
      <w:bookmarkEnd w:id="164"/>
      <w:bookmarkEnd w:id="165"/>
      <w:r>
        <w:rPr>
          <w:color w:val="000000"/>
        </w:rPr>
        <w:t xml:space="preserve">) while others showed that, in some cases, time lag between phenological peak dates was a better predictor of resource availability than the overlap between phenological distributions </w:t>
      </w:r>
      <w:bookmarkStart w:id="166" w:name="__Fieldmark__1335_3903614438"/>
      <w:r>
        <w:rPr>
          <w:color w:val="000000"/>
        </w:rPr>
        <w:t>(</w:t>
      </w:r>
      <w:bookmarkStart w:id="167" w:name="__Fieldmark__929_2495178454"/>
      <w:r>
        <w:rPr>
          <w:color w:val="000000"/>
        </w:rPr>
        <w:t>R</w:t>
      </w:r>
      <w:bookmarkStart w:id="168" w:name="__Fieldmark__1055_942872385"/>
      <w:r>
        <w:rPr>
          <w:color w:val="000000"/>
        </w:rPr>
        <w:t>amakers et al., 2020)</w:t>
      </w:r>
      <w:bookmarkEnd w:id="166"/>
      <w:bookmarkEnd w:id="167"/>
      <w:bookmarkEnd w:id="168"/>
      <w:r>
        <w:rPr>
          <w:color w:val="000000"/>
        </w:rPr>
        <w:t>.  </w:t>
      </w:r>
    </w:p>
    <w:p w14:paraId="0B7661A2" w14:textId="679BA763" w:rsidR="001A179F" w:rsidRDefault="006B7108">
      <w:pPr>
        <w:pStyle w:val="NormalWeb"/>
        <w:spacing w:before="280" w:beforeAutospacing="0" w:afterAutospacing="0" w:line="480" w:lineRule="auto"/>
        <w:ind w:firstLine="720"/>
      </w:pPr>
      <w:r>
        <w:rPr>
          <w:color w:val="000000"/>
        </w:rPr>
        <w:t>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w:t>
      </w:r>
      <w:r>
        <w:rPr>
          <w:color w:val="000000"/>
        </w:rPr>
        <w:lastRenderedPageBreak/>
        <w:t xml:space="preserve">hour time interval for temperatures (used throughout the present study) since variations within a day may allow for development during a few hours, even when the average temperature over the whole day may not. </w:t>
      </w:r>
    </w:p>
    <w:p w14:paraId="578C3AFF" w14:textId="67A4042D"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BioSim </w:t>
      </w:r>
      <w:bookmarkStart w:id="169" w:name="__Fieldmark__1350_3903614438"/>
      <w:r>
        <w:rPr>
          <w:color w:val="000000"/>
        </w:rPr>
        <w:t>(</w:t>
      </w:r>
      <w:bookmarkStart w:id="170" w:name="__Fieldmark__940_2495178454"/>
      <w:r>
        <w:rPr>
          <w:color w:val="000000"/>
        </w:rPr>
        <w:t>R</w:t>
      </w:r>
      <w:bookmarkStart w:id="171" w:name="__Fieldmark__1072_942872385"/>
      <w:r>
        <w:rPr>
          <w:color w:val="000000"/>
        </w:rPr>
        <w:t xml:space="preserve">égnière, </w:t>
      </w:r>
      <w:r>
        <w:t>Saint-Amant, Béchard, et al.</w:t>
      </w:r>
      <w:r>
        <w:rPr>
          <w:color w:val="000000"/>
        </w:rPr>
        <w:t>, 2014)</w:t>
      </w:r>
      <w:bookmarkEnd w:id="169"/>
      <w:bookmarkEnd w:id="170"/>
      <w:bookmarkEnd w:id="171"/>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172" w:name="__Fieldmark__1361_3903614438"/>
      <w:r>
        <w:rPr>
          <w:color w:val="000000"/>
        </w:rPr>
        <w:t>(</w:t>
      </w:r>
      <w:bookmarkStart w:id="173" w:name="__Fieldmark__947_2495178454"/>
      <w:r>
        <w:rPr>
          <w:color w:val="000000"/>
        </w:rPr>
        <w:t>P</w:t>
      </w:r>
      <w:bookmarkStart w:id="174" w:name="__Fieldmark__1077_942872385"/>
      <w:r>
        <w:rPr>
          <w:color w:val="000000"/>
        </w:rPr>
        <w:t xml:space="preserve">ureswaran, </w:t>
      </w:r>
      <w:r>
        <w:t>Neau,</w:t>
      </w:r>
      <w:r>
        <w:rPr>
          <w:color w:val="000000"/>
        </w:rPr>
        <w:t xml:space="preserve"> et al., 2019)</w:t>
      </w:r>
      <w:bookmarkEnd w:id="172"/>
      <w:bookmarkEnd w:id="173"/>
      <w:bookmarkEnd w:id="174"/>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systems. Our model could be linked to models that explore the consequences of phenological mismatch on the population dynamics of consumer – resource systems (e.g., </w:t>
      </w:r>
      <w:bookmarkStart w:id="175" w:name="__Fieldmark__1386_3903614438"/>
      <w:r>
        <w:rPr>
          <w:color w:val="000000"/>
        </w:rPr>
        <w:t>B</w:t>
      </w:r>
      <w:bookmarkStart w:id="176" w:name="__Fieldmark__965_2495178454"/>
      <w:r>
        <w:rPr>
          <w:color w:val="000000"/>
        </w:rPr>
        <w:t>e</w:t>
      </w:r>
      <w:bookmarkStart w:id="177" w:name="__Fieldmark__1095_942872385"/>
      <w:r>
        <w:rPr>
          <w:color w:val="000000"/>
        </w:rPr>
        <w:t>wick et al., 2016)</w:t>
      </w:r>
      <w:bookmarkEnd w:id="175"/>
      <w:bookmarkEnd w:id="176"/>
      <w:bookmarkEnd w:id="177"/>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B7044F">
      <w:pPr>
        <w:pStyle w:val="Titre1"/>
        <w:spacing w:before="240" w:beforeAutospacing="0" w:after="280" w:afterAutospacing="0" w:line="480" w:lineRule="auto"/>
      </w:pPr>
      <w:r>
        <w:rPr>
          <w:color w:val="000000"/>
          <w:sz w:val="32"/>
          <w:szCs w:val="32"/>
        </w:rPr>
        <w:lastRenderedPageBreak/>
        <w:t>Acknowledgement</w:t>
      </w:r>
    </w:p>
    <w:p w14:paraId="42FB4A2D" w14:textId="77777777" w:rsidR="001A179F" w:rsidRDefault="006B7108" w:rsidP="00B7044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Saint-Amant for his helpful guidance to obtain temperature data from BioSIM, and Dr. Jacques Régnière for sharing data on balsam fir phenology. This study was funded by the Healthy Forest Partnership.</w:t>
      </w:r>
    </w:p>
    <w:p w14:paraId="3BBDB394" w14:textId="47284814" w:rsidR="00841091" w:rsidRPr="00DF7FD4" w:rsidRDefault="00B1434E" w:rsidP="00841091">
      <w:pPr>
        <w:pStyle w:val="Titre1"/>
        <w:rPr>
          <w:sz w:val="32"/>
          <w:szCs w:val="32"/>
        </w:rPr>
      </w:pPr>
      <w:r>
        <w:rPr>
          <w:sz w:val="32"/>
          <w:szCs w:val="32"/>
        </w:rPr>
        <w:t>A</w:t>
      </w:r>
      <w:r w:rsidR="00841091" w:rsidRPr="00DF7FD4">
        <w:rPr>
          <w:sz w:val="32"/>
          <w:szCs w:val="32"/>
        </w:rPr>
        <w:t>uthors</w:t>
      </w:r>
      <w:r>
        <w:rPr>
          <w:sz w:val="32"/>
          <w:szCs w:val="32"/>
        </w:rPr>
        <w:t>’ contribution</w:t>
      </w:r>
    </w:p>
    <w:p w14:paraId="0712CB11" w14:textId="4952DBC5"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All authors conceptualized the study. FL and SP built the theoretical model. SP calibrated the tree model, gathered the temperature data, and performed the simulations. SP, JNC and FL discussed the results, wrote and edited the manuscript.</w:t>
      </w:r>
    </w:p>
    <w:p w14:paraId="05D0EED3" w14:textId="77777777" w:rsidR="00841091" w:rsidRPr="00DF7FD4" w:rsidRDefault="00841091" w:rsidP="00841091">
      <w:pPr>
        <w:pStyle w:val="Titre1"/>
        <w:rPr>
          <w:sz w:val="32"/>
          <w:szCs w:val="32"/>
        </w:rPr>
      </w:pPr>
      <w:r w:rsidRPr="00DF7FD4">
        <w:rPr>
          <w:sz w:val="32"/>
          <w:szCs w:val="32"/>
        </w:rPr>
        <w:t>Data Availability</w:t>
      </w:r>
    </w:p>
    <w:p w14:paraId="3D597F5B" w14:textId="35B49C79" w:rsidR="001A179F" w:rsidRDefault="00D605DF">
      <w:pPr>
        <w:spacing w:line="480" w:lineRule="auto"/>
        <w:rPr>
          <w:rFonts w:ascii="Times New Roman" w:hAnsi="Times New Roman" w:cs="Times New Roman"/>
          <w:color w:val="000000"/>
          <w:sz w:val="24"/>
          <w:szCs w:val="24"/>
        </w:rPr>
      </w:pPr>
      <w:r>
        <w:rPr>
          <w:rFonts w:ascii="Times New Roman" w:hAnsi="Times New Roman" w:cs="Times New Roman"/>
        </w:rPr>
        <w:t xml:space="preserve">R code will be stored on Zenodo public depository. </w:t>
      </w:r>
      <w:r w:rsidR="00B634D6">
        <w:rPr>
          <w:rFonts w:ascii="Times New Roman" w:hAnsi="Times New Roman" w:cs="Times New Roman"/>
        </w:rPr>
        <w:t>D</w:t>
      </w:r>
      <w:r w:rsidR="00DF7FD4">
        <w:rPr>
          <w:rFonts w:ascii="Times New Roman" w:hAnsi="Times New Roman" w:cs="Times New Roman"/>
        </w:rPr>
        <w:t>ata o</w:t>
      </w:r>
      <w:r w:rsidR="00B634D6">
        <w:rPr>
          <w:rFonts w:ascii="Times New Roman" w:hAnsi="Times New Roman" w:cs="Times New Roman"/>
        </w:rPr>
        <w:t>n</w:t>
      </w:r>
      <w:r w:rsidR="00DF7FD4">
        <w:rPr>
          <w:rFonts w:ascii="Times New Roman" w:hAnsi="Times New Roman" w:cs="Times New Roman"/>
        </w:rPr>
        <w:t xml:space="preserve"> balsam fir </w:t>
      </w:r>
      <w:r w:rsidR="00B634D6">
        <w:rPr>
          <w:rFonts w:ascii="Times New Roman" w:hAnsi="Times New Roman" w:cs="Times New Roman"/>
        </w:rPr>
        <w:t xml:space="preserve">phenology </w:t>
      </w:r>
      <w:r w:rsidR="00DF7FD4">
        <w:rPr>
          <w:rFonts w:ascii="Times New Roman" w:hAnsi="Times New Roman" w:cs="Times New Roman"/>
        </w:rPr>
        <w:t>can be made available on demand to Dr. J. Régnière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Titre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r w:rsidRPr="00C247CE">
        <w:rPr>
          <w:rFonts w:ascii="Times New Roman" w:hAnsi="Times New Roman" w:cs="Times New Roman"/>
          <w:sz w:val="24"/>
          <w:szCs w:val="24"/>
        </w:rPr>
        <w:t xml:space="preserve">Amarasekare, P., &amp; Coutinho, R. M. (2014). </w:t>
      </w:r>
      <w:r>
        <w:rPr>
          <w:rFonts w:ascii="Times New Roman" w:hAnsi="Times New Roman" w:cs="Times New Roman"/>
          <w:sz w:val="24"/>
          <w:szCs w:val="24"/>
        </w:rPr>
        <w:t xml:space="preserve">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(3), E50-65. doi: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Bale, J. S., Masters, G. J., Hodkinson, I. D., Awmack, C., Bezemer,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Lindroth,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Symrnioudis,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(1), 1–16. doi: 10.1046/j.1365-2486.2002.00451.x</w:t>
      </w:r>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minnesota.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(2), 175–177. doi: 10.1093/aesa/54.2.175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Bewick, S., Cantrell, R. S., Cosner,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Blais, J. R. (1957). Some relationships of the spruce budworm, Choristoneura fumiferana (Clem.) to black spruce, Picea mariana (Moench)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(4), 364–372. doi: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Bijlsma,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(1), 73–83. doi: 10.1111/j.1365-2656.2008.01458.x</w:t>
      </w:r>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(6835), 296–298. doi: 10.1038/35077063</w:t>
      </w:r>
    </w:p>
    <w:p w14:paraId="01A99AEC"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Chuine,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337–347. doi: 10.1006/jtbi.2000.2178</w:t>
      </w:r>
    </w:p>
    <w:p w14:paraId="62A90CF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Chuine, I., &amp; Régnière,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(1), 159–182. doi: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Cobbold,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(5), 1052–1081. doi: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Lajeunesse,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(3), 224–228. doi: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(4), 567–577. doi: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r>
        <w:rPr>
          <w:rFonts w:ascii="Times New Roman" w:hAnsi="Times New Roman" w:cs="Times New Roman"/>
          <w:i/>
          <w:iCs/>
          <w:sz w:val="24"/>
          <w:szCs w:val="24"/>
          <w:lang w:val="fr-FR"/>
        </w:rPr>
        <w:t>Advances in Marine Biology</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(C), 249–293. doi: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Relation phénologique entre le débourrement des bourgeons chez le sapin baumier et l’émergence des larves de deuxième stade de la tordeuse des bourgeons de l’épinette, Choristoneura fumiferana (Lepidoptera: Tortricidae).</w:t>
      </w:r>
      <w:r>
        <w:rPr>
          <w:rFonts w:ascii="Times New Roman" w:hAnsi="Times New Roman" w:cs="Times New Roman"/>
          <w:sz w:val="24"/>
          <w:szCs w:val="24"/>
          <w:lang w:val="fr-FR"/>
        </w:rPr>
        <w:t xml:space="preserve"> ProQuest.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lastRenderedPageBreak/>
        <w:t xml:space="preserve">Deslauriers, A., Fournier, M.-P., Cartenì,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(4), 590–605. doi: 10.1093/treephys/tpy135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Caffarra, A., &amp; O’Neill, B. F. (2011). A review of climate-driven mismatches between interdependent phenophases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(6), 805–817. doi: 10.1007/s00484-011-0426-5</w:t>
      </w:r>
    </w:p>
    <w:p w14:paraId="585B251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Dorais, L., &amp; Kettela, E. G. (1982). A review of entomological survey and assessment techniques used in regional spruce budworm. </w:t>
      </w:r>
      <w:r>
        <w:rPr>
          <w:rFonts w:ascii="Times New Roman" w:hAnsi="Times New Roman" w:cs="Times New Roman"/>
          <w:i/>
          <w:iCs/>
          <w:sz w:val="24"/>
          <w:szCs w:val="24"/>
        </w:rPr>
        <w:t>Choristoneura Fumiferana</w:t>
      </w:r>
      <w:r>
        <w:rPr>
          <w:rFonts w:ascii="Times New Roman" w:hAnsi="Times New Roman" w:cs="Times New Roman"/>
          <w:sz w:val="24"/>
          <w:szCs w:val="24"/>
        </w:rPr>
        <w:t>.</w:t>
      </w:r>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(1658), 935–943. doi: 10.1098/rspb.2008.1434</w:t>
      </w:r>
    </w:p>
    <w:p w14:paraId="3B95E1A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Gienapp,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(1), 180–185. doi: 10.1111/j.1365-2435.2006.01079.x</w:t>
      </w:r>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Harper, K., Boudreault, C., DeGrandpré,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(1 SUPPL.), 2003. doi: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Iwasa, Y., Odendaal, F. J., Murphy, D. D., Ehrlich, P. R., &amp; Launer,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(3), </w:t>
      </w:r>
      <w:r>
        <w:rPr>
          <w:rFonts w:ascii="Times New Roman" w:hAnsi="Times New Roman" w:cs="Times New Roman"/>
          <w:sz w:val="24"/>
          <w:szCs w:val="24"/>
        </w:rPr>
        <w:lastRenderedPageBreak/>
        <w:t>363–379. doi: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Ehrlén, J., Gelman, A., Bolmgren, K., Allen, J. M., Travers, S. E., &amp; Wolkovich,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5211–5216. doi: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&amp; Wolkovich,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(5), 406–415. doi: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(2), 291–318. doi: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Lindén,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5057–5059. doi: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Slansky &amp; J. Rodriguez (Eds.), </w:t>
      </w:r>
      <w:r>
        <w:rPr>
          <w:rFonts w:ascii="Times New Roman" w:hAnsi="Times New Roman" w:cs="Times New Roman"/>
          <w:i/>
          <w:iCs/>
          <w:sz w:val="24"/>
          <w:szCs w:val="24"/>
        </w:rPr>
        <w:t>The 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D605DF">
        <w:rPr>
          <w:rFonts w:ascii="Times New Roman" w:hAnsi="Times New Roman" w:cs="Times New Roman"/>
          <w:sz w:val="24"/>
          <w:szCs w:val="24"/>
          <w:lang w:val="fr-FR"/>
        </w:rPr>
        <w:t xml:space="preserve">McNamara, J. M., Barta, Z., Klaassen,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(12), 1183–1190. doi: 10.1111/j.1461-0248.2011.01686.x</w:t>
      </w:r>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Høye, T. T., Inouye, D. W., &amp; Post, E. (2010). The effects of phenological </w:t>
      </w:r>
      <w:r>
        <w:rPr>
          <w:rFonts w:ascii="Times New Roman" w:hAnsi="Times New Roman" w:cs="Times New Roman"/>
          <w:sz w:val="24"/>
          <w:szCs w:val="24"/>
        </w:rPr>
        <w:lastRenderedPageBreak/>
        <w:t xml:space="preserve">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3177–3186. doi: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Osawa, A., Shoemaker, C. A., &amp; Stedinger, J. R. (1983). A stochastic model of balsam fir bud phenology utilizing maximum likelihood parameter estimation (Abies balsamea,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(3), 478–490. doi: 10.1093/forestscience/29.3.478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Dahe,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Ipcc.</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(1), 637–669. doi: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Yohe,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(6918), 37–42. doi: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Forchhammer, M. C., Stenseth, N. C., &amp; Callaghan, T. V. (2001). The timing of life-history events in a changing climate.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(1462), 15–23. doi: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Pureswaran, D. S., De Grandpré, L., Paré, D., Taylor, A., Barrette, M., Morin, H., Régnière, J., Kneeshaw, D. D. (2015). </w:t>
      </w:r>
      <w:r>
        <w:rPr>
          <w:rFonts w:ascii="Times New Roman" w:hAnsi="Times New Roman" w:cs="Times New Roman"/>
          <w:sz w:val="24"/>
          <w:szCs w:val="24"/>
        </w:rPr>
        <w:t>Climate-induced changes in host tree–insect phenology may drive ecological state-shift in boreal forests. Ecology, 96(6), 1480–1491. doi: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Pureswaran, D. S., Neau, M., Marchand, M., De Grandpré, L., &amp; Kneeshaw, D. (2019). Phenological synchrony between eastern spruce budworm and its host trees increases with </w:t>
      </w:r>
      <w:r>
        <w:rPr>
          <w:rFonts w:ascii="Times New Roman" w:hAnsi="Times New Roman" w:cs="Times New Roman"/>
          <w:sz w:val="24"/>
          <w:szCs w:val="24"/>
        </w:rPr>
        <w:lastRenderedPageBreak/>
        <w:t xml:space="preserve">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(1), 576–586. doi: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Ramakers,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(3), 745–756. doi: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Rebaudo, F., &amp; Rabhi, V.-B. (2018). Modeling temperature-dependent development rate and phenology in insects: review of major developments, challenges, and future directions. </w:t>
      </w:r>
      <w:r>
        <w:rPr>
          <w:rFonts w:ascii="Times New Roman" w:hAnsi="Times New Roman" w:cs="Times New Roman"/>
          <w:i/>
          <w:iCs/>
          <w:sz w:val="24"/>
          <w:szCs w:val="24"/>
          <w:lang w:val="fr-FR"/>
        </w:rPr>
        <w:t>Entomologia Experimentalis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(8), 607–617. doi: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Régnière, J., &amp; Nealis,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(3), 362–373. doi: 10.1111/j.1365-2311.2007.00977.x</w:t>
      </w:r>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r w:rsidRPr="00384A25">
        <w:rPr>
          <w:rFonts w:ascii="Times New Roman" w:hAnsi="Times New Roman" w:cs="Times New Roman"/>
          <w:sz w:val="24"/>
          <w:szCs w:val="24"/>
        </w:rPr>
        <w:t>Régnière, J., &amp; Nealis, V. G. (2018).</w:t>
      </w:r>
      <w:r>
        <w:rPr>
          <w:rFonts w:ascii="Times New Roman" w:hAnsi="Times New Roman" w:cs="Times New Roman"/>
          <w:sz w:val="24"/>
          <w:szCs w:val="24"/>
        </w:rPr>
        <w:t xml:space="preserve"> Two sides of a coin: host-plat synchrony fitness trade-offs in the population dynamics of the western spruce budworm. </w:t>
      </w:r>
      <w:r w:rsidRPr="00384A25">
        <w:rPr>
          <w:rFonts w:ascii="Times New Roman" w:hAnsi="Times New Roman" w:cs="Times New Roman"/>
          <w:i/>
          <w:iCs/>
          <w:sz w:val="24"/>
          <w:szCs w:val="24"/>
          <w:lang w:val="fr-CA"/>
        </w:rPr>
        <w:t>Insect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117-126. doi: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r w:rsidRPr="00384A25">
        <w:rPr>
          <w:rFonts w:ascii="Times New Roman" w:hAnsi="Times New Roman" w:cs="Times New Roman"/>
          <w:sz w:val="24"/>
          <w:szCs w:val="24"/>
          <w:lang w:val="fr-CA"/>
        </w:rPr>
        <w:t xml:space="preserve">Régnière, J., Saint-Amant, R., Béchard, A., &amp; Moutaoufik, A. (2014). </w:t>
      </w:r>
      <w:r>
        <w:rPr>
          <w:rFonts w:ascii="Times New Roman" w:hAnsi="Times New Roman" w:cs="Times New Roman"/>
          <w:i/>
          <w:iCs/>
          <w:sz w:val="24"/>
          <w:szCs w:val="24"/>
        </w:rPr>
        <w:t>BioSIM 10: User’s manual, A. Nat. Resour. Can., Can. For. Serv.</w:t>
      </w:r>
      <w:r>
        <w:rPr>
          <w:rFonts w:ascii="Times New Roman" w:hAnsi="Times New Roman" w:cs="Times New Roman"/>
          <w:sz w:val="24"/>
          <w:szCs w:val="24"/>
        </w:rPr>
        <w:t xml:space="preserve"> Laurentian Forestry Centre, Québec (Quebec).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r w:rsidRPr="00C247CE">
        <w:rPr>
          <w:rFonts w:ascii="Times New Roman" w:hAnsi="Times New Roman" w:cs="Times New Roman"/>
          <w:sz w:val="24"/>
          <w:szCs w:val="24"/>
        </w:rPr>
        <w:t xml:space="preserve">Régnière, J., St-Amant,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(8), 1571–1586. doi: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Zohner, C. M. (2018). Climate change and phenological mismatch in trophic interactions among plants, insects, and vertebrates. </w:t>
      </w:r>
      <w:r>
        <w:rPr>
          <w:rFonts w:ascii="Times New Roman" w:hAnsi="Times New Roman" w:cs="Times New Roman"/>
          <w:i/>
          <w:iCs/>
          <w:sz w:val="24"/>
          <w:szCs w:val="24"/>
        </w:rPr>
        <w:t xml:space="preserve">Annual Review of Ecology, Evolution, </w:t>
      </w:r>
      <w:r>
        <w:rPr>
          <w:rFonts w:ascii="Times New Roman" w:hAnsi="Times New Roman" w:cs="Times New Roman"/>
          <w:i/>
          <w:iCs/>
          <w:sz w:val="24"/>
          <w:szCs w:val="24"/>
        </w:rPr>
        <w:lastRenderedPageBreak/>
        <w:t>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(1), 165–182. doi: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Samplonius, J. M., Atkinson, A., Hassall, C., Keogan, K., Thackeray, S. J., Assmann,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Macphie,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Varpe,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Pettorelli,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(2), 155–164. doi: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(12), 1766–1775. doi: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3161–3176. doi: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doi: 10.32942/osf.io/rxmct</w:t>
      </w:r>
    </w:p>
    <w:p w14:paraId="773DE6B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Stålhandske, S., Olofsson, M., Gotthard, K., Ehrlén, J., Wiklund, C., &amp; Leimar, O. (2016). 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(4), 1060–1067. doi: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37–55. doi: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van Vuuren, D. P., Edmonds, J., Kainuma, M., Riahi, K., Thomson, A., Hibbard, K., Hurtt, G. C., Kram, T., Krey, V., Lamarque, J. F., Masui, T., Meinshausen, M., Nakicenovic, N., Smith, S. J., Rose, S. K. (2011). The representative concentration pathways: an overview. Climatic Change, 109(1), 5–31. doi: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(1464), 289–294. doi: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(1581), 2561–2569. doi: 10.1098/rspb.2005.3356</w:t>
      </w:r>
    </w:p>
    <w:p w14:paraId="78E59401" w14:textId="77777777" w:rsidR="001A179F" w:rsidRDefault="006B7108">
      <w:pPr>
        <w:widowControl w:val="0"/>
        <w:spacing w:line="480" w:lineRule="auto"/>
        <w:ind w:left="480" w:hanging="480"/>
        <w:rPr>
          <w:rFonts w:ascii="Times New Roman" w:hAnsi="Times New Roman" w:cs="Times New Roman"/>
          <w:sz w:val="24"/>
        </w:rPr>
      </w:pPr>
      <w:r w:rsidRPr="00583ED2">
        <w:rPr>
          <w:rFonts w:ascii="Times New Roman" w:hAnsi="Times New Roman" w:cs="Times New Roman"/>
          <w:sz w:val="24"/>
          <w:szCs w:val="24"/>
          <w:lang w:val="fr-FR"/>
        </w:rPr>
        <w:t xml:space="preserve">Wu, J., Dhingra, R., Gambhir, M., &amp; Remais,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(86), 20121018. doi: 10.1098/rsif.2012.1018</w:t>
      </w:r>
      <w:bookmarkStart w:id="178" w:name="__Fieldmark__1111_942872385"/>
      <w:bookmarkStart w:id="179" w:name="__Fieldmark__976_2495178454"/>
      <w:bookmarkStart w:id="180" w:name="__Fieldmark__1403_3903614438"/>
      <w:bookmarkEnd w:id="178"/>
      <w:bookmarkEnd w:id="179"/>
      <w:bookmarkEnd w:id="180"/>
    </w:p>
    <w:p w14:paraId="1A6BE3D3" w14:textId="77777777" w:rsidR="001A179F" w:rsidRDefault="006B7108">
      <w:pPr>
        <w:spacing w:line="480" w:lineRule="auto"/>
        <w:rPr>
          <w:rFonts w:ascii="Times New Roman" w:hAnsi="Times New Roman" w:cs="Times New Roman"/>
          <w:sz w:val="24"/>
          <w:szCs w:val="24"/>
        </w:rPr>
      </w:pPr>
      <w:r>
        <w:br w:type="page"/>
      </w:r>
    </w:p>
    <w:p w14:paraId="380FDA10"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2FE95019" wp14:editId="24B2AE78">
            <wp:extent cx="6012180" cy="413385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8"/>
                    <a:stretch>
                      <a:fillRect/>
                    </a:stretch>
                  </pic:blipFill>
                  <pic:spPr bwMode="auto">
                    <a:xfrm>
                      <a:off x="0" y="0"/>
                      <a:ext cx="6012180" cy="4133850"/>
                    </a:xfrm>
                    <a:prstGeom prst="rect">
                      <a:avLst/>
                    </a:prstGeom>
                  </pic:spPr>
                </pic:pic>
              </a:graphicData>
            </a:graphic>
          </wp:inline>
        </w:drawing>
      </w:r>
    </w:p>
    <w:p w14:paraId="532D6B6E"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w:t>
      </w:r>
      <w:r>
        <w:br w:type="page"/>
      </w:r>
    </w:p>
    <w:p w14:paraId="107F5014"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75DBEDD5" wp14:editId="11400615">
            <wp:extent cx="6568440" cy="3152775"/>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9"/>
                    <a:stretch>
                      <a:fillRect/>
                    </a:stretch>
                  </pic:blipFill>
                  <pic:spPr bwMode="auto">
                    <a:xfrm>
                      <a:off x="0" y="0"/>
                      <a:ext cx="6568440" cy="3152775"/>
                    </a:xfrm>
                    <a:prstGeom prst="rect">
                      <a:avLst/>
                    </a:prstGeom>
                  </pic:spPr>
                </pic:pic>
              </a:graphicData>
            </a:graphic>
          </wp:inline>
        </w:drawing>
      </w:r>
    </w:p>
    <w:p w14:paraId="7F2FBF11"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Solid is the predicted value, dashed is the linear approximation from the model with simple time series. (B) The two species have their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that peaks at different temperatures. A short warm spell will mostly affect the species for which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is highest at that time (in this example, the tree is more sensitive than the insect).</w:t>
      </w:r>
      <w: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0"/>
                    <a:stretch>
                      <a:fillRect/>
                    </a:stretch>
                  </pic:blipFill>
                  <pic:spPr bwMode="auto">
                    <a:xfrm>
                      <a:off x="0" y="0"/>
                      <a:ext cx="5638800" cy="5638800"/>
                    </a:xfrm>
                    <a:prstGeom prst="rect">
                      <a:avLst/>
                    </a:prstGeom>
                  </pic:spPr>
                </pic:pic>
              </a:graphicData>
            </a:graphic>
          </wp:inline>
        </w:drawing>
      </w:r>
    </w:p>
    <w:p w14:paraId="5B62757C" w14:textId="77777777"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3</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230D6875" wp14:editId="546D22ED">
            <wp:extent cx="6461760" cy="4038600"/>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noChangeArrowheads="1"/>
                    </pic:cNvPicPr>
                  </pic:nvPicPr>
                  <pic:blipFill>
                    <a:blip r:embed="rId11"/>
                    <a:stretch>
                      <a:fillRect/>
                    </a:stretch>
                  </pic:blipFill>
                  <pic:spPr bwMode="auto">
                    <a:xfrm>
                      <a:off x="0" y="0"/>
                      <a:ext cx="6461760" cy="4038600"/>
                    </a:xfrm>
                    <a:prstGeom prst="rect">
                      <a:avLst/>
                    </a:prstGeom>
                  </pic:spPr>
                </pic:pic>
              </a:graphicData>
            </a:graphic>
          </wp:inline>
        </w:drawing>
      </w:r>
    </w:p>
    <w:p w14:paraId="5DE9EEA0" w14:textId="65C1DB56"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Normal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 xml:space="preserve">that hastens budburst, and </w:t>
      </w:r>
      <w:r>
        <w:rPr>
          <w:rFonts w:ascii="Times New Roman" w:eastAsia="Times New Roman" w:hAnsi="Times New Roman" w:cs="Times New Roman"/>
          <w:i/>
          <w:iCs/>
          <w:color w:val="000000"/>
          <w:sz w:val="24"/>
          <w:szCs w:val="24"/>
          <w:lang w:eastAsia="en-CA"/>
        </w:rPr>
        <w:t>t</w:t>
      </w:r>
      <w:r w:rsidR="002C098B">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727448C3"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79E1B071" wp14:editId="623AD0CA">
            <wp:extent cx="6275705" cy="4314825"/>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noChangeArrowheads="1"/>
                    </pic:cNvPicPr>
                  </pic:nvPicPr>
                  <pic:blipFill>
                    <a:blip r:embed="rId12"/>
                    <a:stretch>
                      <a:fillRect/>
                    </a:stretch>
                  </pic:blipFill>
                  <pic:spPr bwMode="auto">
                    <a:xfrm>
                      <a:off x="0" y="0"/>
                      <a:ext cx="6275705" cy="4314825"/>
                    </a:xfrm>
                    <a:prstGeom prst="rect">
                      <a:avLst/>
                    </a:prstGeom>
                  </pic:spPr>
                </pic:pic>
              </a:graphicData>
            </a:graphic>
          </wp:inline>
        </w:drawing>
      </w:r>
    </w:p>
    <w:p w14:paraId="72185C78" w14:textId="6D356D7E"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emergence date of SBW (Julian days), (B) budburst date, and (C) mismatch between emergence and budburst date. For each latitude, the white box (left one) represents the 1996-2016 period. Grey boxes represent expected outcomes according to RCP 2.6 (light grey), RCP 4.5 (dark grey), and RCP 8.5 (black) scenarios over 2021 to 2100.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w:t>
      </w:r>
      <w:r>
        <w:rPr>
          <w:rFonts w:ascii="Times New Roman" w:eastAsia="Times New Roman" w:hAnsi="Times New Roman" w:cs="Times New Roman"/>
          <w:color w:val="000000"/>
          <w:sz w:val="24"/>
          <w:szCs w:val="24"/>
          <w:lang w:eastAsia="en-CA"/>
        </w:rPr>
        <w:lastRenderedPageBreak/>
        <w:t>some years, which may lead to low survival of SBW. At higher latitudes, emergence is expected to systematically occur a few days before budburst, which would increase survival of SBW.</w:t>
      </w:r>
    </w:p>
    <w:sectPr w:rsidR="001A179F">
      <w:footerReference w:type="default" r:id="rId13"/>
      <w:pgSz w:w="12240" w:h="15840"/>
      <w:pgMar w:top="1417" w:right="1417" w:bottom="1417" w:left="1417"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1750D" w14:textId="77777777" w:rsidR="00393A4A" w:rsidRDefault="00393A4A">
      <w:pPr>
        <w:spacing w:after="0" w:line="240" w:lineRule="auto"/>
      </w:pPr>
      <w:r>
        <w:separator/>
      </w:r>
    </w:p>
  </w:endnote>
  <w:endnote w:type="continuationSeparator" w:id="0">
    <w:p w14:paraId="12665064" w14:textId="77777777" w:rsidR="00393A4A" w:rsidRDefault="00393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2D961190" w:rsidR="006B7108" w:rsidRDefault="006B7108">
        <w:pPr>
          <w:pStyle w:val="Pieddepage"/>
          <w:jc w:val="right"/>
        </w:pPr>
        <w:r>
          <w:fldChar w:fldCharType="begin"/>
        </w:r>
        <w:r>
          <w:instrText>PAGE</w:instrText>
        </w:r>
        <w:r>
          <w:fldChar w:fldCharType="separate"/>
        </w:r>
        <w:r w:rsidR="007B5CA4">
          <w:rPr>
            <w:noProof/>
          </w:rPr>
          <w:t>22</w:t>
        </w:r>
        <w:r>
          <w:fldChar w:fldCharType="end"/>
        </w:r>
      </w:p>
    </w:sdtContent>
  </w:sdt>
  <w:p w14:paraId="445529CF" w14:textId="77777777" w:rsidR="006B7108" w:rsidRDefault="006B7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99B27" w14:textId="77777777" w:rsidR="00393A4A" w:rsidRDefault="00393A4A">
      <w:pPr>
        <w:spacing w:after="0" w:line="240" w:lineRule="auto"/>
      </w:pPr>
      <w:r>
        <w:separator/>
      </w:r>
    </w:p>
  </w:footnote>
  <w:footnote w:type="continuationSeparator" w:id="0">
    <w:p w14:paraId="3BEEC96D" w14:textId="77777777" w:rsidR="00393A4A" w:rsidRDefault="00393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86128"/>
    <w:rsid w:val="001130E6"/>
    <w:rsid w:val="00153C15"/>
    <w:rsid w:val="0015494D"/>
    <w:rsid w:val="001A179F"/>
    <w:rsid w:val="001D6ECB"/>
    <w:rsid w:val="00215164"/>
    <w:rsid w:val="0025323D"/>
    <w:rsid w:val="00261DFA"/>
    <w:rsid w:val="002823E5"/>
    <w:rsid w:val="002A3ADC"/>
    <w:rsid w:val="002C098B"/>
    <w:rsid w:val="003016BE"/>
    <w:rsid w:val="00384A25"/>
    <w:rsid w:val="00393A4A"/>
    <w:rsid w:val="0043709B"/>
    <w:rsid w:val="00466229"/>
    <w:rsid w:val="00466D8D"/>
    <w:rsid w:val="00487067"/>
    <w:rsid w:val="005203EE"/>
    <w:rsid w:val="005349F2"/>
    <w:rsid w:val="00583ED2"/>
    <w:rsid w:val="006B7108"/>
    <w:rsid w:val="006C719A"/>
    <w:rsid w:val="00770A04"/>
    <w:rsid w:val="00792EC6"/>
    <w:rsid w:val="007A34C2"/>
    <w:rsid w:val="007B5CA4"/>
    <w:rsid w:val="00831545"/>
    <w:rsid w:val="00841091"/>
    <w:rsid w:val="008E53A9"/>
    <w:rsid w:val="00973FE9"/>
    <w:rsid w:val="00991E1A"/>
    <w:rsid w:val="00A24195"/>
    <w:rsid w:val="00A7248F"/>
    <w:rsid w:val="00A730BE"/>
    <w:rsid w:val="00B1434E"/>
    <w:rsid w:val="00B30119"/>
    <w:rsid w:val="00B634D6"/>
    <w:rsid w:val="00B7044F"/>
    <w:rsid w:val="00BB0C6E"/>
    <w:rsid w:val="00C21262"/>
    <w:rsid w:val="00C21567"/>
    <w:rsid w:val="00C247CE"/>
    <w:rsid w:val="00C37F37"/>
    <w:rsid w:val="00D605DF"/>
    <w:rsid w:val="00D63030"/>
    <w:rsid w:val="00DF7FD4"/>
    <w:rsid w:val="00E66CD2"/>
    <w:rsid w:val="00F459D4"/>
    <w:rsid w:val="00F64257"/>
    <w:rsid w:val="00F66B7D"/>
    <w:rsid w:val="00FD1CBA"/>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rsid w:val="006B71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108"/>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 w:type="character" w:customStyle="1" w:styleId="Titre5Car">
    <w:name w:val="Titre 5 Car"/>
    <w:basedOn w:val="Policepardfaut"/>
    <w:link w:val="Titre5"/>
    <w:uiPriority w:val="9"/>
    <w:rsid w:val="00991E1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rsid w:val="00991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38</Pages>
  <Words>8497</Words>
  <Characters>48439</Characters>
  <Application>Microsoft Office Word</Application>
  <DocSecurity>0</DocSecurity>
  <Lines>403</Lines>
  <Paragraphs>113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NRCan  /  RNCan</Company>
  <LinksUpToDate>false</LinksUpToDate>
  <CharactersWithSpaces>56823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4</cp:revision>
  <dcterms:created xsi:type="dcterms:W3CDTF">2021-05-14T12:24:00Z</dcterms:created>
  <dcterms:modified xsi:type="dcterms:W3CDTF">2021-05-14T14:54:00Z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