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3371850" cy="20193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337185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24"/>
          <w:szCs w:val="24"/>
          <w:rtl w:val="0"/>
        </w:rPr>
        <w:t xml:space="preserve">Travail 1</w:t>
        <w:br w:type="textWrapping"/>
        <w:t xml:space="preserve">Manuel d’Instructions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spacing w:after="240" w:lineRule="auto"/>
        <w:contextualSpacing w:val="0"/>
        <w:jc w:val="center"/>
      </w:pPr>
      <w:r w:rsidDel="00000000" w:rsidR="00000000" w:rsidRPr="00000000">
        <w:rPr>
          <w:rFonts w:ascii="Verdana" w:cs="Verdana" w:eastAsia="Verdana" w:hAnsi="Verdana"/>
          <w:sz w:val="24"/>
          <w:szCs w:val="24"/>
          <w:rtl w:val="0"/>
        </w:rPr>
        <w:t xml:space="preserve">PRÉSENTÉ PAR</w:t>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rFonts w:ascii="Verdana" w:cs="Verdana" w:eastAsia="Verdana" w:hAnsi="Verdana"/>
          <w:sz w:val="24"/>
          <w:szCs w:val="24"/>
          <w:rtl w:val="0"/>
        </w:rPr>
        <w:t xml:space="preserve">ÉMILE FORTIN FORE19039509</w:t>
      </w:r>
    </w:p>
    <w:p w:rsidR="00000000" w:rsidDel="00000000" w:rsidP="00000000" w:rsidRDefault="00000000" w:rsidRPr="00000000">
      <w:pPr>
        <w:spacing w:after="240" w:lineRule="auto"/>
        <w:contextualSpacing w:val="0"/>
        <w:jc w:val="center"/>
      </w:pPr>
      <w:r w:rsidDel="00000000" w:rsidR="00000000" w:rsidRPr="00000000">
        <w:rPr>
          <w:rFonts w:ascii="Verdana" w:cs="Verdana" w:eastAsia="Verdana" w:hAnsi="Verdana"/>
          <w:sz w:val="24"/>
          <w:szCs w:val="24"/>
          <w:rtl w:val="0"/>
        </w:rPr>
        <w:t xml:space="preserve">PIERRE-ANDRÉ SAVARD SAVP07119505</w:t>
      </w:r>
    </w:p>
    <w:p w:rsidR="00000000" w:rsidDel="00000000" w:rsidP="00000000" w:rsidRDefault="00000000" w:rsidRPr="00000000">
      <w:pPr>
        <w:spacing w:after="240" w:lineRule="auto"/>
        <w:contextualSpacing w:val="0"/>
        <w:jc w:val="center"/>
      </w:pPr>
      <w:r w:rsidDel="00000000" w:rsidR="00000000" w:rsidRPr="00000000">
        <w:rPr>
          <w:rFonts w:ascii="Verdana" w:cs="Verdana" w:eastAsia="Verdana" w:hAnsi="Verdana"/>
          <w:sz w:val="24"/>
          <w:szCs w:val="24"/>
          <w:rtl w:val="0"/>
        </w:rPr>
        <w:t xml:space="preserve">RAFAËL CÔTÉ COTR11049503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sz w:val="24"/>
          <w:szCs w:val="24"/>
          <w:rtl w:val="0"/>
        </w:rPr>
        <w:t xml:space="preserve">DANS LE CADRE DU COURS</w:t>
      </w:r>
    </w:p>
    <w:p w:rsidR="00000000" w:rsidDel="00000000" w:rsidP="00000000" w:rsidRDefault="00000000" w:rsidRPr="00000000">
      <w:pPr>
        <w:contextualSpacing w:val="0"/>
        <w:jc w:val="center"/>
      </w:pPr>
      <w:r w:rsidDel="00000000" w:rsidR="00000000" w:rsidRPr="00000000">
        <w:rPr>
          <w:rFonts w:ascii="Verdana" w:cs="Verdana" w:eastAsia="Verdana" w:hAnsi="Verdana"/>
          <w:sz w:val="24"/>
          <w:szCs w:val="24"/>
          <w:rtl w:val="0"/>
        </w:rPr>
        <w:t xml:space="preserve">TECHNOLOGIEs WEB AVANCÉES</w:t>
      </w:r>
    </w:p>
    <w:p w:rsidR="00000000" w:rsidDel="00000000" w:rsidP="00000000" w:rsidRDefault="00000000" w:rsidRPr="00000000">
      <w:pPr>
        <w:contextualSpacing w:val="0"/>
        <w:jc w:val="center"/>
      </w:pPr>
      <w:r w:rsidDel="00000000" w:rsidR="00000000" w:rsidRPr="00000000">
        <w:rPr>
          <w:rFonts w:ascii="Verdana" w:cs="Verdana" w:eastAsia="Verdana" w:hAnsi="Verdana"/>
          <w:sz w:val="24"/>
          <w:szCs w:val="24"/>
          <w:rtl w:val="0"/>
        </w:rPr>
        <w:t xml:space="preserve">8INF345</w:t>
      </w:r>
    </w:p>
    <w:p w:rsidR="00000000" w:rsidDel="00000000" w:rsidP="00000000" w:rsidRDefault="00000000" w:rsidRPr="00000000">
      <w:pPr>
        <w:contextualSpacing w:val="0"/>
        <w:jc w:val="center"/>
      </w:pPr>
      <w:r w:rsidDel="00000000" w:rsidR="00000000" w:rsidRPr="00000000">
        <w:rPr>
          <w:rFonts w:ascii="Verdana" w:cs="Verdana" w:eastAsia="Verdana" w:hAnsi="Verdana"/>
          <w:sz w:val="24"/>
          <w:szCs w:val="24"/>
          <w:rtl w:val="0"/>
        </w:rPr>
        <w:t xml:space="preserve">HIVER 2017</w:t>
      </w:r>
    </w:p>
    <w:p w:rsidR="00000000" w:rsidDel="00000000" w:rsidP="00000000" w:rsidRDefault="00000000" w:rsidRPr="00000000">
      <w:pPr>
        <w:contextualSpacing w:val="0"/>
        <w:jc w:val="both"/>
      </w:pPr>
      <w:r w:rsidDel="00000000" w:rsidR="00000000" w:rsidRPr="00000000">
        <w:rPr>
          <w:rFonts w:ascii="Nixie One" w:cs="Nixie One" w:eastAsia="Nixie One" w:hAnsi="Nixie One"/>
          <w:b w:val="1"/>
          <w:color w:val="434343"/>
          <w:sz w:val="48"/>
          <w:szCs w:val="48"/>
          <w:u w:val="single"/>
          <w:rtl w:val="0"/>
        </w:rPr>
        <w:t xml:space="preserve">Partie Client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rtl w:val="0"/>
        </w:rPr>
        <w:t xml:space="preserve">La partie client est très simple à utiliser. Il faut commencer par exécuter le programme, que ca soit à partir d’Eclipse ou avec le fichier client.jar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3295650" cy="116205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3295650" cy="1162050"/>
                    </a:xfrm>
                    <a:prstGeom prst="rect"/>
                    <a:ln/>
                  </pic:spPr>
                </pic:pic>
              </a:graphicData>
            </a:graphic>
          </wp:inline>
        </w:drawing>
      </w:r>
      <w:r w:rsidDel="00000000" w:rsidR="00000000" w:rsidRPr="00000000">
        <w:drawing>
          <wp:inline distB="114300" distT="114300" distL="114300" distR="114300">
            <wp:extent cx="3038475" cy="1228725"/>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038475" cy="1228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rtl w:val="0"/>
        </w:rPr>
        <w:t xml:space="preserve">Il faut donc écrire le domaine ainsi que la page recherchée sur le site. Le programme fonctionnera automatiquement pour le reste et sauvegardera la page html voulue dans un fichier “page.html”</w:t>
      </w:r>
    </w:p>
    <w:p w:rsidR="00000000" w:rsidDel="00000000" w:rsidP="00000000" w:rsidRDefault="00000000" w:rsidRPr="00000000">
      <w:pPr>
        <w:contextualSpacing w:val="0"/>
        <w:jc w:val="both"/>
      </w:pPr>
      <w:r w:rsidDel="00000000" w:rsidR="00000000" w:rsidRPr="00000000">
        <w:drawing>
          <wp:inline distB="114300" distT="114300" distL="114300" distR="114300">
            <wp:extent cx="5705475" cy="23241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705475"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rtl w:val="0"/>
        </w:rPr>
        <w:t xml:space="preserve">Ainsi, nous pouvons consulter ce fichier ou l’ouvrir avec un navigateur web.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Nixie One" w:cs="Nixie One" w:eastAsia="Nixie One" w:hAnsi="Nixie One"/>
          <w:b w:val="1"/>
          <w:color w:val="434343"/>
          <w:sz w:val="48"/>
          <w:szCs w:val="48"/>
          <w:u w:val="single"/>
          <w:rtl w:val="0"/>
        </w:rPr>
        <w:t xml:space="preserve">Partie Serveur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rtl w:val="0"/>
        </w:rPr>
        <w:t xml:space="preserve">Tout d’abord, le serveur doit simplement démarrer le serveur, par eclipse ou en démarrant “serveur.jar”. Le service roulera en arrière plan. Il est possible de rajouter autant de fichiers html que souhaité dans le dossier “Files”, ils pourront être partagés immédiatement.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rtl w:val="0"/>
        </w:rPr>
        <w:t xml:space="preserve">Le fichier “404.html” est envoyé au client s’il demande d’accéder à une page qui n’est pas retrouvée.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rtl w:val="0"/>
        </w:rPr>
        <w:t xml:space="preserve">Un client peut se connecter grâce à l’adresse IP du serveur. On peut le tester sur chrome ou un autre navigateur en local grâce à 127.0.0.1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rtl w:val="0"/>
        </w:rPr>
        <w:t xml:space="preserve">Les pages par défaut sont index.html, wow.html et picture.html et démontrent une page de base, l’envoi d’image et de css basique ainsi qu’un peu de javascript fonctionnel.</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 w:name="Nixie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NixieOne-regular.ttf"/></Relationships>
</file>