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A83" w:rsidRPr="00C76D82" w:rsidRDefault="00C76D82" w:rsidP="00C76D82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before="454" w:after="227" w:line="288" w:lineRule="auto"/>
        <w:textAlignment w:val="center"/>
        <w:rPr>
          <w:rFonts w:ascii="Times New Roman" w:hAnsi="Times New Roman" w:cs="Times New Roman"/>
          <w:caps/>
          <w:color w:val="000000"/>
          <w:sz w:val="32"/>
          <w:szCs w:val="32"/>
          <w:lang w:val="en-GB"/>
        </w:rPr>
      </w:pPr>
      <w:r w:rsidRPr="00C76D82">
        <w:rPr>
          <w:rFonts w:ascii="Times New Roman" w:hAnsi="Times New Roman" w:cs="Times New Roman"/>
          <w:caps/>
          <w:color w:val="000000"/>
          <w:sz w:val="32"/>
          <w:szCs w:val="32"/>
          <w:lang w:val="en-GB"/>
        </w:rPr>
        <w:t>ŽENA I SPORT</w:t>
      </w:r>
      <w:r w:rsidR="00450A83" w:rsidRPr="00C76D82">
        <w:rPr>
          <w:rFonts w:ascii="Times New Roman" w:hAnsi="Times New Roman" w:cs="Times New Roman"/>
          <w:caps/>
          <w:color w:val="000000"/>
          <w:sz w:val="32"/>
          <w:szCs w:val="32"/>
          <w:lang w:val="en-GB"/>
        </w:rPr>
        <w:t xml:space="preserve"> </w:t>
      </w:r>
    </w:p>
    <w:p w:rsidR="00450A83" w:rsidRPr="00450A83" w:rsidRDefault="00450A83" w:rsidP="00450A83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Garamond" w:hAnsi="Garamond" w:cs="Garamond"/>
          <w:bCs/>
          <w:color w:val="000000"/>
          <w:vertAlign w:val="superscript"/>
          <w:lang w:val="en-GB"/>
        </w:rPr>
      </w:pPr>
      <w:r w:rsidRPr="00450A83">
        <w:rPr>
          <w:rFonts w:ascii="Garamond" w:hAnsi="Garamond" w:cs="Garamond"/>
          <w:bCs/>
          <w:color w:val="000000"/>
          <w:lang w:val="en-GB"/>
        </w:rPr>
        <w:t>Nenad Ponorac</w:t>
      </w:r>
      <w:r w:rsidRPr="00450A83">
        <w:rPr>
          <w:rFonts w:ascii="Garamond" w:hAnsi="Garamond" w:cs="Garamond"/>
          <w:bCs/>
          <w:color w:val="000000"/>
          <w:vertAlign w:val="superscript"/>
          <w:lang w:val="en-GB"/>
        </w:rPr>
        <w:t>1</w:t>
      </w:r>
      <w:r w:rsidRPr="00450A83">
        <w:rPr>
          <w:rFonts w:ascii="Garamond" w:hAnsi="Garamond" w:cs="Garamond"/>
          <w:bCs/>
          <w:color w:val="000000"/>
          <w:lang w:val="en-GB"/>
        </w:rPr>
        <w:t>, Stanislav Palija</w:t>
      </w:r>
      <w:r w:rsidRPr="00450A83">
        <w:rPr>
          <w:rFonts w:ascii="Garamond" w:hAnsi="Garamond" w:cs="Garamond"/>
          <w:bCs/>
          <w:color w:val="000000"/>
          <w:vertAlign w:val="superscript"/>
          <w:lang w:val="en-GB"/>
        </w:rPr>
        <w:t>2</w:t>
      </w:r>
      <w:r w:rsidRPr="00450A83">
        <w:rPr>
          <w:rFonts w:ascii="Garamond" w:hAnsi="Garamond" w:cs="Garamond"/>
          <w:bCs/>
          <w:color w:val="000000"/>
          <w:lang w:val="en-GB"/>
        </w:rPr>
        <w:t xml:space="preserve"> </w:t>
      </w:r>
      <w:r w:rsidR="00C76D82">
        <w:rPr>
          <w:rFonts w:ascii="Garamond" w:hAnsi="Garamond" w:cs="Garamond"/>
          <w:bCs/>
          <w:color w:val="000000"/>
          <w:lang w:val="en-GB"/>
        </w:rPr>
        <w:t>i</w:t>
      </w:r>
      <w:r w:rsidRPr="00450A83">
        <w:rPr>
          <w:rFonts w:ascii="Garamond" w:hAnsi="Garamond" w:cs="Garamond"/>
          <w:bCs/>
          <w:color w:val="000000"/>
          <w:lang w:val="en-GB"/>
        </w:rPr>
        <w:t xml:space="preserve"> Mira Popović</w:t>
      </w:r>
      <w:r w:rsidRPr="00450A83">
        <w:rPr>
          <w:rFonts w:ascii="Garamond" w:hAnsi="Garamond" w:cs="Garamond"/>
          <w:bCs/>
          <w:color w:val="000000"/>
          <w:vertAlign w:val="superscript"/>
          <w:lang w:val="en-GB"/>
        </w:rPr>
        <w:t>3</w:t>
      </w:r>
    </w:p>
    <w:p w:rsidR="00450A83" w:rsidRDefault="00450A83" w:rsidP="00450A83">
      <w:pPr>
        <w:pStyle w:val="autorifunkcije"/>
        <w:spacing w:line="240" w:lineRule="auto"/>
        <w:ind w:left="0"/>
        <w:rPr>
          <w:vertAlign w:val="superscript"/>
        </w:rPr>
      </w:pPr>
    </w:p>
    <w:p w:rsidR="00C76D82" w:rsidRPr="00C76D82" w:rsidRDefault="00C76D82" w:rsidP="00C76D82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Garamond" w:hAnsi="Garamond" w:cs="Garamond"/>
          <w:color w:val="000000"/>
          <w:sz w:val="20"/>
          <w:szCs w:val="20"/>
          <w:lang w:val="en-GB"/>
        </w:rPr>
      </w:pPr>
      <w:r w:rsidRPr="00C76D82">
        <w:rPr>
          <w:rFonts w:ascii="Garamond" w:hAnsi="Garamond" w:cs="Garamond"/>
          <w:color w:val="000000"/>
          <w:sz w:val="20"/>
          <w:szCs w:val="20"/>
          <w:vertAlign w:val="superscript"/>
          <w:lang w:val="en-GB"/>
        </w:rPr>
        <w:t>1</w:t>
      </w:r>
      <w:r w:rsidRPr="00C76D82">
        <w:rPr>
          <w:rFonts w:ascii="Garamond" w:hAnsi="Garamond" w:cs="Garamond"/>
          <w:color w:val="000000"/>
          <w:sz w:val="20"/>
          <w:szCs w:val="20"/>
          <w:lang w:val="en-GB"/>
        </w:rPr>
        <w:t>Medicinski fakultet, Univerzitet Banja Luka, Bosna i Hercegovina</w:t>
      </w:r>
    </w:p>
    <w:p w:rsidR="00C76D82" w:rsidRPr="00C76D82" w:rsidRDefault="00C76D82" w:rsidP="00C76D82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Garamond" w:hAnsi="Garamond" w:cs="Garamond"/>
          <w:color w:val="000000"/>
          <w:sz w:val="20"/>
          <w:szCs w:val="20"/>
          <w:lang w:val="en-GB"/>
        </w:rPr>
      </w:pPr>
      <w:r w:rsidRPr="00C76D82">
        <w:rPr>
          <w:rFonts w:ascii="Garamond" w:hAnsi="Garamond" w:cs="Garamond"/>
          <w:color w:val="000000"/>
          <w:sz w:val="20"/>
          <w:szCs w:val="20"/>
          <w:vertAlign w:val="superscript"/>
          <w:lang w:val="en-GB"/>
        </w:rPr>
        <w:t>2</w:t>
      </w:r>
      <w:r w:rsidRPr="00C76D82">
        <w:rPr>
          <w:rFonts w:ascii="Garamond" w:hAnsi="Garamond" w:cs="Garamond"/>
          <w:color w:val="000000"/>
          <w:sz w:val="20"/>
          <w:szCs w:val="20"/>
          <w:lang w:val="en-GB"/>
        </w:rPr>
        <w:t xml:space="preserve">Zavod za fizikalnu medicinu i rehabilitaciju “Dr Miroslav Zotović”, Banja Luka, </w:t>
      </w:r>
      <w:r w:rsidRPr="00C76D82">
        <w:rPr>
          <w:rFonts w:ascii="Garamond" w:hAnsi="Garamond" w:cs="Garamond"/>
          <w:color w:val="000000"/>
          <w:sz w:val="20"/>
          <w:szCs w:val="20"/>
          <w:lang w:val="en-GB"/>
        </w:rPr>
        <w:br/>
        <w:t xml:space="preserve"> Bosna i Hercegovina</w:t>
      </w:r>
    </w:p>
    <w:p w:rsidR="00450A83" w:rsidRDefault="00C76D82" w:rsidP="00C76D82">
      <w:pPr>
        <w:pStyle w:val="autorifunkcije"/>
        <w:spacing w:line="240" w:lineRule="auto"/>
        <w:ind w:left="0"/>
      </w:pPr>
      <w:r w:rsidRPr="00C76D82">
        <w:rPr>
          <w:vertAlign w:val="superscript"/>
        </w:rPr>
        <w:t>3</w:t>
      </w:r>
      <w:r w:rsidRPr="00C76D82">
        <w:t>Zavod za medicinu rada i sporta Republike Srpske, Banja Luka, Bosna i Hercegovina</w:t>
      </w:r>
    </w:p>
    <w:p w:rsidR="00450A83" w:rsidRDefault="00450A83" w:rsidP="00450A83">
      <w:pPr>
        <w:tabs>
          <w:tab w:val="left" w:pos="0"/>
          <w:tab w:val="right" w:pos="8940"/>
          <w:tab w:val="right" w:pos="9072"/>
          <w:tab w:val="left" w:pos="1512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Garamond" w:hAnsi="Garamond" w:cs="Garamond"/>
          <w:caps/>
          <w:color w:val="000000"/>
          <w:lang w:val="en-GB"/>
        </w:rPr>
      </w:pPr>
    </w:p>
    <w:p w:rsidR="00C76D82" w:rsidRPr="00C76D82" w:rsidRDefault="00C76D82" w:rsidP="00C76D82">
      <w:pPr>
        <w:tabs>
          <w:tab w:val="left" w:pos="0"/>
          <w:tab w:val="right" w:pos="8940"/>
          <w:tab w:val="right" w:pos="9072"/>
          <w:tab w:val="left" w:pos="15120"/>
        </w:tabs>
        <w:autoSpaceDE w:val="0"/>
        <w:autoSpaceDN w:val="0"/>
        <w:adjustRightInd w:val="0"/>
        <w:spacing w:before="340" w:after="0" w:line="288" w:lineRule="auto"/>
        <w:textAlignment w:val="center"/>
        <w:rPr>
          <w:rFonts w:ascii="Garamond" w:hAnsi="Garamond" w:cs="Garamond"/>
          <w:caps/>
          <w:color w:val="000000"/>
          <w:lang w:val="en-GB"/>
        </w:rPr>
      </w:pPr>
      <w:r w:rsidRPr="00C76D82">
        <w:rPr>
          <w:rFonts w:ascii="Garamond" w:hAnsi="Garamond" w:cs="Garamond"/>
          <w:caps/>
          <w:color w:val="000000"/>
          <w:lang w:val="en-GB"/>
        </w:rPr>
        <w:t>UVODNIČKI ČLANAK</w:t>
      </w:r>
    </w:p>
    <w:p w:rsidR="00450A83" w:rsidRPr="00450A83" w:rsidRDefault="00C76D82" w:rsidP="00C76D82">
      <w:pPr>
        <w:tabs>
          <w:tab w:val="left" w:pos="0"/>
          <w:tab w:val="right" w:pos="8940"/>
          <w:tab w:val="right" w:pos="9072"/>
          <w:tab w:val="left" w:pos="151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Garamond" w:hAnsi="Garamond" w:cs="Garamond"/>
          <w:caps/>
          <w:color w:val="000000"/>
          <w:lang w:val="en-GB"/>
        </w:rPr>
      </w:pPr>
      <w:r w:rsidRPr="00C76D82">
        <w:rPr>
          <w:rFonts w:ascii="Garamond" w:hAnsi="Garamond" w:cs="Garamond"/>
          <w:caps/>
          <w:color w:val="000000"/>
          <w:lang w:val="en-GB"/>
        </w:rPr>
        <w:t>PREGLEDNI ČLANAK</w:t>
      </w:r>
    </w:p>
    <w:p w:rsidR="00450A83" w:rsidRDefault="00450A83" w:rsidP="00450A83">
      <w:pPr>
        <w:spacing w:after="0" w:line="240" w:lineRule="auto"/>
      </w:pPr>
    </w:p>
    <w:p w:rsidR="00450A83" w:rsidRPr="00450A83" w:rsidRDefault="00450A83" w:rsidP="00450A83">
      <w:pPr>
        <w:tabs>
          <w:tab w:val="left" w:pos="0"/>
          <w:tab w:val="center" w:pos="4540"/>
          <w:tab w:val="right" w:pos="8940"/>
          <w:tab w:val="right" w:pos="9072"/>
        </w:tabs>
        <w:autoSpaceDE w:val="0"/>
        <w:autoSpaceDN w:val="0"/>
        <w:adjustRightInd w:val="0"/>
        <w:spacing w:line="288" w:lineRule="auto"/>
        <w:textAlignment w:val="center"/>
        <w:rPr>
          <w:rFonts w:ascii="Garamond" w:hAnsi="Garamond" w:cs="Garamond"/>
          <w:color w:val="000000"/>
          <w:sz w:val="20"/>
          <w:szCs w:val="20"/>
          <w:lang w:val="en-GB"/>
        </w:rPr>
      </w:pPr>
      <w:proofErr w:type="gramStart"/>
      <w:r w:rsidRPr="00450A83">
        <w:rPr>
          <w:rFonts w:ascii="Garamond" w:hAnsi="Garamond" w:cs="Garamond"/>
          <w:color w:val="000000"/>
          <w:sz w:val="20"/>
          <w:szCs w:val="20"/>
          <w:lang w:val="en-GB"/>
        </w:rPr>
        <w:t>doi</w:t>
      </w:r>
      <w:proofErr w:type="gramEnd"/>
      <w:r w:rsidRPr="00450A83">
        <w:rPr>
          <w:rFonts w:ascii="Garamond" w:hAnsi="Garamond" w:cs="Garamond"/>
          <w:color w:val="000000"/>
          <w:sz w:val="20"/>
          <w:szCs w:val="20"/>
          <w:lang w:val="en-GB"/>
        </w:rPr>
        <w:t>: 10.5550/sgia.</w:t>
      </w:r>
      <w:r w:rsidR="00CE479F">
        <w:rPr>
          <w:rFonts w:ascii="Garamond" w:hAnsi="Garamond" w:cs="Garamond"/>
          <w:color w:val="000000"/>
          <w:sz w:val="20"/>
          <w:szCs w:val="20"/>
          <w:lang w:val="en-GB"/>
        </w:rPr>
        <w:t>1309</w:t>
      </w:r>
      <w:r w:rsidRPr="00450A83">
        <w:rPr>
          <w:rFonts w:ascii="Garamond" w:hAnsi="Garamond" w:cs="Garamond"/>
          <w:color w:val="000000"/>
          <w:sz w:val="20"/>
          <w:szCs w:val="20"/>
          <w:lang w:val="en-GB"/>
        </w:rPr>
        <w:t>01.</w:t>
      </w:r>
      <w:r w:rsidR="00C76D82">
        <w:rPr>
          <w:rFonts w:ascii="Garamond" w:hAnsi="Garamond" w:cs="Garamond"/>
          <w:color w:val="000000"/>
          <w:sz w:val="20"/>
          <w:szCs w:val="20"/>
          <w:lang w:val="en-GB"/>
        </w:rPr>
        <w:t>se</w:t>
      </w:r>
      <w:r w:rsidRPr="00450A83">
        <w:rPr>
          <w:rFonts w:ascii="Garamond" w:hAnsi="Garamond" w:cs="Garamond"/>
          <w:color w:val="000000"/>
          <w:sz w:val="20"/>
          <w:szCs w:val="20"/>
          <w:lang w:val="en-GB"/>
        </w:rPr>
        <w:t>.001P</w:t>
      </w:r>
    </w:p>
    <w:p w:rsidR="00450A83" w:rsidRDefault="00C76D82" w:rsidP="00450A83">
      <w:pPr>
        <w:pStyle w:val="Podnaslov"/>
        <w:spacing w:before="0"/>
        <w:ind w:left="1134" w:hanging="1134"/>
      </w:pPr>
      <w:r>
        <w:t>SAŽETAK</w:t>
      </w:r>
    </w:p>
    <w:p w:rsidR="00450A83" w:rsidRDefault="00C76D82" w:rsidP="00C76D82">
      <w:pPr>
        <w:tabs>
          <w:tab w:val="right" w:pos="8280"/>
        </w:tabs>
        <w:autoSpaceDE w:val="0"/>
        <w:autoSpaceDN w:val="0"/>
        <w:adjustRightInd w:val="0"/>
        <w:spacing w:after="0" w:line="288" w:lineRule="auto"/>
        <w:ind w:right="283" w:firstLine="283"/>
        <w:jc w:val="both"/>
        <w:textAlignment w:val="center"/>
      </w:pPr>
      <w:proofErr w:type="gramStart"/>
      <w:r w:rsidRPr="00C76D82">
        <w:rPr>
          <w:rFonts w:ascii="Garamond" w:hAnsi="Garamond" w:cs="Garamond"/>
          <w:color w:val="000000"/>
          <w:lang w:val="en-US"/>
        </w:rPr>
        <w:t>Redovna fizička aktivnost važna je za zdravlje oba pola.</w:t>
      </w:r>
      <w:proofErr w:type="gramEnd"/>
      <w:r w:rsidRPr="00C76D82">
        <w:rPr>
          <w:rFonts w:ascii="Garamond" w:hAnsi="Garamond" w:cs="Garamond"/>
          <w:color w:val="000000"/>
          <w:lang w:val="en-US"/>
        </w:rPr>
        <w:t xml:space="preserve"> </w:t>
      </w:r>
      <w:proofErr w:type="gramStart"/>
      <w:r w:rsidRPr="00C76D82">
        <w:rPr>
          <w:rFonts w:ascii="Garamond" w:hAnsi="Garamond" w:cs="Garamond"/>
          <w:color w:val="000000"/>
          <w:lang w:val="en-US"/>
        </w:rPr>
        <w:t>Međutim, fiziološke, anatomske, psihološke i socijalno-kulturološke specifičnosti ženskog pola zahtijevaju posebne obzire u svim sferama njihovog bavljenja sportom.</w:t>
      </w:r>
      <w:proofErr w:type="gramEnd"/>
      <w:r w:rsidRPr="00C76D82">
        <w:rPr>
          <w:rFonts w:ascii="Garamond" w:hAnsi="Garamond" w:cs="Garamond"/>
          <w:color w:val="000000"/>
          <w:lang w:val="en-US"/>
        </w:rPr>
        <w:t xml:space="preserve"> </w:t>
      </w:r>
      <w:proofErr w:type="gramStart"/>
      <w:r w:rsidRPr="00C76D82">
        <w:rPr>
          <w:rFonts w:ascii="Garamond" w:hAnsi="Garamond" w:cs="Garamond"/>
          <w:color w:val="000000"/>
          <w:lang w:val="en-US"/>
        </w:rPr>
        <w:t>Pubertet donosi razlike među polovima koje su posljedica različitog funkcionisanja polne endokrine osovine.</w:t>
      </w:r>
      <w:proofErr w:type="gramEnd"/>
      <w:r w:rsidRPr="00C76D82">
        <w:rPr>
          <w:rFonts w:ascii="Garamond" w:hAnsi="Garamond" w:cs="Garamond"/>
          <w:color w:val="000000"/>
          <w:lang w:val="en-US"/>
        </w:rPr>
        <w:t xml:space="preserve"> Uprkos identičnim mehanizmima adaptacije </w:t>
      </w:r>
      <w:proofErr w:type="gramStart"/>
      <w:r w:rsidRPr="00C76D82">
        <w:rPr>
          <w:rFonts w:ascii="Garamond" w:hAnsi="Garamond" w:cs="Garamond"/>
          <w:color w:val="000000"/>
          <w:lang w:val="en-US"/>
        </w:rPr>
        <w:t>na</w:t>
      </w:r>
      <w:proofErr w:type="gramEnd"/>
      <w:r w:rsidRPr="00C76D82">
        <w:rPr>
          <w:rFonts w:ascii="Garamond" w:hAnsi="Garamond" w:cs="Garamond"/>
          <w:color w:val="000000"/>
          <w:lang w:val="en-US"/>
        </w:rPr>
        <w:t xml:space="preserve"> fizičku aktivnost polno zrele žene i muškarci imaju nasljeđene anatomske i fiziološke različitosti u tjelesnoj kompoziciji, aerobnom kapacitietu i mišićnoj snazi. Naročito se odnosi </w:t>
      </w:r>
      <w:proofErr w:type="gramStart"/>
      <w:r w:rsidRPr="00C76D82">
        <w:rPr>
          <w:rFonts w:ascii="Garamond" w:hAnsi="Garamond" w:cs="Garamond"/>
          <w:color w:val="000000"/>
          <w:lang w:val="en-US"/>
        </w:rPr>
        <w:t>na</w:t>
      </w:r>
      <w:proofErr w:type="gramEnd"/>
      <w:r w:rsidRPr="00C76D82">
        <w:rPr>
          <w:rFonts w:ascii="Garamond" w:hAnsi="Garamond" w:cs="Garamond"/>
          <w:color w:val="000000"/>
          <w:lang w:val="en-US"/>
        </w:rPr>
        <w:t xml:space="preserve"> mnogo složeniji ženski reproduktivni sistem. Ženski reproduktivni sistem predstavlja funkcionalni dio ljudskog tijela najosjetljiviji </w:t>
      </w:r>
      <w:proofErr w:type="gramStart"/>
      <w:r w:rsidRPr="00C76D82">
        <w:rPr>
          <w:rFonts w:ascii="Garamond" w:hAnsi="Garamond" w:cs="Garamond"/>
          <w:color w:val="000000"/>
          <w:lang w:val="en-US"/>
        </w:rPr>
        <w:t>na</w:t>
      </w:r>
      <w:proofErr w:type="gramEnd"/>
      <w:r w:rsidRPr="00C76D82">
        <w:rPr>
          <w:rFonts w:ascii="Garamond" w:hAnsi="Garamond" w:cs="Garamond"/>
          <w:color w:val="000000"/>
          <w:lang w:val="en-US"/>
        </w:rPr>
        <w:t xml:space="preserve"> stres izazvan teškim fizičkim naporom. Najčešći poremećaji čiji rizik se znatno povećava kod fizički aktivnih žena su poremećaj ishrane, narušen menstrualni ciklus, infertilitet, stres frakture, rupture prednjeg ukrštenog ligamenta </w:t>
      </w:r>
      <w:proofErr w:type="gramStart"/>
      <w:r w:rsidRPr="00C76D82">
        <w:rPr>
          <w:rFonts w:ascii="Garamond" w:hAnsi="Garamond" w:cs="Garamond"/>
          <w:color w:val="000000"/>
          <w:lang w:val="en-US"/>
        </w:rPr>
        <w:t>ili</w:t>
      </w:r>
      <w:proofErr w:type="gramEnd"/>
      <w:r w:rsidRPr="00C76D82">
        <w:rPr>
          <w:rFonts w:ascii="Garamond" w:hAnsi="Garamond" w:cs="Garamond"/>
          <w:color w:val="000000"/>
          <w:lang w:val="en-US"/>
        </w:rPr>
        <w:t xml:space="preserve"> čak smrt. </w:t>
      </w:r>
      <w:proofErr w:type="gramStart"/>
      <w:r w:rsidRPr="00C76D82">
        <w:rPr>
          <w:rFonts w:ascii="Garamond" w:hAnsi="Garamond" w:cs="Garamond"/>
          <w:color w:val="000000"/>
          <w:lang w:val="en-US"/>
        </w:rPr>
        <w:t>Uglavnom su posljedica grubih grešaka i neznanja.</w:t>
      </w:r>
      <w:proofErr w:type="gramEnd"/>
      <w:r w:rsidRPr="00C76D82">
        <w:rPr>
          <w:rFonts w:ascii="Garamond" w:hAnsi="Garamond" w:cs="Garamond"/>
          <w:color w:val="000000"/>
          <w:lang w:val="en-US"/>
        </w:rPr>
        <w:t xml:space="preserve"> </w:t>
      </w:r>
      <w:proofErr w:type="gramStart"/>
      <w:r w:rsidRPr="00C76D82">
        <w:rPr>
          <w:rFonts w:ascii="Garamond" w:hAnsi="Garamond" w:cs="Garamond"/>
          <w:color w:val="000000"/>
          <w:lang w:val="en-US"/>
        </w:rPr>
        <w:t>Srećom, dobrom prevencijom uglavnom ih je moguće spriječiti</w:t>
      </w:r>
      <w:r w:rsidR="00450A83">
        <w:t>.</w:t>
      </w:r>
      <w:proofErr w:type="gramEnd"/>
    </w:p>
    <w:p w:rsidR="00450A83" w:rsidRDefault="00364A18" w:rsidP="00C76D82">
      <w:pPr>
        <w:pStyle w:val="Tekst"/>
        <w:tabs>
          <w:tab w:val="right" w:pos="8280"/>
        </w:tabs>
        <w:spacing w:before="227"/>
        <w:ind w:left="567" w:hanging="567"/>
        <w:jc w:val="left"/>
      </w:pPr>
      <w:r>
        <w:rPr>
          <w:b/>
          <w:bCs/>
        </w:rPr>
        <w:t>Ključne riječi</w:t>
      </w:r>
      <w:r w:rsidR="00450A83">
        <w:rPr>
          <w:b/>
          <w:bCs/>
        </w:rPr>
        <w:t>:</w:t>
      </w:r>
      <w:r w:rsidR="00450A83">
        <w:t xml:space="preserve"> </w:t>
      </w:r>
      <w:r w:rsidR="00C76D82" w:rsidRPr="00C76D82">
        <w:t>fizički napor, ishrana, menstrualni ciklus, stres fraktire, ženska sportska trijada</w:t>
      </w:r>
      <w:r w:rsidR="00450A83">
        <w:t>.</w:t>
      </w:r>
    </w:p>
    <w:p w:rsidR="00450A83" w:rsidRDefault="00450A83" w:rsidP="00450A83">
      <w:pPr>
        <w:spacing w:after="0" w:line="240" w:lineRule="auto"/>
      </w:pPr>
    </w:p>
    <w:p w:rsidR="00450A83" w:rsidRDefault="00C76D82" w:rsidP="00450A83">
      <w:pPr>
        <w:pStyle w:val="BasicParagraph"/>
        <w:spacing w:before="340" w:after="170"/>
        <w:ind w:firstLine="0"/>
        <w:rPr>
          <w:rFonts w:ascii="Square721 BT" w:hAnsi="Square721 BT" w:cs="Square721 BT"/>
          <w:sz w:val="28"/>
          <w:szCs w:val="28"/>
          <w:lang w:val="en-US"/>
        </w:rPr>
      </w:pPr>
      <w:r>
        <w:rPr>
          <w:rFonts w:ascii="Square721 BT" w:hAnsi="Square721 BT" w:cs="Square721 BT"/>
          <w:caps/>
          <w:sz w:val="28"/>
          <w:szCs w:val="28"/>
          <w:lang w:val="en-US"/>
        </w:rPr>
        <w:t>LITERATURA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Barnekow-Bergkvist, M., Hadberg, G., Pettersson, U., &amp; Lorentzon, R. (2005). Relationships between physical activity and physical capacity in adolescent females and bone mass in adulthood. </w:t>
      </w:r>
      <w:r>
        <w:rPr>
          <w:rFonts w:ascii="Garamond" w:hAnsi="Garamond" w:cs="Garamond"/>
          <w:i/>
          <w:iCs/>
          <w:sz w:val="22"/>
          <w:szCs w:val="22"/>
        </w:rPr>
        <w:t>Scand J Med Sci Sports</w:t>
      </w:r>
      <w:r>
        <w:rPr>
          <w:rFonts w:ascii="Garamond" w:hAnsi="Garamond" w:cs="Garamond"/>
          <w:sz w:val="22"/>
          <w:szCs w:val="22"/>
        </w:rPr>
        <w:t>, 14, 1–9.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Barrack, M. T., Ackerman, K. E., &amp; Gibbs J. C. (2013). Update on the female athlete triad. </w:t>
      </w:r>
      <w:r>
        <w:rPr>
          <w:rFonts w:ascii="Garamond" w:hAnsi="Garamond" w:cs="Garamond"/>
          <w:i/>
          <w:iCs/>
          <w:sz w:val="22"/>
          <w:szCs w:val="22"/>
        </w:rPr>
        <w:t>Curr Rev Musculoskelet  Med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6</w:t>
      </w:r>
      <w:r>
        <w:rPr>
          <w:rFonts w:ascii="Garamond" w:hAnsi="Garamond" w:cs="Garamond"/>
          <w:sz w:val="22"/>
          <w:szCs w:val="22"/>
        </w:rPr>
        <w:t xml:space="preserve">(2), 195–204. doi: 10.1007/s12178-013-9168-9; PMid: 23613226 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Bjorntorp, P. (1986). Fat cells and obesity. In K. D. Bronwell (Ed.), </w:t>
      </w:r>
      <w:r>
        <w:rPr>
          <w:rFonts w:ascii="Garamond" w:hAnsi="Garamond" w:cs="Garamond"/>
          <w:i/>
          <w:iCs/>
          <w:sz w:val="22"/>
          <w:szCs w:val="22"/>
        </w:rPr>
        <w:t>Handbook of eating disorders</w:t>
      </w:r>
      <w:r>
        <w:rPr>
          <w:rFonts w:ascii="Garamond" w:hAnsi="Garamond" w:cs="Garamond"/>
          <w:sz w:val="22"/>
          <w:szCs w:val="22"/>
        </w:rPr>
        <w:t xml:space="preserve"> (pp. 88–98). New York, NY: Basic Books.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Catherine, M., Gordon, M. D. (2010). Functional Hypothalamic Amenorrhea. </w:t>
      </w:r>
      <w:r>
        <w:rPr>
          <w:rFonts w:ascii="Garamond" w:hAnsi="Garamond" w:cs="Garamond"/>
          <w:i/>
          <w:iCs/>
          <w:sz w:val="22"/>
          <w:szCs w:val="22"/>
        </w:rPr>
        <w:t>N Engl J Med</w:t>
      </w:r>
      <w:r>
        <w:rPr>
          <w:rFonts w:ascii="Garamond" w:hAnsi="Garamond" w:cs="Garamond"/>
          <w:sz w:val="22"/>
          <w:szCs w:val="22"/>
        </w:rPr>
        <w:t>, 363, 365–371.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Coelho, G. M., de Farias, M. L., de Mendonça, L. M., de Mello, D. B., Lanzillotti, H. S., Ribeiro, B. G., Soares Ede, A. (2013). The prevalence of disordered eating and possible health consequences in adolescent female tennis players from Rio de Janeiro, Brazil. </w:t>
      </w:r>
      <w:r>
        <w:rPr>
          <w:rFonts w:ascii="Garamond" w:hAnsi="Garamond" w:cs="Garamond"/>
          <w:i/>
          <w:iCs/>
          <w:sz w:val="22"/>
          <w:szCs w:val="22"/>
        </w:rPr>
        <w:t>Appetite</w:t>
      </w:r>
      <w:r>
        <w:rPr>
          <w:rFonts w:ascii="Garamond" w:hAnsi="Garamond" w:cs="Garamond"/>
          <w:sz w:val="22"/>
          <w:szCs w:val="22"/>
        </w:rPr>
        <w:t>, 64, 39–47. doi: 10.1016/j.appet.2013.01.001; PMid: 23318655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Deimel, J. F., &amp; Dunlap, B. J. (2012). The female athlete triad. </w:t>
      </w:r>
      <w:r>
        <w:rPr>
          <w:rFonts w:ascii="Garamond" w:hAnsi="Garamond" w:cs="Garamond"/>
          <w:i/>
          <w:iCs/>
          <w:sz w:val="22"/>
          <w:szCs w:val="22"/>
        </w:rPr>
        <w:t>Clin Sports Med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31</w:t>
      </w:r>
      <w:r>
        <w:rPr>
          <w:rFonts w:ascii="Garamond" w:hAnsi="Garamond" w:cs="Garamond"/>
          <w:sz w:val="22"/>
          <w:szCs w:val="22"/>
        </w:rPr>
        <w:t>(2), 247–254. doi: 10.1016/j.csm.2011.09.007; PMid: 22341014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Diagnostic and statistical manual of mental disorders, DSM-IV (1994). In: </w:t>
      </w:r>
      <w:r>
        <w:rPr>
          <w:rFonts w:ascii="Garamond" w:hAnsi="Garamond" w:cs="Garamond"/>
          <w:i/>
          <w:iCs/>
          <w:sz w:val="22"/>
          <w:szCs w:val="22"/>
        </w:rPr>
        <w:t>Diagnostic and statisticl manual of mental disorders, DSM-IV</w:t>
      </w:r>
      <w:r>
        <w:rPr>
          <w:rFonts w:ascii="Garamond" w:hAnsi="Garamond" w:cs="Garamond"/>
          <w:sz w:val="22"/>
          <w:szCs w:val="22"/>
        </w:rPr>
        <w:t>. American Psychiatric Association (1st ed) Washington D.C.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Drinkwater, B., Loucks, A., Sherman, R. T., Sundgot-Borgen, J., Thompson, R. A. (2005). </w:t>
      </w:r>
      <w:r>
        <w:rPr>
          <w:rFonts w:ascii="Garamond" w:hAnsi="Garamond" w:cs="Garamond"/>
          <w:i/>
          <w:iCs/>
          <w:sz w:val="22"/>
          <w:szCs w:val="22"/>
        </w:rPr>
        <w:t>IOC</w:t>
      </w: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i/>
          <w:iCs/>
          <w:sz w:val="22"/>
          <w:szCs w:val="22"/>
        </w:rPr>
        <w:t>Medical Comissission Working Group: Position Stand on The Female Athlete Triad</w:t>
      </w:r>
      <w:r>
        <w:rPr>
          <w:rFonts w:ascii="Garamond" w:hAnsi="Garamond" w:cs="Garamond"/>
          <w:sz w:val="22"/>
          <w:szCs w:val="22"/>
        </w:rPr>
        <w:t xml:space="preserve">. Retrived from httc://www.olympic.ogr. 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lastRenderedPageBreak/>
        <w:t xml:space="preserve">Ducher, G., Eser, P., Hill, B,. &amp; Bass, S. (2009). History of amenorrhea compromises some of the exercise-induced benefits in cortical and trabecular bone in the peripheral and axial skeleton: a study in retired elite gymnasts. </w:t>
      </w:r>
      <w:r>
        <w:rPr>
          <w:rFonts w:ascii="Garamond" w:hAnsi="Garamond" w:cs="Garamond"/>
          <w:i/>
          <w:iCs/>
          <w:sz w:val="22"/>
          <w:szCs w:val="22"/>
        </w:rPr>
        <w:t>Bone</w:t>
      </w:r>
      <w:r>
        <w:rPr>
          <w:rFonts w:ascii="Garamond" w:hAnsi="Garamond" w:cs="Garamond"/>
          <w:sz w:val="22"/>
          <w:szCs w:val="22"/>
        </w:rPr>
        <w:t>, 45, 760–767. doi: 10.1016/j.bone.2009.06.021; PMid: 19573632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Elford, K. J., &amp; Spence, J. H. (2002). The forgotten female: Pediatric and adolescent gynecological concerns and their reproductive consequences. </w:t>
      </w:r>
      <w:r>
        <w:rPr>
          <w:rFonts w:ascii="Garamond" w:hAnsi="Garamond" w:cs="Garamond"/>
          <w:i/>
          <w:iCs/>
          <w:sz w:val="22"/>
          <w:szCs w:val="22"/>
        </w:rPr>
        <w:t>J Pediatr Adolesc Gynecol</w:t>
      </w:r>
      <w:r>
        <w:rPr>
          <w:rFonts w:ascii="Garamond" w:hAnsi="Garamond" w:cs="Garamond"/>
          <w:sz w:val="22"/>
          <w:szCs w:val="22"/>
        </w:rPr>
        <w:t>, 15, 65–77. doi: 10.1016/S1083-3188(01)00146-2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Goldstein, M. A., Dechant, E. J., &amp; Beresin, E. V. (2011). Eating disorders. </w:t>
      </w:r>
      <w:r>
        <w:rPr>
          <w:rFonts w:ascii="Garamond" w:hAnsi="Garamond" w:cs="Garamond"/>
          <w:i/>
          <w:iCs/>
          <w:sz w:val="22"/>
          <w:szCs w:val="22"/>
        </w:rPr>
        <w:t>Pediatr Rev.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32</w:t>
      </w:r>
      <w:r>
        <w:rPr>
          <w:rFonts w:ascii="Garamond" w:hAnsi="Garamond" w:cs="Garamond"/>
          <w:sz w:val="22"/>
          <w:szCs w:val="22"/>
        </w:rPr>
        <w:t>(12), 508–521. doi: 10.1542/pir.32-12-508; PMid: 22135421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Greydanaus, D., &amp; Patel, D. (2002). The female athlete before and beyond puberty. </w:t>
      </w:r>
      <w:r>
        <w:rPr>
          <w:rFonts w:ascii="Garamond" w:hAnsi="Garamond" w:cs="Garamond"/>
          <w:i/>
          <w:iCs/>
          <w:sz w:val="22"/>
          <w:szCs w:val="22"/>
        </w:rPr>
        <w:t>Pediatr Clin N Am.</w:t>
      </w:r>
      <w:r>
        <w:rPr>
          <w:rFonts w:ascii="Garamond" w:hAnsi="Garamond" w:cs="Garamond"/>
          <w:sz w:val="22"/>
          <w:szCs w:val="22"/>
        </w:rPr>
        <w:t>, 49, 553–580. doi: 10.1016/S0031-3955(02)00005-6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Hagen T. (2005). Sports medicine and the adolescent female. </w:t>
      </w:r>
      <w:r>
        <w:rPr>
          <w:rFonts w:ascii="Garamond" w:hAnsi="Garamond" w:cs="Garamond"/>
          <w:i/>
          <w:iCs/>
          <w:sz w:val="22"/>
          <w:szCs w:val="22"/>
        </w:rPr>
        <w:t>J Pediatr Adolesc Gynecol</w:t>
      </w:r>
      <w:r>
        <w:rPr>
          <w:rFonts w:ascii="Garamond" w:hAnsi="Garamond" w:cs="Garamond"/>
          <w:sz w:val="22"/>
          <w:szCs w:val="22"/>
        </w:rPr>
        <w:t>, 18, 9–15. doi: 10.1016/j.jpag.2004.11.005; PMid: 15749579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Ireland, M., &amp; Ott, S. (2004). Special conserns of the female athlete. </w:t>
      </w:r>
      <w:r>
        <w:rPr>
          <w:rFonts w:ascii="Garamond" w:hAnsi="Garamond" w:cs="Garamond"/>
          <w:i/>
          <w:iCs/>
          <w:sz w:val="22"/>
          <w:szCs w:val="22"/>
        </w:rPr>
        <w:t>Clin Sports Med</w:t>
      </w:r>
      <w:r>
        <w:rPr>
          <w:rFonts w:ascii="Garamond" w:hAnsi="Garamond" w:cs="Garamond"/>
          <w:sz w:val="22"/>
          <w:szCs w:val="22"/>
        </w:rPr>
        <w:t>, 23, 281–289. doi: 10.1016/j.csm.2004.04.003; PMid: 15183572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Jurimae, J., &amp; Jurimae, T. (2008). Bone Metabolism In Young Female. </w:t>
      </w:r>
      <w:r>
        <w:rPr>
          <w:rFonts w:ascii="Garamond" w:hAnsi="Garamond" w:cs="Garamond"/>
          <w:i/>
          <w:iCs/>
          <w:sz w:val="22"/>
          <w:szCs w:val="22"/>
        </w:rPr>
        <w:t>Kinesiology</w:t>
      </w:r>
      <w:r>
        <w:rPr>
          <w:rFonts w:ascii="Garamond" w:hAnsi="Garamond" w:cs="Garamond"/>
          <w:sz w:val="22"/>
          <w:szCs w:val="22"/>
        </w:rPr>
        <w:t>, 1, 39–49.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Kenney, L. W., Wilmore, H. J., &amp; Costil, L. D. (2012). </w:t>
      </w:r>
      <w:r>
        <w:rPr>
          <w:rFonts w:ascii="Garamond" w:hAnsi="Garamond" w:cs="Garamond"/>
          <w:i/>
          <w:iCs/>
          <w:sz w:val="22"/>
          <w:szCs w:val="22"/>
        </w:rPr>
        <w:t>Physical Activity for Health and Fitness</w:t>
      </w:r>
      <w:r>
        <w:rPr>
          <w:rFonts w:ascii="Garamond" w:hAnsi="Garamond" w:cs="Garamond"/>
          <w:sz w:val="22"/>
          <w:szCs w:val="22"/>
        </w:rPr>
        <w:t>. In: Physiology of sport and exercise. 5th ed. Champaign. IL: Human Kinetics.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Mitchell, N., &amp; Ennis, L. A. (2007). </w:t>
      </w:r>
      <w:r>
        <w:rPr>
          <w:rFonts w:ascii="Garamond" w:hAnsi="Garamond" w:cs="Garamond"/>
          <w:i/>
          <w:iCs/>
          <w:sz w:val="22"/>
          <w:szCs w:val="22"/>
        </w:rPr>
        <w:t>Encyclopedia of Title IX and Sports</w:t>
      </w:r>
      <w:r>
        <w:rPr>
          <w:rFonts w:ascii="Garamond" w:hAnsi="Garamond" w:cs="Garamond"/>
          <w:sz w:val="22"/>
          <w:szCs w:val="22"/>
        </w:rPr>
        <w:t>. Westport: Greenwood Press.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Myer, G., &amp; Ford, K. (2004). Methodological approach and rationale for training to prevent anterior cruciate ligament injuries in female athlete. </w:t>
      </w:r>
      <w:r>
        <w:rPr>
          <w:rFonts w:ascii="Garamond" w:hAnsi="Garamond" w:cs="Garamond"/>
          <w:i/>
          <w:iCs/>
          <w:sz w:val="22"/>
          <w:szCs w:val="22"/>
        </w:rPr>
        <w:t>Scand J Sci Sports</w:t>
      </w:r>
      <w:r>
        <w:rPr>
          <w:rFonts w:ascii="Garamond" w:hAnsi="Garamond" w:cs="Garamond"/>
          <w:sz w:val="22"/>
          <w:szCs w:val="22"/>
        </w:rPr>
        <w:t>, 14, 275–285. doi: 10.1111/j.1600-0838.2004.00410.x; PMid: 15387801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Nativ, A., Loucks, A., Manore, M., Sanborn, C., Sundgot-Borgen, J., &amp; Warren, M. (2007). ACSM Position Stand; The Female Athlete Triad. </w:t>
      </w:r>
      <w:r>
        <w:rPr>
          <w:rFonts w:ascii="Garamond" w:hAnsi="Garamond" w:cs="Garamond"/>
          <w:i/>
          <w:iCs/>
          <w:sz w:val="22"/>
          <w:szCs w:val="22"/>
        </w:rPr>
        <w:t>Med Sci Sports Exerc</w:t>
      </w:r>
      <w:r>
        <w:rPr>
          <w:rFonts w:ascii="Garamond" w:hAnsi="Garamond" w:cs="Garamond"/>
          <w:sz w:val="22"/>
          <w:szCs w:val="22"/>
        </w:rPr>
        <w:t>, 39, 1867–1882. doi: 10.1249/mss.0b013e318149f111; PMid: 17909417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Otis, C. L., Drinkwater, B., Johnson, M., Loucks, A., &amp; Wilmore, J. (1997). American College of Sports Medicine: Position stand; The female athlete triad. </w:t>
      </w:r>
      <w:r>
        <w:rPr>
          <w:rFonts w:ascii="Garamond" w:hAnsi="Garamond" w:cs="Garamond"/>
          <w:i/>
          <w:iCs/>
          <w:sz w:val="22"/>
          <w:szCs w:val="22"/>
        </w:rPr>
        <w:t>Med Sci Sports Exerc</w:t>
      </w:r>
      <w:r>
        <w:rPr>
          <w:rFonts w:ascii="Garamond" w:hAnsi="Garamond" w:cs="Garamond"/>
          <w:sz w:val="22"/>
          <w:szCs w:val="22"/>
        </w:rPr>
        <w:t>, 29, 5–16. doi: http://dx.doi.org/10.1097/00005768-199705000-00037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Pfister, G. (2000). Women and the Olympic Games. In B. L. Drinkwater (Ed.), </w:t>
      </w:r>
      <w:r>
        <w:rPr>
          <w:rFonts w:ascii="Garamond" w:hAnsi="Garamond" w:cs="Garamond"/>
          <w:i/>
          <w:iCs/>
          <w:sz w:val="22"/>
          <w:szCs w:val="22"/>
        </w:rPr>
        <w:t>Women in sport</w:t>
      </w:r>
      <w:r>
        <w:rPr>
          <w:rFonts w:ascii="Garamond" w:hAnsi="Garamond" w:cs="Garamond"/>
          <w:sz w:val="22"/>
          <w:szCs w:val="22"/>
        </w:rPr>
        <w:t>. Oxford, GB: Blackwell Science Ltd. doi: 10.1002/9780470757093.ch1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Ponorac, N. (2008). </w:t>
      </w:r>
      <w:r>
        <w:rPr>
          <w:rFonts w:ascii="Garamond" w:hAnsi="Garamond" w:cs="Garamond"/>
          <w:i/>
          <w:iCs/>
          <w:sz w:val="22"/>
          <w:szCs w:val="22"/>
        </w:rPr>
        <w:t>Sport kao rizik za nastanak poremećaja ishrane, menstrualnog ciklusa i metabolizma kosti</w:t>
      </w:r>
      <w:r>
        <w:rPr>
          <w:rFonts w:ascii="Garamond" w:hAnsi="Garamond" w:cs="Garamond"/>
          <w:sz w:val="22"/>
          <w:szCs w:val="22"/>
        </w:rPr>
        <w:t xml:space="preserve"> [Sport as a risk of eating disorders, menstrual cycle and bone metabolism]. Unpublished doctoral dissertation, University of Banja Luka, Medical Faculty. 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Ponorac, N., Rašeta, N., Radovanović, D., Matavulj, A., Popadić-Gaćeša, J. (2011). Bone metabolism markers in sportswomen with menstrual cycle dysfunctions. </w:t>
      </w:r>
      <w:r>
        <w:rPr>
          <w:rFonts w:ascii="Garamond" w:hAnsi="Garamond" w:cs="Garamond"/>
          <w:i/>
          <w:iCs/>
          <w:sz w:val="22"/>
          <w:szCs w:val="22"/>
        </w:rPr>
        <w:t>J Med Biochem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30</w:t>
      </w:r>
      <w:r>
        <w:rPr>
          <w:rFonts w:ascii="Garamond" w:hAnsi="Garamond" w:cs="Garamond"/>
          <w:sz w:val="22"/>
          <w:szCs w:val="22"/>
        </w:rPr>
        <w:t>(2), 1–5.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Sabatini, S. (2001). The female athlete triad. </w:t>
      </w:r>
      <w:r>
        <w:rPr>
          <w:rFonts w:ascii="Garamond" w:hAnsi="Garamond" w:cs="Garamond"/>
          <w:i/>
          <w:iCs/>
          <w:sz w:val="22"/>
          <w:szCs w:val="22"/>
        </w:rPr>
        <w:t>Am J Med Sci</w:t>
      </w:r>
      <w:r>
        <w:rPr>
          <w:rFonts w:ascii="Garamond" w:hAnsi="Garamond" w:cs="Garamond"/>
          <w:sz w:val="22"/>
          <w:szCs w:val="22"/>
        </w:rPr>
        <w:t>, 322, 193–195. doi: 10.1097/00000441-200110000-00007; PMid: 11678514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Sundgot-Borgen, J., &amp; Larsen, J. (1993). Pathogenic weight-control methods and self-reported eatig disorders in female elite athletes and controls. </w:t>
      </w:r>
      <w:r>
        <w:rPr>
          <w:rFonts w:ascii="Garamond" w:hAnsi="Garamond" w:cs="Garamond"/>
          <w:i/>
          <w:iCs/>
          <w:sz w:val="22"/>
          <w:szCs w:val="22"/>
        </w:rPr>
        <w:t>Scand J Med Sci Sports</w:t>
      </w:r>
      <w:r>
        <w:rPr>
          <w:rFonts w:ascii="Garamond" w:hAnsi="Garamond" w:cs="Garamond"/>
          <w:sz w:val="22"/>
          <w:szCs w:val="22"/>
        </w:rPr>
        <w:t>, 3, 150–155. doi: 10.1111/j.1600-0838.1993.tb00379.x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Sundgot-Borgen, J., &amp; Torstveit, M. (2004). Prevalence of eatin disorders in elite athletes is higher than in the general population. </w:t>
      </w:r>
      <w:r>
        <w:rPr>
          <w:rFonts w:ascii="Garamond" w:hAnsi="Garamond" w:cs="Garamond"/>
          <w:i/>
          <w:iCs/>
          <w:sz w:val="22"/>
          <w:szCs w:val="22"/>
        </w:rPr>
        <w:t>Clin J Sport Med</w:t>
      </w:r>
      <w:r>
        <w:rPr>
          <w:rFonts w:ascii="Garamond" w:hAnsi="Garamond" w:cs="Garamond"/>
          <w:sz w:val="22"/>
          <w:szCs w:val="22"/>
        </w:rPr>
        <w:t>, 14, 25–32. doi: 10.1097/00042752-200401000-00005; PMid: 14712163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Thein-Nissenbaum, J. (2013). Long term consequences of the female athlete triad. </w:t>
      </w:r>
      <w:r>
        <w:rPr>
          <w:rFonts w:ascii="Garamond" w:hAnsi="Garamond" w:cs="Garamond"/>
          <w:i/>
          <w:iCs/>
          <w:sz w:val="22"/>
          <w:szCs w:val="22"/>
        </w:rPr>
        <w:t>Maturitas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75</w:t>
      </w:r>
      <w:r>
        <w:rPr>
          <w:rFonts w:ascii="Garamond" w:hAnsi="Garamond" w:cs="Garamond"/>
          <w:sz w:val="22"/>
          <w:szCs w:val="22"/>
        </w:rPr>
        <w:t>(2), 107–112. doi: 10.1016/j.maturitas.2013.02.010; PMid: 23541905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Thomson, R., &amp; Sherman, T. (1999). Good Athlete traits and characteristice of anorexia nervosa: Are they similar? </w:t>
      </w:r>
      <w:r>
        <w:rPr>
          <w:rFonts w:ascii="Garamond" w:hAnsi="Garamond" w:cs="Garamond"/>
          <w:i/>
          <w:iCs/>
          <w:sz w:val="22"/>
          <w:szCs w:val="22"/>
        </w:rPr>
        <w:t>Eating Disorders</w:t>
      </w:r>
      <w:r>
        <w:rPr>
          <w:rFonts w:ascii="Garamond" w:hAnsi="Garamond" w:cs="Garamond"/>
          <w:sz w:val="22"/>
          <w:szCs w:val="22"/>
        </w:rPr>
        <w:t>, 7, 181–190. doi: 10.1080/10640269908249284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U.S. Department of Health and Human Services. (1996). </w:t>
      </w:r>
      <w:r>
        <w:rPr>
          <w:rFonts w:ascii="Garamond" w:hAnsi="Garamond" w:cs="Garamond"/>
          <w:i/>
          <w:iCs/>
          <w:sz w:val="22"/>
          <w:szCs w:val="22"/>
        </w:rPr>
        <w:t>Physical activity and health: A report of the Surgeon General</w:t>
      </w:r>
      <w:r>
        <w:rPr>
          <w:rFonts w:ascii="Garamond" w:hAnsi="Garamond" w:cs="Garamond"/>
          <w:sz w:val="22"/>
          <w:szCs w:val="22"/>
        </w:rPr>
        <w:t>. Atlanta, GA: U.S. Department of Health and Human Services, Centers for Disease Control and Prevention, National Center for Chronic Disease Prevention and Health Promotion.</w:t>
      </w:r>
    </w:p>
    <w:p w:rsidR="00450A83" w:rsidRDefault="00450A83" w:rsidP="00450A83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Yeager, K., Agostini, A., Nattiv, A., &amp; Drinkwater, B. (1993). The female athlete triad: disordered eating, amenorrhea, osteoporosis. </w:t>
      </w:r>
      <w:r>
        <w:rPr>
          <w:rFonts w:ascii="Garamond" w:hAnsi="Garamond" w:cs="Garamond"/>
          <w:i/>
          <w:iCs/>
          <w:sz w:val="22"/>
          <w:szCs w:val="22"/>
        </w:rPr>
        <w:t>Med Sci Sports Exerc</w:t>
      </w:r>
      <w:r>
        <w:rPr>
          <w:rFonts w:ascii="Garamond" w:hAnsi="Garamond" w:cs="Garamond"/>
          <w:sz w:val="22"/>
          <w:szCs w:val="22"/>
        </w:rPr>
        <w:t>, 25, 775–777. doi: 10.1249/00005768-199307000-00003; PMid:8350697</w:t>
      </w:r>
    </w:p>
    <w:p w:rsidR="00450A83" w:rsidRDefault="00450A83">
      <w:pPr>
        <w:rPr>
          <w:rFonts w:ascii="Garamond" w:hAnsi="Garamond" w:cs="Garamond"/>
          <w:color w:val="000000"/>
          <w:lang w:val="sl-SI"/>
        </w:rPr>
      </w:pPr>
      <w:r>
        <w:rPr>
          <w:rFonts w:ascii="Garamond" w:hAnsi="Garamond" w:cs="Garamond"/>
        </w:rPr>
        <w:br w:type="page"/>
      </w:r>
    </w:p>
    <w:p w:rsidR="00EB2AE8" w:rsidRPr="00FD0E26" w:rsidRDefault="00FD0E26" w:rsidP="00FD0E26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before="454" w:after="227" w:line="288" w:lineRule="auto"/>
        <w:textAlignment w:val="center"/>
        <w:rPr>
          <w:rFonts w:ascii="Times New Roman" w:hAnsi="Times New Roman" w:cs="Times New Roman"/>
          <w:caps/>
          <w:color w:val="000000"/>
          <w:sz w:val="32"/>
          <w:szCs w:val="32"/>
          <w:lang w:val="en-GB"/>
        </w:rPr>
      </w:pPr>
      <w:r w:rsidRPr="00FD0E26">
        <w:rPr>
          <w:rFonts w:ascii="Times New Roman" w:hAnsi="Times New Roman" w:cs="Times New Roman"/>
          <w:caps/>
          <w:color w:val="000000"/>
          <w:sz w:val="32"/>
          <w:szCs w:val="32"/>
          <w:lang w:val="en-GB"/>
        </w:rPr>
        <w:lastRenderedPageBreak/>
        <w:t>SPORTSKI IDOLI SPORTISTA SENIOROSKOG UZRASTA</w:t>
      </w:r>
    </w:p>
    <w:p w:rsidR="00EB2AE8" w:rsidRDefault="00EB2AE8" w:rsidP="00EB2AE8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Square721 Cn BT" w:hAnsi="Square721 Cn BT" w:cs="Square721 Cn BT"/>
          <w:caps/>
          <w:color w:val="000000"/>
          <w:sz w:val="32"/>
          <w:szCs w:val="32"/>
          <w:lang w:val="en-GB"/>
        </w:rPr>
      </w:pPr>
    </w:p>
    <w:p w:rsidR="00EB2AE8" w:rsidRDefault="00EB2AE8" w:rsidP="00EB2AE8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Garamond" w:hAnsi="Garamond" w:cs="Garamond"/>
          <w:bCs/>
          <w:color w:val="000000"/>
          <w:vertAlign w:val="superscript"/>
          <w:lang w:val="en-GB"/>
        </w:rPr>
      </w:pPr>
      <w:r w:rsidRPr="00EB2AE8">
        <w:rPr>
          <w:rFonts w:ascii="Garamond" w:hAnsi="Garamond" w:cs="Garamond"/>
          <w:bCs/>
          <w:color w:val="000000"/>
          <w:lang w:val="en-GB"/>
        </w:rPr>
        <w:t>Jelena Ilić</w:t>
      </w:r>
      <w:r w:rsidRPr="00EB2AE8">
        <w:rPr>
          <w:rFonts w:ascii="Garamond" w:hAnsi="Garamond" w:cs="Garamond"/>
          <w:bCs/>
          <w:color w:val="000000"/>
          <w:vertAlign w:val="superscript"/>
          <w:lang w:val="en-GB"/>
        </w:rPr>
        <w:t>1</w:t>
      </w:r>
    </w:p>
    <w:p w:rsidR="00EB2AE8" w:rsidRDefault="00EB2AE8" w:rsidP="00EB2AE8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Garamond" w:hAnsi="Garamond" w:cs="Garamond"/>
          <w:bCs/>
          <w:color w:val="000000"/>
          <w:vertAlign w:val="superscript"/>
          <w:lang w:val="en-GB"/>
        </w:rPr>
      </w:pPr>
    </w:p>
    <w:p w:rsidR="00EB2AE8" w:rsidRDefault="00FD0E26" w:rsidP="00FD0E26">
      <w:pPr>
        <w:pStyle w:val="autorifunkcije"/>
        <w:ind w:left="0"/>
      </w:pPr>
      <w:r w:rsidRPr="00FD0E26">
        <w:rPr>
          <w:vertAlign w:val="superscript"/>
        </w:rPr>
        <w:t>1</w:t>
      </w:r>
      <w:r>
        <w:t>Republički zavod za sport, Beograd, Srbija</w:t>
      </w:r>
    </w:p>
    <w:p w:rsidR="00EB2AE8" w:rsidRDefault="00EB2AE8" w:rsidP="00EB2AE8">
      <w:pPr>
        <w:tabs>
          <w:tab w:val="left" w:pos="0"/>
          <w:tab w:val="right" w:pos="8940"/>
          <w:tab w:val="right" w:pos="9072"/>
          <w:tab w:val="left" w:pos="1512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Garamond" w:hAnsi="Garamond" w:cs="Garamond"/>
          <w:caps/>
          <w:color w:val="000000"/>
          <w:lang w:val="en-GB"/>
        </w:rPr>
      </w:pPr>
    </w:p>
    <w:p w:rsidR="00EB2AE8" w:rsidRPr="00EB2AE8" w:rsidRDefault="00FD0E26" w:rsidP="00EB2AE8">
      <w:pPr>
        <w:tabs>
          <w:tab w:val="left" w:pos="0"/>
          <w:tab w:val="right" w:pos="8940"/>
          <w:tab w:val="right" w:pos="9072"/>
          <w:tab w:val="left" w:pos="1512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Garamond" w:hAnsi="Garamond" w:cs="Garamond"/>
          <w:caps/>
          <w:color w:val="000000"/>
          <w:lang w:val="en-GB"/>
        </w:rPr>
      </w:pPr>
      <w:r>
        <w:rPr>
          <w:rFonts w:ascii="Garamond" w:hAnsi="Garamond" w:cs="Garamond"/>
          <w:caps/>
          <w:color w:val="000000"/>
          <w:lang w:val="en-GB"/>
        </w:rPr>
        <w:t xml:space="preserve">ORGINALNI NAUČNI </w:t>
      </w:r>
      <w:r w:rsidR="00B52FD8">
        <w:rPr>
          <w:rFonts w:ascii="Garamond" w:hAnsi="Garamond" w:cs="Garamond"/>
          <w:caps/>
          <w:color w:val="000000"/>
          <w:lang w:val="en-GB"/>
        </w:rPr>
        <w:t>ČLANAK</w:t>
      </w:r>
      <w:r w:rsidR="00EB2AE8" w:rsidRPr="00EB2AE8">
        <w:rPr>
          <w:rFonts w:ascii="Garamond" w:hAnsi="Garamond" w:cs="Garamond"/>
          <w:caps/>
          <w:color w:val="000000"/>
          <w:lang w:val="en-GB"/>
        </w:rPr>
        <w:t xml:space="preserve"> </w:t>
      </w:r>
    </w:p>
    <w:p w:rsidR="00EB2AE8" w:rsidRPr="00EB2AE8" w:rsidRDefault="00EB2AE8" w:rsidP="00EB2AE8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Square721 Cn BT" w:hAnsi="Square721 Cn BT" w:cs="Square721 Cn BT"/>
          <w:caps/>
          <w:color w:val="000000"/>
          <w:sz w:val="24"/>
          <w:szCs w:val="32"/>
          <w:lang w:val="en-GB"/>
        </w:rPr>
      </w:pPr>
    </w:p>
    <w:p w:rsidR="00EB2AE8" w:rsidRPr="00EB2AE8" w:rsidRDefault="00EB2AE8" w:rsidP="00EB2AE8">
      <w:pPr>
        <w:tabs>
          <w:tab w:val="left" w:pos="0"/>
          <w:tab w:val="center" w:pos="4540"/>
          <w:tab w:val="right" w:pos="8940"/>
          <w:tab w:val="right" w:pos="9072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Garamond" w:hAnsi="Garamond" w:cs="Garamond"/>
          <w:color w:val="000000"/>
          <w:sz w:val="20"/>
          <w:szCs w:val="20"/>
          <w:lang w:val="en-GB"/>
        </w:rPr>
      </w:pPr>
      <w:proofErr w:type="gramStart"/>
      <w:r w:rsidRPr="00EB2AE8">
        <w:rPr>
          <w:rFonts w:ascii="Garamond" w:hAnsi="Garamond" w:cs="Garamond"/>
          <w:color w:val="000000"/>
          <w:sz w:val="20"/>
          <w:szCs w:val="20"/>
          <w:lang w:val="en-GB"/>
        </w:rPr>
        <w:t>doi</w:t>
      </w:r>
      <w:proofErr w:type="gramEnd"/>
      <w:r w:rsidRPr="00EB2AE8">
        <w:rPr>
          <w:rFonts w:ascii="Garamond" w:hAnsi="Garamond" w:cs="Garamond"/>
          <w:color w:val="000000"/>
          <w:sz w:val="20"/>
          <w:szCs w:val="20"/>
          <w:lang w:val="en-GB"/>
        </w:rPr>
        <w:t>: 10.5550/sgia.</w:t>
      </w:r>
      <w:r w:rsidR="00CE479F">
        <w:rPr>
          <w:rFonts w:ascii="Garamond" w:hAnsi="Garamond" w:cs="Garamond"/>
          <w:color w:val="000000"/>
          <w:sz w:val="20"/>
          <w:szCs w:val="20"/>
          <w:lang w:val="en-GB"/>
        </w:rPr>
        <w:t>1309</w:t>
      </w:r>
      <w:r w:rsidRPr="00EB2AE8">
        <w:rPr>
          <w:rFonts w:ascii="Garamond" w:hAnsi="Garamond" w:cs="Garamond"/>
          <w:color w:val="000000"/>
          <w:sz w:val="20"/>
          <w:szCs w:val="20"/>
          <w:lang w:val="en-GB"/>
        </w:rPr>
        <w:t>01.</w:t>
      </w:r>
      <w:r w:rsidR="00FD0E26">
        <w:rPr>
          <w:rFonts w:ascii="Garamond" w:hAnsi="Garamond" w:cs="Garamond"/>
          <w:color w:val="000000"/>
          <w:sz w:val="20"/>
          <w:szCs w:val="20"/>
          <w:lang w:val="en-GB"/>
        </w:rPr>
        <w:t>se</w:t>
      </w:r>
      <w:r w:rsidRPr="00EB2AE8">
        <w:rPr>
          <w:rFonts w:ascii="Garamond" w:hAnsi="Garamond" w:cs="Garamond"/>
          <w:color w:val="000000"/>
          <w:sz w:val="20"/>
          <w:szCs w:val="20"/>
          <w:lang w:val="en-GB"/>
        </w:rPr>
        <w:t>.00</w:t>
      </w:r>
      <w:r w:rsidR="0019341C">
        <w:rPr>
          <w:rFonts w:ascii="Garamond" w:hAnsi="Garamond" w:cs="Garamond"/>
          <w:color w:val="000000"/>
          <w:sz w:val="20"/>
          <w:szCs w:val="20"/>
          <w:lang w:val="en-GB"/>
        </w:rPr>
        <w:t>2</w:t>
      </w:r>
      <w:r w:rsidRPr="00EB2AE8">
        <w:rPr>
          <w:rFonts w:ascii="Garamond" w:hAnsi="Garamond" w:cs="Garamond"/>
          <w:color w:val="000000"/>
          <w:sz w:val="20"/>
          <w:szCs w:val="20"/>
          <w:lang w:val="en-GB"/>
        </w:rPr>
        <w:t>I</w:t>
      </w:r>
    </w:p>
    <w:p w:rsidR="00EB2AE8" w:rsidRPr="00EB2AE8" w:rsidRDefault="00EB2AE8" w:rsidP="00EB2AE8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Square721 Cn BT" w:hAnsi="Square721 Cn BT" w:cs="Square721 Cn BT"/>
          <w:caps/>
          <w:color w:val="000000"/>
          <w:sz w:val="24"/>
          <w:szCs w:val="32"/>
          <w:lang w:val="en-GB"/>
        </w:rPr>
      </w:pPr>
    </w:p>
    <w:p w:rsidR="00EB2AE8" w:rsidRDefault="00FD0E26" w:rsidP="00EB2AE8">
      <w:pPr>
        <w:pStyle w:val="Podnaslov"/>
        <w:spacing w:before="0"/>
        <w:ind w:left="1134" w:hanging="1134"/>
      </w:pPr>
      <w:r>
        <w:t>SAŽETAK</w:t>
      </w:r>
    </w:p>
    <w:p w:rsidR="00FD0E26" w:rsidRPr="00FD0E26" w:rsidRDefault="00FD0E26" w:rsidP="00FD0E26">
      <w:pPr>
        <w:tabs>
          <w:tab w:val="right" w:pos="8280"/>
        </w:tabs>
        <w:autoSpaceDE w:val="0"/>
        <w:autoSpaceDN w:val="0"/>
        <w:adjustRightInd w:val="0"/>
        <w:spacing w:after="0" w:line="288" w:lineRule="auto"/>
        <w:ind w:right="283" w:firstLine="283"/>
        <w:jc w:val="both"/>
        <w:textAlignment w:val="center"/>
        <w:rPr>
          <w:rFonts w:ascii="Garamond" w:hAnsi="Garamond" w:cs="Garamond"/>
          <w:color w:val="000000"/>
          <w:lang w:val="en-US"/>
        </w:rPr>
      </w:pPr>
      <w:r w:rsidRPr="00FD0E26">
        <w:rPr>
          <w:rFonts w:ascii="Garamond" w:hAnsi="Garamond" w:cs="Garamond"/>
          <w:color w:val="000000"/>
          <w:lang w:val="en-US"/>
        </w:rPr>
        <w:t xml:space="preserve">Cilj sprovedenog istraživanja je identifikacija idola sportista seniorskog uzrasta, budući da se putem identifikacije idola osoba mogu donijeti zaključci u vezi </w:t>
      </w:r>
      <w:proofErr w:type="gramStart"/>
      <w:r w:rsidRPr="00FD0E26">
        <w:rPr>
          <w:rFonts w:ascii="Garamond" w:hAnsi="Garamond" w:cs="Garamond"/>
          <w:color w:val="000000"/>
          <w:lang w:val="en-US"/>
        </w:rPr>
        <w:t>sa</w:t>
      </w:r>
      <w:proofErr w:type="gramEnd"/>
      <w:r w:rsidRPr="00FD0E26">
        <w:rPr>
          <w:rFonts w:ascii="Garamond" w:hAnsi="Garamond" w:cs="Garamond"/>
          <w:color w:val="000000"/>
          <w:lang w:val="en-US"/>
        </w:rPr>
        <w:t xml:space="preserve"> njihovim sistemima vrijednosti. </w:t>
      </w:r>
      <w:proofErr w:type="gramStart"/>
      <w:r w:rsidRPr="00FD0E26">
        <w:rPr>
          <w:rFonts w:ascii="Garamond" w:hAnsi="Garamond" w:cs="Garamond"/>
          <w:color w:val="000000"/>
          <w:lang w:val="en-US"/>
        </w:rPr>
        <w:t>Uzorkom je bilo obuhvaćeno 318 srpskih profesionalnih sportista seniora (183 sportista i 135 sportistkinja), uzrasta 18 - 40 godina.</w:t>
      </w:r>
      <w:proofErr w:type="gramEnd"/>
      <w:r w:rsidRPr="00FD0E26">
        <w:rPr>
          <w:rFonts w:ascii="Garamond" w:hAnsi="Garamond" w:cs="Garamond"/>
          <w:color w:val="000000"/>
          <w:lang w:val="en-US"/>
        </w:rPr>
        <w:t xml:space="preserve"> </w:t>
      </w:r>
      <w:proofErr w:type="gramStart"/>
      <w:r w:rsidRPr="00FD0E26">
        <w:rPr>
          <w:rFonts w:ascii="Garamond" w:hAnsi="Garamond" w:cs="Garamond"/>
          <w:color w:val="000000"/>
          <w:lang w:val="en-US"/>
        </w:rPr>
        <w:t>Ispitanici su dolazili iz 28 različitih sportova, pretežno odbojke, vaterpola, košarke, karatea, boćanja, savatea, rukometa, kjokušinkaija.</w:t>
      </w:r>
      <w:proofErr w:type="gramEnd"/>
      <w:r w:rsidRPr="00FD0E26">
        <w:rPr>
          <w:rFonts w:ascii="Garamond" w:hAnsi="Garamond" w:cs="Garamond"/>
          <w:color w:val="000000"/>
          <w:lang w:val="en-US"/>
        </w:rPr>
        <w:t xml:space="preserve"> </w:t>
      </w:r>
      <w:proofErr w:type="gramStart"/>
      <w:r w:rsidRPr="00FD0E26">
        <w:rPr>
          <w:rFonts w:ascii="Garamond" w:hAnsi="Garamond" w:cs="Garamond"/>
          <w:color w:val="000000"/>
          <w:lang w:val="en-US"/>
        </w:rPr>
        <w:t>Nezavisne varijable su bile pol i odabrani idol, a zavisne varijable sport, pol, aktuelnost i porijeklo odabranog idola.</w:t>
      </w:r>
      <w:proofErr w:type="gramEnd"/>
      <w:r w:rsidRPr="00FD0E26">
        <w:rPr>
          <w:rFonts w:ascii="Garamond" w:hAnsi="Garamond" w:cs="Garamond"/>
          <w:color w:val="000000"/>
          <w:lang w:val="en-US"/>
        </w:rPr>
        <w:t xml:space="preserve"> </w:t>
      </w:r>
      <w:proofErr w:type="gramStart"/>
      <w:r w:rsidRPr="00FD0E26">
        <w:rPr>
          <w:rFonts w:ascii="Garamond" w:hAnsi="Garamond" w:cs="Garamond"/>
          <w:color w:val="000000"/>
          <w:lang w:val="en-US"/>
        </w:rPr>
        <w:t>Sportisti seniori su za svog sportskog idola najčešće birali Rodžera Federera, Majkla Džordana, Milorada Čavića.</w:t>
      </w:r>
      <w:proofErr w:type="gramEnd"/>
      <w:r w:rsidRPr="00FD0E26">
        <w:rPr>
          <w:rFonts w:ascii="Garamond" w:hAnsi="Garamond" w:cs="Garamond"/>
          <w:color w:val="000000"/>
          <w:lang w:val="en-US"/>
        </w:rPr>
        <w:t xml:space="preserve"> Pokazalo se i da većina sportista i sportistkinja biraju za svog idola sportistu koji se bavi njihovm sportom, </w:t>
      </w:r>
      <w:proofErr w:type="gramStart"/>
      <w:r w:rsidRPr="00FD0E26">
        <w:rPr>
          <w:rFonts w:ascii="Garamond" w:hAnsi="Garamond" w:cs="Garamond"/>
          <w:color w:val="000000"/>
          <w:lang w:val="en-US"/>
        </w:rPr>
        <w:t>ali</w:t>
      </w:r>
      <w:proofErr w:type="gramEnd"/>
      <w:r w:rsidRPr="00FD0E26">
        <w:rPr>
          <w:rFonts w:ascii="Garamond" w:hAnsi="Garamond" w:cs="Garamond"/>
          <w:color w:val="000000"/>
          <w:lang w:val="en-US"/>
        </w:rPr>
        <w:t xml:space="preserve"> i da postoje neke razlike u izboru idola i njihovim obilježjima između sportista i sportistkinja</w:t>
      </w:r>
    </w:p>
    <w:p w:rsidR="00FD0E26" w:rsidRDefault="00FD0E26" w:rsidP="00FD0E26">
      <w:pPr>
        <w:pStyle w:val="Tekst"/>
        <w:tabs>
          <w:tab w:val="right" w:pos="8280"/>
        </w:tabs>
        <w:ind w:right="283" w:firstLine="0"/>
        <w:rPr>
          <w:b/>
          <w:bCs/>
        </w:rPr>
      </w:pPr>
    </w:p>
    <w:p w:rsidR="00FD0E26" w:rsidRPr="00FD0E26" w:rsidRDefault="00FD0E26" w:rsidP="00FD0E26">
      <w:pPr>
        <w:pStyle w:val="Tekst"/>
        <w:tabs>
          <w:tab w:val="right" w:pos="8280"/>
        </w:tabs>
        <w:ind w:right="283" w:firstLine="0"/>
      </w:pPr>
      <w:r>
        <w:rPr>
          <w:b/>
          <w:bCs/>
        </w:rPr>
        <w:t>Ključne riječi</w:t>
      </w:r>
      <w:r w:rsidR="00EB2AE8">
        <w:rPr>
          <w:b/>
          <w:bCs/>
        </w:rPr>
        <w:t>:</w:t>
      </w:r>
      <w:r w:rsidR="00EB2AE8">
        <w:t xml:space="preserve"> </w:t>
      </w:r>
      <w:r w:rsidRPr="00FD0E26">
        <w:t>idolizacija, Srbija, vrijednosti</w:t>
      </w:r>
    </w:p>
    <w:p w:rsidR="00EB2AE8" w:rsidRDefault="00EB2AE8" w:rsidP="00EB2AE8">
      <w:pPr>
        <w:pStyle w:val="Tekst"/>
        <w:tabs>
          <w:tab w:val="right" w:pos="8280"/>
        </w:tabs>
        <w:spacing w:line="240" w:lineRule="auto"/>
        <w:ind w:left="794" w:hanging="794"/>
        <w:jc w:val="left"/>
      </w:pPr>
    </w:p>
    <w:p w:rsidR="00EB2AE8" w:rsidRDefault="00EB2AE8" w:rsidP="00EB2AE8">
      <w:pPr>
        <w:pStyle w:val="Tekst"/>
        <w:tabs>
          <w:tab w:val="right" w:pos="8280"/>
        </w:tabs>
        <w:spacing w:line="240" w:lineRule="auto"/>
        <w:ind w:left="794" w:hanging="794"/>
        <w:jc w:val="left"/>
      </w:pP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Balswick, J., &amp; Ingoldsby, B. (1982). Heroes and Heroines among American Adolescents. </w:t>
      </w:r>
      <w:r>
        <w:rPr>
          <w:rFonts w:ascii="Garamond" w:hAnsi="Garamond" w:cs="Garamond"/>
          <w:i/>
          <w:iCs/>
          <w:sz w:val="22"/>
          <w:szCs w:val="22"/>
        </w:rPr>
        <w:t>Sex Roles</w:t>
      </w:r>
      <w:r>
        <w:rPr>
          <w:rFonts w:ascii="Garamond" w:hAnsi="Garamond" w:cs="Garamond"/>
          <w:sz w:val="22"/>
          <w:szCs w:val="22"/>
        </w:rPr>
        <w:t>, 8, 243–249. doi: 10.1007/BF00287308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Biskup, C., &amp; Pfister, G. (1999). I Would Like to be Like her/him: Are Athletes »Role Models« for Boys and Girls'. </w:t>
      </w:r>
      <w:r>
        <w:rPr>
          <w:rFonts w:ascii="Garamond" w:hAnsi="Garamond" w:cs="Garamond"/>
          <w:i/>
          <w:iCs/>
          <w:sz w:val="22"/>
          <w:szCs w:val="22"/>
        </w:rPr>
        <w:t>European Physical Education Review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5</w:t>
      </w:r>
      <w:r>
        <w:rPr>
          <w:rFonts w:ascii="Garamond" w:hAnsi="Garamond" w:cs="Garamond"/>
          <w:sz w:val="22"/>
          <w:szCs w:val="22"/>
        </w:rPr>
        <w:t>(3), 200–215. doi: 10.1177/</w:t>
      </w:r>
      <w:r>
        <w:rPr>
          <w:rFonts w:ascii="Garamond" w:hAnsi="Garamond" w:cs="Garamond"/>
          <w:sz w:val="22"/>
          <w:szCs w:val="22"/>
        </w:rPr>
        <w:br/>
        <w:t>1356336X990053003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Boorstin, D. J. (1961). </w:t>
      </w:r>
      <w:r>
        <w:rPr>
          <w:rFonts w:ascii="Garamond" w:hAnsi="Garamond" w:cs="Garamond"/>
          <w:i/>
          <w:iCs/>
          <w:sz w:val="22"/>
          <w:szCs w:val="22"/>
        </w:rPr>
        <w:t>The Image: A Guide to Pseudo-Events in America</w:t>
      </w:r>
      <w:r>
        <w:rPr>
          <w:rFonts w:ascii="Garamond" w:hAnsi="Garamond" w:cs="Garamond"/>
          <w:sz w:val="22"/>
          <w:szCs w:val="22"/>
        </w:rPr>
        <w:t>. New York, NY: Harper &amp; Row, Publishers, Incorporated.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Bush, A. J., Martin C. A., &amp; Bush, V. D. (2004). Sports celebrity influence on the behavioral intentions of Generation Y. </w:t>
      </w:r>
      <w:r>
        <w:rPr>
          <w:rFonts w:ascii="Garamond" w:hAnsi="Garamond" w:cs="Garamond"/>
          <w:i/>
          <w:iCs/>
          <w:sz w:val="22"/>
          <w:szCs w:val="22"/>
        </w:rPr>
        <w:t>Journal of Advertising Research</w:t>
      </w:r>
      <w:r>
        <w:rPr>
          <w:rFonts w:ascii="Garamond" w:hAnsi="Garamond" w:cs="Garamond"/>
          <w:sz w:val="22"/>
          <w:szCs w:val="22"/>
        </w:rPr>
        <w:t>, 44, 108–118. doi: 10.1017/S0021849904040206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Chung, H. (2003). Sports star v. rock star in globalizing popular culture. </w:t>
      </w:r>
      <w:r>
        <w:rPr>
          <w:rFonts w:ascii="Garamond" w:hAnsi="Garamond" w:cs="Garamond"/>
          <w:i/>
          <w:iCs/>
          <w:sz w:val="22"/>
          <w:szCs w:val="22"/>
        </w:rPr>
        <w:t>International Review for the Sociology of Sport</w:t>
      </w:r>
      <w:r>
        <w:rPr>
          <w:rFonts w:ascii="Garamond" w:hAnsi="Garamond" w:cs="Garamond"/>
          <w:sz w:val="22"/>
          <w:szCs w:val="22"/>
        </w:rPr>
        <w:t>, 38, 99–108. doi: 10.1177/1012690203038001731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de Ruyter, D., &amp; Conroy, J. (2002). The Formation of Identity: The Importance of Ideals. </w:t>
      </w:r>
      <w:r>
        <w:rPr>
          <w:rFonts w:ascii="Garamond" w:hAnsi="Garamond" w:cs="Garamond"/>
          <w:i/>
          <w:iCs/>
          <w:sz w:val="22"/>
          <w:szCs w:val="22"/>
        </w:rPr>
        <w:t>Oxford Review of Education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28</w:t>
      </w:r>
      <w:r>
        <w:rPr>
          <w:rFonts w:ascii="Garamond" w:hAnsi="Garamond" w:cs="Garamond"/>
          <w:sz w:val="22"/>
          <w:szCs w:val="22"/>
        </w:rPr>
        <w:t>(4), 509–522. doi: 10.1080/0305498022000013643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Dubner, S. J. (2003). </w:t>
      </w:r>
      <w:r>
        <w:rPr>
          <w:rFonts w:ascii="Garamond" w:hAnsi="Garamond" w:cs="Garamond"/>
          <w:i/>
          <w:iCs/>
          <w:sz w:val="22"/>
          <w:szCs w:val="22"/>
        </w:rPr>
        <w:t>Confessions of a hero-worshipper</w:t>
      </w:r>
      <w:r>
        <w:rPr>
          <w:rFonts w:ascii="Garamond" w:hAnsi="Garamond" w:cs="Garamond"/>
          <w:sz w:val="22"/>
          <w:szCs w:val="22"/>
        </w:rPr>
        <w:t>. New York, NY: William Morrow.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Erdogan, B. Z. (1999). Celebrity endorsement: A literature review. Journal of marketing management, 15 (4), 291 - 314. doi: 10.1362/</w:t>
      </w:r>
      <w:r>
        <w:rPr>
          <w:rFonts w:ascii="Garamond" w:hAnsi="Garamond" w:cs="Garamond"/>
          <w:sz w:val="22"/>
          <w:szCs w:val="22"/>
        </w:rPr>
        <w:br/>
        <w:t>026725799784870379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Erdogan, B. Z., Baker, M. J., &amp; Tagg, S. (2001). Selecting celebrity endorsers: The practitioner's perspective. </w:t>
      </w:r>
      <w:r>
        <w:rPr>
          <w:rFonts w:ascii="Garamond" w:hAnsi="Garamond" w:cs="Garamond"/>
          <w:i/>
          <w:iCs/>
          <w:sz w:val="22"/>
          <w:szCs w:val="22"/>
        </w:rPr>
        <w:t>Journal of Advertising Research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41</w:t>
      </w:r>
      <w:r>
        <w:rPr>
          <w:rFonts w:ascii="Garamond" w:hAnsi="Garamond" w:cs="Garamond"/>
          <w:sz w:val="22"/>
          <w:szCs w:val="22"/>
        </w:rPr>
        <w:t>(3), 39–48.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Fleming, S., Hardman, A., Jones, C., &amp; Sheridan, H. (2005). »Role models« among elite young male rugby league players in Britain. European Physical Education Review, 11(1), 51–70. doi: 10.1177/1356336X05049824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Harris, J. C. (1986). Athletic exemplars in context: General exemplar selection patterns in relation to sex, race, and age. Quest, 38, 95–115. doi: 10.1080/00336297.1986.10483845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Jones, M. J., &amp; Schumann, D. W. (2000). The Strategic Use of Celebrity Athlete Endorsers in Sports Illustrated: An Historic Perspective. </w:t>
      </w:r>
      <w:r>
        <w:rPr>
          <w:rFonts w:ascii="Garamond" w:hAnsi="Garamond" w:cs="Garamond"/>
          <w:i/>
          <w:iCs/>
          <w:sz w:val="22"/>
          <w:szCs w:val="22"/>
        </w:rPr>
        <w:t>Sport Marketing Quarterly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9</w:t>
      </w:r>
      <w:r>
        <w:rPr>
          <w:rFonts w:ascii="Garamond" w:hAnsi="Garamond" w:cs="Garamond"/>
          <w:sz w:val="22"/>
          <w:szCs w:val="22"/>
        </w:rPr>
        <w:t>(2), 65–76.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lastRenderedPageBreak/>
        <w:t xml:space="preserve">Kamins, M. A., Brand, M. J., Hoeke, S. A., &amp; Moe, J. C. (1989). Two-sided versus one-sided celebrity endorsements: The impact on advertising effectiveness and credibility. </w:t>
      </w:r>
      <w:r>
        <w:rPr>
          <w:rFonts w:ascii="Garamond" w:hAnsi="Garamond" w:cs="Garamond"/>
          <w:i/>
          <w:iCs/>
          <w:sz w:val="22"/>
          <w:szCs w:val="22"/>
        </w:rPr>
        <w:t>Journal of Advertising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18</w:t>
      </w:r>
      <w:r>
        <w:rPr>
          <w:rFonts w:ascii="Garamond" w:hAnsi="Garamond" w:cs="Garamond"/>
          <w:sz w:val="22"/>
          <w:szCs w:val="22"/>
        </w:rPr>
        <w:t>(2), 4–10. doi: 10.1080/</w:t>
      </w:r>
      <w:r>
        <w:rPr>
          <w:rFonts w:ascii="Garamond" w:hAnsi="Garamond" w:cs="Garamond"/>
          <w:sz w:val="22"/>
          <w:szCs w:val="22"/>
        </w:rPr>
        <w:br/>
        <w:t>00913367.1989.10673146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Lines, G. (2001). Villains, fools or heroes? Sports stars as role models for young people. Leisure Studies, 20, 285–303. doi: 10.1080/0261436011</w:t>
      </w:r>
      <w:r>
        <w:rPr>
          <w:rFonts w:ascii="Garamond" w:hAnsi="Garamond" w:cs="Garamond"/>
          <w:sz w:val="22"/>
          <w:szCs w:val="22"/>
        </w:rPr>
        <w:br/>
        <w:t>0094661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Jones, M. J., &amp; Schumann, D. W. (2000). The strategic use of celebrity athlete endorsers in Sports Illustrated: An historic perspective. </w:t>
      </w:r>
      <w:r>
        <w:rPr>
          <w:rFonts w:ascii="Garamond" w:hAnsi="Garamond" w:cs="Garamond"/>
          <w:i/>
          <w:iCs/>
          <w:sz w:val="22"/>
          <w:szCs w:val="22"/>
        </w:rPr>
        <w:t>Sport Marketing Quarterly</w:t>
      </w:r>
      <w:r>
        <w:rPr>
          <w:rFonts w:ascii="Garamond" w:hAnsi="Garamond" w:cs="Garamond"/>
          <w:sz w:val="22"/>
          <w:szCs w:val="22"/>
        </w:rPr>
        <w:t>, 9, 65–76.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Maddux, J. E., &amp; Rogers, R. W. (1980). Effects of source expertness, physical attractiveness, and supporting arguments on persuasion: A case of brains over beauty. Journal of Personality and Social Psychology, 39(2), 235–244. doi: 10.1037/0022-3514.39.2.235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Martin, J. H. (1996). Is the athlete's sport important when picking an athlete to endorse a nonsport product? Journal of Consumer Marketing, 13, 28–43. doi: 10.1108/07363769610152581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McCutcheon, L. E., Lange, R., &amp; Houran, J. (2002). Evidence for non-pathological and pathological dimensions of celebrity worship. </w:t>
      </w:r>
      <w:r>
        <w:rPr>
          <w:rFonts w:ascii="Garamond" w:hAnsi="Garamond" w:cs="Garamond"/>
          <w:i/>
          <w:iCs/>
          <w:sz w:val="22"/>
          <w:szCs w:val="22"/>
        </w:rPr>
        <w:t>British Journal of Psychology</w:t>
      </w:r>
      <w:r>
        <w:rPr>
          <w:rFonts w:ascii="Garamond" w:hAnsi="Garamond" w:cs="Garamond"/>
          <w:sz w:val="22"/>
          <w:szCs w:val="22"/>
        </w:rPr>
        <w:t>, 93, 67–87.</w:t>
      </w:r>
      <w:r w:rsidR="00234178">
        <w:rPr>
          <w:rFonts w:ascii="Garamond" w:hAnsi="Garamond" w:cs="Garamond"/>
          <w:sz w:val="22"/>
          <w:szCs w:val="22"/>
        </w:rPr>
        <w:t xml:space="preserve"> </w:t>
      </w:r>
      <w:r w:rsidR="00234178" w:rsidRPr="00234178">
        <w:rPr>
          <w:rFonts w:ascii="Garamond" w:hAnsi="Garamond" w:cs="Garamond"/>
          <w:sz w:val="22"/>
          <w:szCs w:val="22"/>
        </w:rPr>
        <w:t>10.1348/000712602162454; PMid: 11839102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McGuire, W. J. (1985). Attitudes and attitude change. In Aronson, G. La. E. (Ed.), </w:t>
      </w:r>
      <w:r>
        <w:rPr>
          <w:rFonts w:ascii="Garamond" w:hAnsi="Garamond" w:cs="Garamond"/>
          <w:i/>
          <w:iCs/>
          <w:sz w:val="22"/>
          <w:szCs w:val="22"/>
        </w:rPr>
        <w:t>Handbook of social psychology</w:t>
      </w:r>
      <w:r>
        <w:rPr>
          <w:rFonts w:ascii="Garamond" w:hAnsi="Garamond" w:cs="Garamond"/>
          <w:sz w:val="22"/>
          <w:szCs w:val="22"/>
        </w:rPr>
        <w:t xml:space="preserve"> (pp. 233–346). New York: Random House.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Melnick, M. J., &amp; Jackson, S. J. (2002). Globalization american-style and reference idol selection: The Importance of Athlete Celebrity Others among New Zealand Youth. </w:t>
      </w:r>
      <w:r>
        <w:rPr>
          <w:rFonts w:ascii="Garamond" w:hAnsi="Garamond" w:cs="Garamond"/>
          <w:i/>
          <w:iCs/>
          <w:sz w:val="22"/>
          <w:szCs w:val="22"/>
        </w:rPr>
        <w:t>International Review For The Sociology Of Sport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37</w:t>
      </w:r>
      <w:r>
        <w:rPr>
          <w:rFonts w:ascii="Garamond" w:hAnsi="Garamond" w:cs="Garamond"/>
          <w:sz w:val="22"/>
          <w:szCs w:val="22"/>
        </w:rPr>
        <w:t>(3–4), 429–448. doi: 10.1177/1012690202037004027</w:t>
      </w:r>
    </w:p>
    <w:p w:rsidR="000E4D2F" w:rsidRDefault="000E4D2F" w:rsidP="000E4D2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Premeaux, S. R. (2005). The attitudes of middle class male and female consumers regarding the effectiveness of celebrity endorsers. </w:t>
      </w:r>
      <w:r>
        <w:rPr>
          <w:rFonts w:ascii="Garamond" w:hAnsi="Garamond" w:cs="Garamond"/>
          <w:i/>
          <w:iCs/>
          <w:sz w:val="22"/>
          <w:szCs w:val="22"/>
        </w:rPr>
        <w:t>Journal of Promotion Management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11</w:t>
      </w:r>
      <w:r>
        <w:rPr>
          <w:rFonts w:ascii="Garamond" w:hAnsi="Garamond" w:cs="Garamond"/>
          <w:sz w:val="22"/>
          <w:szCs w:val="22"/>
        </w:rPr>
        <w:t>(4), 33–48. doi: 10.1300/J057v11n04_04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Raviv, A., Bar-Tal, D., Raviv, A., &amp; Ben-Horin, A. (1996). Adolescent idolization of pop singers: Causes, expressions, and reliance. </w:t>
      </w:r>
      <w:r>
        <w:rPr>
          <w:rFonts w:ascii="Garamond" w:hAnsi="Garamond" w:cs="Garamond"/>
          <w:i/>
          <w:iCs/>
          <w:sz w:val="22"/>
          <w:szCs w:val="22"/>
        </w:rPr>
        <w:t>Journal of Youth and Adolescence</w:t>
      </w:r>
      <w:r>
        <w:rPr>
          <w:rFonts w:ascii="Garamond" w:hAnsi="Garamond" w:cs="Garamond"/>
          <w:sz w:val="22"/>
          <w:szCs w:val="22"/>
        </w:rPr>
        <w:t>, 25, 631–650. doi: 10.1007/BF01537358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Stevens, J. A., Lathrop, A. H., &amp; Bradish, C. L. (2003). Who is your hero? Implications for athletic endorsement strategies. S</w:t>
      </w:r>
      <w:r>
        <w:rPr>
          <w:rFonts w:ascii="Garamond" w:hAnsi="Garamond" w:cs="Garamond"/>
          <w:i/>
          <w:iCs/>
          <w:sz w:val="22"/>
          <w:szCs w:val="22"/>
        </w:rPr>
        <w:t>port Marketing Quarterly</w:t>
      </w:r>
      <w:r>
        <w:rPr>
          <w:rFonts w:ascii="Garamond" w:hAnsi="Garamond" w:cs="Garamond"/>
          <w:sz w:val="22"/>
          <w:szCs w:val="22"/>
        </w:rPr>
        <w:t>, 12, 103–110.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Teigen, K. H., Normann, H. T. E., Bjorkheim, J. O., &amp; Helland, S. (2000). Who Would You Most Like to be Like? Adolescents' ideals at the beginning and the end of the century. </w:t>
      </w:r>
      <w:r>
        <w:rPr>
          <w:rFonts w:ascii="Garamond" w:hAnsi="Garamond" w:cs="Garamond"/>
          <w:i/>
          <w:iCs/>
          <w:sz w:val="22"/>
          <w:szCs w:val="22"/>
        </w:rPr>
        <w:t>Scandinavian Journal of Educational Research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44</w:t>
      </w:r>
      <w:r>
        <w:rPr>
          <w:rFonts w:ascii="Garamond" w:hAnsi="Garamond" w:cs="Garamond"/>
          <w:sz w:val="22"/>
          <w:szCs w:val="22"/>
        </w:rPr>
        <w:t>(1), 5–26. doi: 10.1080/713696661</w:t>
      </w:r>
    </w:p>
    <w:p w:rsidR="00EB2AE8" w:rsidRDefault="00EB2AE8" w:rsidP="00EB2AE8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Wann, D. L., Melnick, M. J., Russell, G. W., &amp; Pease, D. G. (2001). </w:t>
      </w:r>
      <w:r>
        <w:rPr>
          <w:rFonts w:ascii="Garamond" w:hAnsi="Garamond" w:cs="Garamond"/>
          <w:i/>
          <w:iCs/>
          <w:sz w:val="22"/>
          <w:szCs w:val="22"/>
        </w:rPr>
        <w:t>Sport fans: The psychology and social impact of spectators</w:t>
      </w:r>
      <w:r>
        <w:rPr>
          <w:rFonts w:ascii="Garamond" w:hAnsi="Garamond" w:cs="Garamond"/>
          <w:sz w:val="22"/>
          <w:szCs w:val="22"/>
        </w:rPr>
        <w:t>. New York: Routledge Press.</w:t>
      </w:r>
    </w:p>
    <w:p w:rsidR="00450A83" w:rsidRDefault="00EB2AE8" w:rsidP="00EB2AE8">
      <w:pPr>
        <w:pStyle w:val="BasicParagraph"/>
        <w:suppressAutoHyphens/>
        <w:spacing w:line="240" w:lineRule="auto"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Yue, X. D., &amp; Cheung, C. (2000). Selection of favourite idols and models among Chinese young people: A comparative study in Hong Kong and Nanjing. </w:t>
      </w:r>
      <w:r>
        <w:rPr>
          <w:rFonts w:ascii="Garamond" w:hAnsi="Garamond" w:cs="Garamond"/>
          <w:i/>
          <w:iCs/>
          <w:sz w:val="22"/>
          <w:szCs w:val="22"/>
        </w:rPr>
        <w:t>International Journal of Behavioral Development</w:t>
      </w:r>
      <w:r>
        <w:rPr>
          <w:rFonts w:ascii="Garamond" w:hAnsi="Garamond" w:cs="Garamond"/>
          <w:sz w:val="22"/>
          <w:szCs w:val="22"/>
        </w:rPr>
        <w:t>, 24, 91–98. doi: 10.1080/016502500383511</w:t>
      </w:r>
    </w:p>
    <w:p w:rsidR="00EB2AE8" w:rsidRDefault="00EB2AE8">
      <w:pPr>
        <w:rPr>
          <w:rFonts w:ascii="Garamond" w:hAnsi="Garamond" w:cs="Garamond"/>
          <w:color w:val="000000"/>
          <w:lang w:val="sl-SI"/>
        </w:rPr>
      </w:pPr>
      <w:r>
        <w:rPr>
          <w:rFonts w:ascii="Garamond" w:hAnsi="Garamond" w:cs="Garamond"/>
        </w:rPr>
        <w:br w:type="page"/>
      </w:r>
    </w:p>
    <w:p w:rsidR="00936ED2" w:rsidRPr="00936ED2" w:rsidRDefault="003F440B" w:rsidP="003F440B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before="454" w:after="227" w:line="288" w:lineRule="auto"/>
        <w:textAlignment w:val="center"/>
        <w:rPr>
          <w:rFonts w:ascii="Square721 Cn BT" w:hAnsi="Square721 Cn BT" w:cs="Square721 Cn BT"/>
          <w:caps/>
          <w:color w:val="000000"/>
          <w:sz w:val="32"/>
          <w:szCs w:val="32"/>
          <w:lang w:val="en-GB"/>
        </w:rPr>
      </w:pPr>
      <w:r w:rsidRPr="003F440B">
        <w:rPr>
          <w:rFonts w:ascii="Square721 Cn BT" w:hAnsi="Square721 Cn BT" w:cs="Square721 Cn BT"/>
          <w:caps/>
          <w:color w:val="000000"/>
          <w:sz w:val="32"/>
          <w:szCs w:val="32"/>
          <w:lang w:val="en-GB"/>
        </w:rPr>
        <w:lastRenderedPageBreak/>
        <w:t xml:space="preserve">Struktura različitih indikatora izometrijske </w:t>
      </w:r>
      <w:r w:rsidRPr="003F440B">
        <w:rPr>
          <w:rFonts w:ascii="Square721 Cn BT" w:hAnsi="Square721 Cn BT" w:cs="Square721 Cn BT"/>
          <w:caps/>
          <w:color w:val="000000"/>
          <w:sz w:val="32"/>
          <w:szCs w:val="32"/>
          <w:lang w:val="en-GB"/>
        </w:rPr>
        <w:br/>
        <w:t>eksplozivne sile opružača nogu kod vrhunskih sportista</w:t>
      </w:r>
    </w:p>
    <w:p w:rsidR="00EB2AE8" w:rsidRDefault="00EB2AE8" w:rsidP="00936ED2">
      <w:pPr>
        <w:pStyle w:val="BasicParagraph"/>
        <w:suppressAutoHyphens/>
        <w:spacing w:line="240" w:lineRule="auto"/>
        <w:ind w:left="283" w:hanging="283"/>
        <w:jc w:val="left"/>
        <w:rPr>
          <w:sz w:val="20"/>
        </w:rPr>
      </w:pPr>
    </w:p>
    <w:p w:rsidR="00936ED2" w:rsidRPr="00936ED2" w:rsidRDefault="00936ED2" w:rsidP="00936ED2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Garamond" w:hAnsi="Garamond" w:cs="Garamond"/>
          <w:bCs/>
          <w:color w:val="000000"/>
          <w:vertAlign w:val="superscript"/>
          <w:lang w:val="en-GB"/>
        </w:rPr>
      </w:pPr>
      <w:r w:rsidRPr="00936ED2">
        <w:rPr>
          <w:rFonts w:ascii="Garamond" w:hAnsi="Garamond" w:cs="Garamond"/>
          <w:bCs/>
          <w:color w:val="000000"/>
          <w:lang w:val="en-GB"/>
        </w:rPr>
        <w:t>Jelena Ivanović</w:t>
      </w:r>
      <w:r w:rsidRPr="00936ED2">
        <w:rPr>
          <w:rFonts w:ascii="Garamond" w:hAnsi="Garamond" w:cs="Garamond"/>
          <w:bCs/>
          <w:color w:val="000000"/>
          <w:vertAlign w:val="superscript"/>
          <w:lang w:val="en-GB"/>
        </w:rPr>
        <w:t>1</w:t>
      </w:r>
      <w:r w:rsidRPr="00936ED2">
        <w:rPr>
          <w:rFonts w:ascii="Garamond" w:hAnsi="Garamond" w:cs="Garamond"/>
          <w:bCs/>
          <w:color w:val="000000"/>
          <w:lang w:val="en-GB"/>
        </w:rPr>
        <w:t xml:space="preserve"> </w:t>
      </w:r>
      <w:r w:rsidR="003F440B">
        <w:rPr>
          <w:rFonts w:ascii="Garamond" w:hAnsi="Garamond" w:cs="Garamond"/>
          <w:bCs/>
          <w:color w:val="000000"/>
          <w:lang w:val="en-GB"/>
        </w:rPr>
        <w:t>i</w:t>
      </w:r>
      <w:r w:rsidRPr="00936ED2">
        <w:rPr>
          <w:rFonts w:ascii="Garamond" w:hAnsi="Garamond" w:cs="Garamond"/>
          <w:bCs/>
          <w:color w:val="000000"/>
          <w:lang w:val="en-GB"/>
        </w:rPr>
        <w:t xml:space="preserve"> Milivoj Dopsaj</w:t>
      </w:r>
      <w:r w:rsidRPr="00936ED2">
        <w:rPr>
          <w:rFonts w:ascii="Garamond" w:hAnsi="Garamond" w:cs="Garamond"/>
          <w:bCs/>
          <w:color w:val="000000"/>
          <w:vertAlign w:val="superscript"/>
          <w:lang w:val="en-GB"/>
        </w:rPr>
        <w:t>2</w:t>
      </w:r>
    </w:p>
    <w:p w:rsidR="00936ED2" w:rsidRDefault="00936ED2" w:rsidP="00936ED2">
      <w:pPr>
        <w:pStyle w:val="BasicParagraph"/>
        <w:suppressAutoHyphens/>
        <w:spacing w:line="240" w:lineRule="auto"/>
        <w:ind w:left="283" w:hanging="283"/>
        <w:jc w:val="left"/>
        <w:rPr>
          <w:sz w:val="20"/>
        </w:rPr>
      </w:pPr>
    </w:p>
    <w:p w:rsidR="003F440B" w:rsidRPr="003F440B" w:rsidRDefault="003F440B" w:rsidP="003F440B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Garamond" w:hAnsi="Garamond" w:cs="Garamond"/>
          <w:color w:val="000000"/>
          <w:sz w:val="20"/>
          <w:szCs w:val="20"/>
          <w:lang w:val="en-GB"/>
        </w:rPr>
      </w:pPr>
      <w:r w:rsidRPr="003F440B">
        <w:rPr>
          <w:rFonts w:ascii="Garamond" w:hAnsi="Garamond" w:cs="Garamond"/>
          <w:color w:val="000000"/>
          <w:sz w:val="20"/>
          <w:szCs w:val="20"/>
          <w:vertAlign w:val="superscript"/>
          <w:lang w:val="en-GB"/>
        </w:rPr>
        <w:t>1</w:t>
      </w:r>
      <w:r w:rsidRPr="003F440B">
        <w:rPr>
          <w:rFonts w:ascii="Garamond" w:hAnsi="Garamond" w:cs="Garamond"/>
          <w:color w:val="000000"/>
          <w:sz w:val="20"/>
          <w:szCs w:val="20"/>
          <w:lang w:val="en-GB"/>
        </w:rPr>
        <w:t>Zavod za sport i medicinu sporta Republike Srbije, Beograd, Srbija</w:t>
      </w:r>
    </w:p>
    <w:p w:rsidR="00936ED2" w:rsidRDefault="003F440B" w:rsidP="003F440B">
      <w:pPr>
        <w:pStyle w:val="autorifunkcije"/>
        <w:spacing w:line="240" w:lineRule="auto"/>
        <w:ind w:left="0"/>
      </w:pPr>
      <w:r w:rsidRPr="003F440B">
        <w:rPr>
          <w:vertAlign w:val="superscript"/>
        </w:rPr>
        <w:t>2</w:t>
      </w:r>
      <w:r w:rsidRPr="003F440B">
        <w:t>Fakultet sporta i fizičkog vaspitanja, Univerzitet Beograd, Srbija</w:t>
      </w:r>
    </w:p>
    <w:p w:rsidR="00936ED2" w:rsidRDefault="00936ED2" w:rsidP="00936ED2">
      <w:pPr>
        <w:pStyle w:val="BasicParagraph"/>
        <w:suppressAutoHyphens/>
        <w:spacing w:line="240" w:lineRule="auto"/>
        <w:ind w:left="283" w:hanging="283"/>
        <w:jc w:val="left"/>
        <w:rPr>
          <w:sz w:val="20"/>
        </w:rPr>
      </w:pPr>
    </w:p>
    <w:p w:rsidR="00936ED2" w:rsidRPr="00936ED2" w:rsidRDefault="003F440B" w:rsidP="00936ED2">
      <w:pPr>
        <w:tabs>
          <w:tab w:val="left" w:pos="0"/>
          <w:tab w:val="right" w:pos="8940"/>
          <w:tab w:val="right" w:pos="9072"/>
          <w:tab w:val="left" w:pos="1512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Garamond" w:hAnsi="Garamond" w:cs="Garamond"/>
          <w:caps/>
          <w:color w:val="000000"/>
          <w:lang w:val="en-GB"/>
        </w:rPr>
      </w:pPr>
      <w:r>
        <w:rPr>
          <w:rFonts w:ascii="Garamond" w:hAnsi="Garamond" w:cs="Garamond"/>
          <w:caps/>
          <w:color w:val="000000"/>
          <w:lang w:val="en-GB"/>
        </w:rPr>
        <w:t xml:space="preserve">ORGINALNI NAUČNI </w:t>
      </w:r>
      <w:r w:rsidR="00B52FD8">
        <w:rPr>
          <w:rFonts w:ascii="Garamond" w:hAnsi="Garamond" w:cs="Garamond"/>
          <w:caps/>
          <w:color w:val="000000"/>
          <w:lang w:val="en-GB"/>
        </w:rPr>
        <w:t>ČLANAK</w:t>
      </w:r>
    </w:p>
    <w:p w:rsidR="00936ED2" w:rsidRDefault="00936ED2" w:rsidP="00936ED2">
      <w:pPr>
        <w:pStyle w:val="BasicParagraph"/>
        <w:suppressAutoHyphens/>
        <w:spacing w:line="240" w:lineRule="auto"/>
        <w:ind w:left="283" w:hanging="283"/>
        <w:jc w:val="left"/>
        <w:rPr>
          <w:sz w:val="20"/>
        </w:rPr>
      </w:pPr>
    </w:p>
    <w:p w:rsidR="003F440B" w:rsidRPr="003F440B" w:rsidRDefault="003F440B" w:rsidP="003F440B">
      <w:pPr>
        <w:tabs>
          <w:tab w:val="left" w:pos="0"/>
          <w:tab w:val="center" w:pos="4540"/>
          <w:tab w:val="right" w:pos="8940"/>
          <w:tab w:val="right" w:pos="9072"/>
        </w:tabs>
        <w:autoSpaceDE w:val="0"/>
        <w:autoSpaceDN w:val="0"/>
        <w:adjustRightInd w:val="0"/>
        <w:spacing w:line="288" w:lineRule="auto"/>
        <w:textAlignment w:val="center"/>
        <w:rPr>
          <w:rFonts w:ascii="Garamond" w:hAnsi="Garamond" w:cs="Garamond"/>
          <w:color w:val="000000"/>
          <w:sz w:val="20"/>
          <w:szCs w:val="20"/>
          <w:lang w:val="en-GB"/>
        </w:rPr>
      </w:pPr>
      <w:r w:rsidRPr="003F440B">
        <w:rPr>
          <w:rFonts w:ascii="Garamond" w:hAnsi="Garamond" w:cs="Garamond"/>
          <w:color w:val="000000"/>
          <w:sz w:val="20"/>
          <w:szCs w:val="20"/>
          <w:lang w:val="en-GB"/>
        </w:rPr>
        <w:t>10.5550/sgia.130901.se.0</w:t>
      </w:r>
      <w:r w:rsidR="0019341C">
        <w:rPr>
          <w:rFonts w:ascii="Garamond" w:hAnsi="Garamond" w:cs="Garamond"/>
          <w:color w:val="000000"/>
          <w:sz w:val="20"/>
          <w:szCs w:val="20"/>
          <w:lang w:val="en-GB"/>
        </w:rPr>
        <w:t>03</w:t>
      </w:r>
      <w:r w:rsidRPr="003F440B">
        <w:rPr>
          <w:rFonts w:ascii="Garamond" w:hAnsi="Garamond" w:cs="Garamond"/>
          <w:color w:val="000000"/>
          <w:sz w:val="20"/>
          <w:szCs w:val="20"/>
          <w:lang w:val="en-GB"/>
        </w:rPr>
        <w:t>I</w:t>
      </w:r>
    </w:p>
    <w:p w:rsidR="00936ED2" w:rsidRDefault="003F440B" w:rsidP="00936ED2">
      <w:pPr>
        <w:pStyle w:val="Podnaslov"/>
        <w:spacing w:before="0"/>
        <w:ind w:left="1134" w:hanging="1134"/>
      </w:pPr>
      <w:r>
        <w:t>SAŽETAK</w:t>
      </w:r>
    </w:p>
    <w:p w:rsidR="003F440B" w:rsidRPr="003F440B" w:rsidRDefault="003F440B" w:rsidP="003F440B">
      <w:pPr>
        <w:tabs>
          <w:tab w:val="right" w:pos="8280"/>
        </w:tabs>
        <w:autoSpaceDE w:val="0"/>
        <w:autoSpaceDN w:val="0"/>
        <w:adjustRightInd w:val="0"/>
        <w:spacing w:after="0" w:line="288" w:lineRule="auto"/>
        <w:ind w:right="283"/>
        <w:jc w:val="both"/>
        <w:textAlignment w:val="center"/>
        <w:rPr>
          <w:rFonts w:ascii="Garamond" w:hAnsi="Garamond" w:cs="Garamond"/>
          <w:color w:val="000000"/>
          <w:lang w:val="en-US"/>
        </w:rPr>
      </w:pPr>
      <w:proofErr w:type="gramStart"/>
      <w:r w:rsidRPr="003F440B">
        <w:rPr>
          <w:rFonts w:ascii="Garamond" w:hAnsi="Garamond" w:cs="Garamond"/>
          <w:color w:val="000000"/>
          <w:lang w:val="en-US"/>
        </w:rPr>
        <w:t>Cilj ovog rada bio je utvrditi faktorsku strukturu posmatranih karakteristike tj.</w:t>
      </w:r>
      <w:proofErr w:type="gramEnd"/>
      <w:r w:rsidRPr="003F440B">
        <w:rPr>
          <w:rFonts w:ascii="Garamond" w:hAnsi="Garamond" w:cs="Garamond"/>
          <w:color w:val="000000"/>
          <w:lang w:val="en-US"/>
        </w:rPr>
        <w:t xml:space="preserve"> </w:t>
      </w:r>
      <w:proofErr w:type="gramStart"/>
      <w:r w:rsidRPr="003F440B">
        <w:rPr>
          <w:rFonts w:ascii="Garamond" w:hAnsi="Garamond" w:cs="Garamond"/>
          <w:color w:val="000000"/>
          <w:lang w:val="en-US"/>
        </w:rPr>
        <w:t>indikatora</w:t>
      </w:r>
      <w:proofErr w:type="gramEnd"/>
      <w:r w:rsidRPr="003F440B">
        <w:rPr>
          <w:rFonts w:ascii="Garamond" w:hAnsi="Garamond" w:cs="Garamond"/>
          <w:color w:val="000000"/>
          <w:lang w:val="en-US"/>
        </w:rPr>
        <w:t xml:space="preserve"> krive sila-vrijeme za procjenu eksplozivnosti opružača nogu u odnosu na različite grupe sportova. </w:t>
      </w:r>
      <w:proofErr w:type="gramStart"/>
      <w:r w:rsidRPr="003F440B">
        <w:rPr>
          <w:rFonts w:ascii="Garamond" w:hAnsi="Garamond" w:cs="Garamond"/>
          <w:color w:val="000000"/>
          <w:lang w:val="en-US"/>
        </w:rPr>
        <w:t>U istraživanju je učestvovalo 378 ispitanika raspoređenih u 8 grupa prema polu i specifičnosti trenažnog procesa kojem su bili izloženi.</w:t>
      </w:r>
      <w:proofErr w:type="gramEnd"/>
      <w:r w:rsidRPr="003F440B">
        <w:rPr>
          <w:rFonts w:ascii="Garamond" w:hAnsi="Garamond" w:cs="Garamond"/>
          <w:color w:val="000000"/>
          <w:lang w:val="en-US"/>
        </w:rPr>
        <w:t xml:space="preserve"> </w:t>
      </w:r>
      <w:proofErr w:type="gramStart"/>
      <w:r w:rsidRPr="003F440B">
        <w:rPr>
          <w:rFonts w:ascii="Garamond" w:hAnsi="Garamond" w:cs="Garamond"/>
          <w:color w:val="000000"/>
          <w:lang w:val="en-US"/>
        </w:rPr>
        <w:t>Za procjenu kontraktilnih karakteristika opružača nogu korišćena je standardizovana oprema i standardizovan test u sjedećoj poziciji.</w:t>
      </w:r>
      <w:proofErr w:type="gramEnd"/>
      <w:r w:rsidRPr="003F440B">
        <w:rPr>
          <w:rFonts w:ascii="Garamond" w:hAnsi="Garamond" w:cs="Garamond"/>
          <w:color w:val="000000"/>
          <w:lang w:val="en-US"/>
        </w:rPr>
        <w:t xml:space="preserve"> Mjerni opseg definisan je </w:t>
      </w:r>
      <w:proofErr w:type="gramStart"/>
      <w:r w:rsidRPr="003F440B">
        <w:rPr>
          <w:rFonts w:ascii="Garamond" w:hAnsi="Garamond" w:cs="Garamond"/>
          <w:color w:val="000000"/>
          <w:lang w:val="en-US"/>
        </w:rPr>
        <w:t>na</w:t>
      </w:r>
      <w:proofErr w:type="gramEnd"/>
      <w:r w:rsidRPr="003F440B">
        <w:rPr>
          <w:rFonts w:ascii="Garamond" w:hAnsi="Garamond" w:cs="Garamond"/>
          <w:color w:val="000000"/>
          <w:lang w:val="en-US"/>
        </w:rPr>
        <w:t xml:space="preserve"> osnovu 15 varijabli koje se odnose na kontraktilne karakteristike izometrijske eksplozivne sile ekstenzora nogu mjerene u unilateralnom (dominanta i nedominanta noga) i bilateralnom režimu mišićne kontrakcije mjerenih na 100 i 50% od maksimalne sile i na 100, 180 i 250 ms od početka mišićne kontrakcije. Rezultati dobijeni u ovom istraživanju pokazuju da mjerene karakteristike eksplozivne sile opružača nogu dobijene u bi i unilateralnom režimu naprezanja u odnosu </w:t>
      </w:r>
      <w:proofErr w:type="gramStart"/>
      <w:r w:rsidRPr="003F440B">
        <w:rPr>
          <w:rFonts w:ascii="Garamond" w:hAnsi="Garamond" w:cs="Garamond"/>
          <w:color w:val="000000"/>
          <w:lang w:val="en-US"/>
        </w:rPr>
        <w:t>na</w:t>
      </w:r>
      <w:proofErr w:type="gramEnd"/>
      <w:r w:rsidRPr="003F440B">
        <w:rPr>
          <w:rFonts w:ascii="Garamond" w:hAnsi="Garamond" w:cs="Garamond"/>
          <w:color w:val="000000"/>
          <w:lang w:val="en-US"/>
        </w:rPr>
        <w:t xml:space="preserve"> različite grupe sportova imaju različitu strukturu u funkciji izdvojenog sklopa faktora pod uticajem drugačijih mehanizama u odnosu na trenažne procese u različitim sportskim disciplinama.</w:t>
      </w:r>
    </w:p>
    <w:p w:rsidR="003F440B" w:rsidRPr="003F440B" w:rsidRDefault="00364A18" w:rsidP="003F440B">
      <w:pPr>
        <w:pStyle w:val="Tekst"/>
        <w:tabs>
          <w:tab w:val="right" w:pos="8280"/>
        </w:tabs>
        <w:spacing w:before="227"/>
        <w:ind w:firstLine="0"/>
        <w:jc w:val="left"/>
      </w:pPr>
      <w:r>
        <w:rPr>
          <w:b/>
          <w:bCs/>
        </w:rPr>
        <w:t>Ključne riječi</w:t>
      </w:r>
      <w:r w:rsidR="00936ED2">
        <w:rPr>
          <w:b/>
          <w:bCs/>
        </w:rPr>
        <w:t>:</w:t>
      </w:r>
      <w:r w:rsidR="00936ED2">
        <w:t xml:space="preserve"> </w:t>
      </w:r>
      <w:r w:rsidR="003F440B" w:rsidRPr="003F440B">
        <w:t>faktorska struktura, različito trenirani sportisti, kriva sila-vrijeme</w:t>
      </w:r>
      <w:r>
        <w:t>.</w:t>
      </w:r>
    </w:p>
    <w:p w:rsidR="00936ED2" w:rsidRDefault="00364A18" w:rsidP="00936ED2">
      <w:pPr>
        <w:pStyle w:val="Tekst"/>
        <w:tabs>
          <w:tab w:val="left" w:pos="-6521"/>
          <w:tab w:val="right" w:pos="8280"/>
        </w:tabs>
        <w:spacing w:line="240" w:lineRule="auto"/>
        <w:ind w:firstLine="0"/>
        <w:jc w:val="left"/>
      </w:pPr>
      <w:r>
        <w:t xml:space="preserve"> 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Andersen, L. L. &amp; Aagaard, P. (2006). Influence of maximal muscle strength and intrinsic muscle contractile properties on contractile rate of force development. </w:t>
      </w:r>
      <w:r>
        <w:rPr>
          <w:rFonts w:ascii="Garamond" w:hAnsi="Garamond" w:cs="Garamond"/>
          <w:i/>
          <w:iCs/>
          <w:sz w:val="22"/>
          <w:szCs w:val="22"/>
        </w:rPr>
        <w:t>European Journal of Applied Physiology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96</w:t>
      </w:r>
      <w:r>
        <w:rPr>
          <w:rFonts w:ascii="Garamond" w:hAnsi="Garamond" w:cs="Garamond"/>
          <w:sz w:val="22"/>
          <w:szCs w:val="22"/>
        </w:rPr>
        <w:t>(1), 46–52. doi: 10.1007/s00421-005-0070-z; PMid: 16249918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Andersen, L. L., Andersen, J. L., Zebis, M. K., &amp; Aagaard, P. (2010). Early and late rate of force development: differential adaptive responses to resistance training? </w:t>
      </w:r>
      <w:r>
        <w:rPr>
          <w:rFonts w:ascii="Garamond" w:hAnsi="Garamond" w:cs="Garamond"/>
          <w:i/>
          <w:iCs/>
          <w:sz w:val="22"/>
          <w:szCs w:val="22"/>
        </w:rPr>
        <w:t>Scandinavian Journal of Medicine &amp; Science in Sports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20</w:t>
      </w:r>
      <w:r>
        <w:rPr>
          <w:rFonts w:ascii="Garamond" w:hAnsi="Garamond" w:cs="Garamond"/>
          <w:sz w:val="22"/>
          <w:szCs w:val="22"/>
        </w:rPr>
        <w:t>(1), 162−169. doi: 10.1111/j.1600-0838.2009.00933.x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Čoh, M. (2010). Biomechanical characteristics of take off action in high jump – a case study. </w:t>
      </w:r>
      <w:r>
        <w:rPr>
          <w:rFonts w:ascii="Garamond" w:hAnsi="Garamond" w:cs="Garamond"/>
          <w:i/>
          <w:iCs/>
          <w:sz w:val="22"/>
          <w:szCs w:val="22"/>
        </w:rPr>
        <w:t>Serbian Journal of Sports Sciences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4</w:t>
      </w:r>
      <w:r>
        <w:rPr>
          <w:rFonts w:ascii="Garamond" w:hAnsi="Garamond" w:cs="Garamond"/>
          <w:sz w:val="22"/>
          <w:szCs w:val="22"/>
        </w:rPr>
        <w:t>(4), 127–135.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Čoh, M., &amp; Bošnjak, G. (2010). Neuro-mišićne karakteristike maksimalne sprinterske brzine [Neuromuscular characteristics of maximum sprint speed]. </w:t>
      </w:r>
      <w:r>
        <w:rPr>
          <w:rFonts w:ascii="Garamond" w:hAnsi="Garamond" w:cs="Garamond"/>
          <w:i/>
          <w:iCs/>
          <w:sz w:val="22"/>
          <w:szCs w:val="22"/>
        </w:rPr>
        <w:t>Sportlogia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6</w:t>
      </w:r>
      <w:r>
        <w:rPr>
          <w:rFonts w:ascii="Garamond" w:hAnsi="Garamond" w:cs="Garamond"/>
          <w:sz w:val="22"/>
          <w:szCs w:val="22"/>
        </w:rPr>
        <w:t>(1), 28–35. doi: 10.5550/sgia.1001028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Dopsaj, M., &amp; Ivanović, J. (2011). The analysis of the reliability and factorial validity in the basic characteristics of isometric F-t curve of the leg extensors in well trained serbian males and females. </w:t>
      </w:r>
      <w:r>
        <w:rPr>
          <w:rFonts w:ascii="Garamond" w:hAnsi="Garamond" w:cs="Garamond"/>
          <w:i/>
          <w:iCs/>
          <w:sz w:val="22"/>
          <w:szCs w:val="22"/>
        </w:rPr>
        <w:t>Measurement Science Review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11</w:t>
      </w:r>
      <w:r>
        <w:rPr>
          <w:rFonts w:ascii="Garamond" w:hAnsi="Garamond" w:cs="Garamond"/>
          <w:sz w:val="22"/>
          <w:szCs w:val="22"/>
        </w:rPr>
        <w:t>(5), 165–172. doi: 10.2478/v10048-011-0027-9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Gruber, M., &amp; Gollhofer, A. (2004). Impact of sensorimotor training on the rate of force development and neural activation. </w:t>
      </w:r>
      <w:r>
        <w:rPr>
          <w:rFonts w:ascii="Garamond" w:hAnsi="Garamond" w:cs="Garamond"/>
          <w:i/>
          <w:iCs/>
          <w:sz w:val="22"/>
          <w:szCs w:val="22"/>
        </w:rPr>
        <w:t>European Journal of Applied Physiology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92</w:t>
      </w:r>
      <w:r>
        <w:rPr>
          <w:rFonts w:ascii="Garamond" w:hAnsi="Garamond" w:cs="Garamond"/>
          <w:sz w:val="22"/>
          <w:szCs w:val="22"/>
        </w:rPr>
        <w:t>(1-2), 98–105. doi: 10.1007/s00421-004-1080-y; PMid: 15024669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Haff, G. G., Carlock, J. M., Hartman, M. J., Kilgore, J. L. , Kawamori, N., Jackson, J. R., ... Stone, M. H. (2005). Force-time characteristics of dynamic and isometric muscle actions of elite women Olympic weightlifters. </w:t>
      </w:r>
      <w:r>
        <w:rPr>
          <w:rFonts w:ascii="Garamond" w:hAnsi="Garamond" w:cs="Garamond"/>
          <w:i/>
          <w:iCs/>
          <w:sz w:val="22"/>
          <w:szCs w:val="22"/>
        </w:rPr>
        <w:t>Journal of Strength and Conditioning Research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19</w:t>
      </w:r>
      <w:r>
        <w:rPr>
          <w:rFonts w:ascii="Garamond" w:hAnsi="Garamond" w:cs="Garamond"/>
          <w:sz w:val="22"/>
          <w:szCs w:val="22"/>
        </w:rPr>
        <w:t>(4), 741−748. doi: 10.1519/R-15134.1; doi: 10.1519/00124278-200511000-00004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Hair, J. F., Rolph, E. A., Ronald, L. T., &amp; William, C. B. (1998). </w:t>
      </w:r>
      <w:r>
        <w:rPr>
          <w:rFonts w:ascii="Garamond" w:hAnsi="Garamond" w:cs="Garamond"/>
          <w:i/>
          <w:iCs/>
          <w:sz w:val="22"/>
          <w:szCs w:val="22"/>
        </w:rPr>
        <w:t>Multivariate Data Analysis</w:t>
      </w:r>
      <w:r>
        <w:rPr>
          <w:rFonts w:ascii="Garamond" w:hAnsi="Garamond" w:cs="Garamond"/>
          <w:sz w:val="22"/>
          <w:szCs w:val="22"/>
        </w:rPr>
        <w:t>. 5th Ed. New Jersey, NJ: Prentice - Hall, Inc.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Hakkinen, K. (1991). Force production characteristics of leg extensor, trunk flexor and extensor muscles in male and female basketball players. </w:t>
      </w:r>
      <w:r>
        <w:rPr>
          <w:rFonts w:ascii="Garamond" w:hAnsi="Garamond" w:cs="Garamond"/>
          <w:i/>
          <w:iCs/>
          <w:sz w:val="22"/>
          <w:szCs w:val="22"/>
        </w:rPr>
        <w:t>Journal of Sports Medicine and Physical Fitness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31</w:t>
      </w:r>
      <w:r>
        <w:rPr>
          <w:rFonts w:ascii="Garamond" w:hAnsi="Garamond" w:cs="Garamond"/>
          <w:sz w:val="22"/>
          <w:szCs w:val="22"/>
        </w:rPr>
        <w:t xml:space="preserve">(3), 325−331. 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lastRenderedPageBreak/>
        <w:t xml:space="preserve">Hakkinen, K., Komi, P. V., Alen, M., &amp; Kauhanen, H. (1987). EMG, muscle fibre and force production characteristics during a 1 year training period in elite weight-lifters. </w:t>
      </w:r>
      <w:r>
        <w:rPr>
          <w:rFonts w:ascii="Garamond" w:hAnsi="Garamond" w:cs="Garamond"/>
          <w:i/>
          <w:iCs/>
          <w:sz w:val="22"/>
          <w:szCs w:val="22"/>
        </w:rPr>
        <w:t>European Journal of Applied Physiology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56</w:t>
      </w:r>
      <w:r>
        <w:rPr>
          <w:rFonts w:ascii="Garamond" w:hAnsi="Garamond" w:cs="Garamond"/>
          <w:sz w:val="22"/>
          <w:szCs w:val="22"/>
        </w:rPr>
        <w:t>(4), 419−427. doi: 10.1007/BF00417769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Ikemoto, Y., Demura, S., Yamaji, S., Minami, M., Nakada, N., &amp; Uchiyama, M. (2007). Force-time parameters during explosive isometric grip correlate with muscle power. </w:t>
      </w:r>
      <w:r>
        <w:rPr>
          <w:rFonts w:ascii="Garamond" w:hAnsi="Garamond" w:cs="Garamond"/>
          <w:i/>
          <w:iCs/>
          <w:sz w:val="22"/>
          <w:szCs w:val="22"/>
        </w:rPr>
        <w:t>Sport Sciences for Health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2</w:t>
      </w:r>
      <w:r>
        <w:rPr>
          <w:rFonts w:ascii="Garamond" w:hAnsi="Garamond" w:cs="Garamond"/>
          <w:sz w:val="22"/>
          <w:szCs w:val="22"/>
        </w:rPr>
        <w:t>(2), 64–70. doi: 10.1007/s11332-007-0041-3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Ivanović, J., Dopsaj, M., Ćopić, N., &amp;  Nešić, G. (2011). Is there a relation between maximal and explosive leg extensors isometric force? </w:t>
      </w:r>
      <w:r>
        <w:rPr>
          <w:rFonts w:ascii="Garamond" w:hAnsi="Garamond" w:cs="Garamond"/>
          <w:i/>
          <w:iCs/>
          <w:sz w:val="22"/>
          <w:szCs w:val="22"/>
        </w:rPr>
        <w:t>Facta Universitatis Series: Physical Education and Sport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9</w:t>
      </w:r>
      <w:r>
        <w:rPr>
          <w:rFonts w:ascii="Garamond" w:hAnsi="Garamond" w:cs="Garamond"/>
          <w:sz w:val="22"/>
          <w:szCs w:val="22"/>
        </w:rPr>
        <w:t>(3), 239–254.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Ivanović, J., Dopsaj, M., &amp; Nešić, G. (2011). Factor Structure differences of indicators for evaluating isometric leg extensors explosive force in female volleyball athletes and different trained female population. </w:t>
      </w:r>
      <w:r>
        <w:rPr>
          <w:rFonts w:ascii="Garamond" w:hAnsi="Garamond" w:cs="Garamond"/>
          <w:i/>
          <w:iCs/>
          <w:sz w:val="22"/>
          <w:szCs w:val="22"/>
        </w:rPr>
        <w:t>British Journal of Sports Medicine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45</w:t>
      </w:r>
      <w:r>
        <w:rPr>
          <w:rFonts w:ascii="Garamond" w:hAnsi="Garamond" w:cs="Garamond"/>
          <w:sz w:val="22"/>
          <w:szCs w:val="22"/>
        </w:rPr>
        <w:t>(6), 542. doi: 10.1136/bjsm.2011.084558.26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Kraska, J. M., Ramsey, M. V., Haff, G. G., Fethke, N., Sands, W. A., Stone, M. E., &amp; Stone, M. H. (2009). Relationship between strength characteristics and unweighted and weighted vertical jump height. </w:t>
      </w:r>
      <w:r>
        <w:rPr>
          <w:rFonts w:ascii="Garamond" w:hAnsi="Garamond" w:cs="Garamond"/>
          <w:i/>
          <w:iCs/>
          <w:sz w:val="22"/>
          <w:szCs w:val="22"/>
        </w:rPr>
        <w:t>International Journal of Sports Physiology and Performance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4</w:t>
      </w:r>
      <w:r>
        <w:rPr>
          <w:rFonts w:ascii="Garamond" w:hAnsi="Garamond" w:cs="Garamond"/>
          <w:sz w:val="22"/>
          <w:szCs w:val="22"/>
        </w:rPr>
        <w:t>(4), 461–473.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Mero, A. (1988). Force-time characteristics and running velocity of male sprinters during acceleration phase of sprinting. </w:t>
      </w:r>
      <w:r>
        <w:rPr>
          <w:rFonts w:ascii="Garamond" w:hAnsi="Garamond" w:cs="Garamond"/>
          <w:i/>
          <w:iCs/>
          <w:sz w:val="22"/>
          <w:szCs w:val="22"/>
        </w:rPr>
        <w:t>Research Quarterly for Exercise &amp; Sport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94</w:t>
      </w:r>
      <w:r>
        <w:rPr>
          <w:rFonts w:ascii="Garamond" w:hAnsi="Garamond" w:cs="Garamond"/>
          <w:sz w:val="22"/>
          <w:szCs w:val="22"/>
        </w:rPr>
        <w:t>(2), 94−98. doi: 10.1080/02701367.1988.10605484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Müller, E., Benko, U., Raschner, C. &amp; Schwamede. (2000). Specific fitness training and testing in competitive sports. </w:t>
      </w:r>
      <w:r>
        <w:rPr>
          <w:rFonts w:ascii="Garamond" w:hAnsi="Garamond" w:cs="Garamond"/>
          <w:i/>
          <w:iCs/>
          <w:sz w:val="22"/>
          <w:szCs w:val="22"/>
        </w:rPr>
        <w:t>Medicine and Science in Sports and Exerciseс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32</w:t>
      </w:r>
      <w:r>
        <w:rPr>
          <w:rFonts w:ascii="Garamond" w:hAnsi="Garamond" w:cs="Garamond"/>
          <w:sz w:val="22"/>
          <w:szCs w:val="22"/>
        </w:rPr>
        <w:t>(1), 216−220. doi: 10.1097/00005768-200001000-00032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Зациорски, В. (1982). Спортивная  метрoлогия [Sports metrology]. Москва: Физкультура и спорт. </w:t>
      </w:r>
    </w:p>
    <w:p w:rsidR="00936ED2" w:rsidRDefault="00936ED2" w:rsidP="00936ED2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Zatsiorsky, V. M., &amp; Kraemer, W. J. (2006). </w:t>
      </w:r>
      <w:r>
        <w:rPr>
          <w:rFonts w:ascii="Garamond" w:hAnsi="Garamond" w:cs="Garamond"/>
          <w:i/>
          <w:iCs/>
          <w:sz w:val="22"/>
          <w:szCs w:val="22"/>
        </w:rPr>
        <w:t>Science and practice of strength training</w:t>
      </w:r>
      <w:r>
        <w:rPr>
          <w:rFonts w:ascii="Garamond" w:hAnsi="Garamond" w:cs="Garamond"/>
          <w:sz w:val="22"/>
          <w:szCs w:val="22"/>
        </w:rPr>
        <w:t>. Champaign, IL: Human Kinetics.</w:t>
      </w:r>
    </w:p>
    <w:p w:rsidR="00936ED2" w:rsidRDefault="00936ED2" w:rsidP="00936ED2">
      <w:pPr>
        <w:pStyle w:val="BasicParagraph"/>
        <w:suppressAutoHyphens/>
        <w:spacing w:line="240" w:lineRule="auto"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Wilson, G., &amp; Murphy, A. (1996). Strength diagnosis: The use of test data to determine specific strength training. </w:t>
      </w:r>
      <w:r>
        <w:rPr>
          <w:rFonts w:ascii="Garamond" w:hAnsi="Garamond" w:cs="Garamond"/>
          <w:i/>
          <w:iCs/>
          <w:sz w:val="22"/>
          <w:szCs w:val="22"/>
        </w:rPr>
        <w:t>Journal of Sports Sciences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14</w:t>
      </w:r>
      <w:r>
        <w:rPr>
          <w:rFonts w:ascii="Garamond" w:hAnsi="Garamond" w:cs="Garamond"/>
          <w:sz w:val="22"/>
          <w:szCs w:val="22"/>
        </w:rPr>
        <w:t>(2), 167−173. doi: 10.1080/02640419608727698; PMid: 8737324</w:t>
      </w:r>
    </w:p>
    <w:p w:rsidR="00936ED2" w:rsidRDefault="00936ED2">
      <w:pPr>
        <w:rPr>
          <w:rFonts w:ascii="Garamond" w:hAnsi="Garamond" w:cs="Garamond"/>
          <w:color w:val="000000"/>
          <w:lang w:val="sl-SI"/>
        </w:rPr>
      </w:pPr>
      <w:r>
        <w:rPr>
          <w:rFonts w:ascii="Garamond" w:hAnsi="Garamond" w:cs="Garamond"/>
        </w:rPr>
        <w:br w:type="page"/>
      </w:r>
    </w:p>
    <w:p w:rsidR="00021716" w:rsidRPr="00364A18" w:rsidRDefault="00364A18" w:rsidP="00364A18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before="454" w:after="227" w:line="288" w:lineRule="auto"/>
        <w:textAlignment w:val="center"/>
        <w:rPr>
          <w:rFonts w:ascii="Times New Roman" w:hAnsi="Times New Roman" w:cs="Times New Roman"/>
          <w:caps/>
          <w:color w:val="000000"/>
          <w:sz w:val="32"/>
          <w:szCs w:val="32"/>
          <w:lang w:val="en-GB"/>
        </w:rPr>
      </w:pPr>
      <w:r w:rsidRPr="00364A18">
        <w:rPr>
          <w:rFonts w:ascii="Times New Roman" w:hAnsi="Times New Roman" w:cs="Times New Roman"/>
          <w:caps/>
          <w:color w:val="000000"/>
          <w:sz w:val="32"/>
          <w:szCs w:val="32"/>
          <w:lang w:val="en-GB"/>
        </w:rPr>
        <w:lastRenderedPageBreak/>
        <w:t xml:space="preserve">SPORT U METAFORI I METAFORA U SPORTU </w:t>
      </w:r>
    </w:p>
    <w:p w:rsidR="00021716" w:rsidRPr="00021716" w:rsidRDefault="00021716" w:rsidP="00021716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Garamond" w:hAnsi="Garamond" w:cs="Garamond"/>
          <w:bCs/>
          <w:color w:val="000000"/>
          <w:vertAlign w:val="superscript"/>
          <w:lang w:val="en-GB"/>
        </w:rPr>
      </w:pPr>
      <w:r w:rsidRPr="00021716">
        <w:rPr>
          <w:rFonts w:ascii="Garamond" w:hAnsi="Garamond" w:cs="Garamond"/>
          <w:bCs/>
          <w:color w:val="000000"/>
          <w:lang w:val="en-GB"/>
        </w:rPr>
        <w:t>Dalibor Kesić</w:t>
      </w:r>
      <w:r w:rsidRPr="00021716">
        <w:rPr>
          <w:rFonts w:ascii="Garamond" w:hAnsi="Garamond" w:cs="Garamond"/>
          <w:bCs/>
          <w:color w:val="000000"/>
          <w:vertAlign w:val="superscript"/>
          <w:lang w:val="en-GB"/>
        </w:rPr>
        <w:t>1</w:t>
      </w:r>
      <w:r w:rsidRPr="00021716">
        <w:rPr>
          <w:rFonts w:ascii="Garamond" w:hAnsi="Garamond" w:cs="Garamond"/>
          <w:bCs/>
          <w:color w:val="000000"/>
          <w:lang w:val="en-GB"/>
        </w:rPr>
        <w:t xml:space="preserve"> </w:t>
      </w:r>
      <w:r w:rsidR="00364A18">
        <w:rPr>
          <w:rFonts w:ascii="Garamond" w:hAnsi="Garamond" w:cs="Garamond"/>
          <w:bCs/>
          <w:color w:val="000000"/>
          <w:lang w:val="en-GB"/>
        </w:rPr>
        <w:t>i</w:t>
      </w:r>
      <w:r w:rsidRPr="00021716">
        <w:rPr>
          <w:rFonts w:ascii="Garamond" w:hAnsi="Garamond" w:cs="Garamond"/>
          <w:bCs/>
          <w:color w:val="000000"/>
          <w:lang w:val="en-GB"/>
        </w:rPr>
        <w:t xml:space="preserve"> Emir Muhić</w:t>
      </w:r>
      <w:r w:rsidRPr="00021716">
        <w:rPr>
          <w:rFonts w:ascii="Garamond" w:hAnsi="Garamond" w:cs="Garamond"/>
          <w:bCs/>
          <w:color w:val="000000"/>
          <w:vertAlign w:val="superscript"/>
          <w:lang w:val="en-GB"/>
        </w:rPr>
        <w:t>1</w:t>
      </w:r>
    </w:p>
    <w:p w:rsidR="00021716" w:rsidRDefault="00021716" w:rsidP="00021716">
      <w:pPr>
        <w:pStyle w:val="BasicParagraph"/>
        <w:suppressAutoHyphens/>
        <w:spacing w:line="240" w:lineRule="auto"/>
        <w:ind w:left="283" w:hanging="283"/>
        <w:jc w:val="left"/>
        <w:rPr>
          <w:sz w:val="20"/>
        </w:rPr>
      </w:pPr>
    </w:p>
    <w:p w:rsidR="00364A18" w:rsidRPr="00364A18" w:rsidRDefault="00021716" w:rsidP="00364A18">
      <w:pPr>
        <w:pStyle w:val="autorifunkcije"/>
        <w:ind w:left="0"/>
      </w:pPr>
      <w:r>
        <w:rPr>
          <w:vertAlign w:val="superscript"/>
        </w:rPr>
        <w:t>1</w:t>
      </w:r>
      <w:r w:rsidR="00364A18" w:rsidRPr="00364A18">
        <w:t>Filološki fakultet, Univerzitet Banja Luka, Bosna i Hercegovina</w:t>
      </w:r>
    </w:p>
    <w:p w:rsidR="00021716" w:rsidRDefault="00021716" w:rsidP="00364A18">
      <w:pPr>
        <w:pStyle w:val="autorifunkcije"/>
        <w:spacing w:line="240" w:lineRule="auto"/>
        <w:ind w:left="0"/>
      </w:pPr>
    </w:p>
    <w:p w:rsidR="00021716" w:rsidRPr="00021716" w:rsidRDefault="00364A18" w:rsidP="00021716">
      <w:pPr>
        <w:tabs>
          <w:tab w:val="left" w:pos="0"/>
          <w:tab w:val="right" w:pos="8940"/>
          <w:tab w:val="right" w:pos="9072"/>
          <w:tab w:val="left" w:pos="1512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Garamond" w:hAnsi="Garamond" w:cs="Garamond"/>
          <w:caps/>
          <w:color w:val="000000"/>
          <w:lang w:val="en-GB"/>
        </w:rPr>
      </w:pPr>
      <w:r>
        <w:rPr>
          <w:rFonts w:ascii="Garamond" w:hAnsi="Garamond" w:cs="Garamond"/>
          <w:caps/>
          <w:color w:val="000000"/>
          <w:lang w:val="en-GB"/>
        </w:rPr>
        <w:t xml:space="preserve">ORGINALNI NAUČNI </w:t>
      </w:r>
      <w:r w:rsidR="00B52FD8">
        <w:rPr>
          <w:rFonts w:ascii="Garamond" w:hAnsi="Garamond" w:cs="Garamond"/>
          <w:caps/>
          <w:color w:val="000000"/>
          <w:lang w:val="en-GB"/>
        </w:rPr>
        <w:t>ČLANAK</w:t>
      </w:r>
    </w:p>
    <w:p w:rsidR="00021716" w:rsidRDefault="00021716" w:rsidP="00021716">
      <w:pPr>
        <w:pStyle w:val="BasicParagraph"/>
        <w:suppressAutoHyphens/>
        <w:spacing w:line="240" w:lineRule="auto"/>
        <w:ind w:left="283" w:hanging="283"/>
        <w:jc w:val="left"/>
        <w:rPr>
          <w:sz w:val="20"/>
        </w:rPr>
      </w:pPr>
    </w:p>
    <w:p w:rsidR="00021716" w:rsidRPr="00021716" w:rsidRDefault="00021716" w:rsidP="00021716">
      <w:pPr>
        <w:tabs>
          <w:tab w:val="left" w:pos="0"/>
          <w:tab w:val="center" w:pos="4540"/>
          <w:tab w:val="right" w:pos="8940"/>
          <w:tab w:val="right" w:pos="9072"/>
        </w:tabs>
        <w:autoSpaceDE w:val="0"/>
        <w:autoSpaceDN w:val="0"/>
        <w:adjustRightInd w:val="0"/>
        <w:spacing w:line="288" w:lineRule="auto"/>
        <w:textAlignment w:val="center"/>
        <w:rPr>
          <w:rFonts w:ascii="Garamond" w:hAnsi="Garamond" w:cs="Garamond"/>
          <w:color w:val="000000"/>
          <w:sz w:val="20"/>
          <w:szCs w:val="20"/>
          <w:lang w:val="en-GB"/>
        </w:rPr>
      </w:pPr>
      <w:proofErr w:type="gramStart"/>
      <w:r w:rsidRPr="00021716">
        <w:rPr>
          <w:rFonts w:ascii="Garamond" w:hAnsi="Garamond" w:cs="Garamond"/>
          <w:color w:val="000000"/>
          <w:sz w:val="20"/>
          <w:szCs w:val="20"/>
          <w:lang w:val="en-GB"/>
        </w:rPr>
        <w:t>doi</w:t>
      </w:r>
      <w:proofErr w:type="gramEnd"/>
      <w:r w:rsidRPr="00021716">
        <w:rPr>
          <w:rFonts w:ascii="Garamond" w:hAnsi="Garamond" w:cs="Garamond"/>
          <w:color w:val="000000"/>
          <w:sz w:val="20"/>
          <w:szCs w:val="20"/>
          <w:lang w:val="en-GB"/>
        </w:rPr>
        <w:t>: 10.5550/sgia.</w:t>
      </w:r>
      <w:r w:rsidR="00CE479F">
        <w:rPr>
          <w:rFonts w:ascii="Garamond" w:hAnsi="Garamond" w:cs="Garamond"/>
          <w:color w:val="000000"/>
          <w:sz w:val="20"/>
          <w:szCs w:val="20"/>
          <w:lang w:val="en-GB"/>
        </w:rPr>
        <w:t>1309</w:t>
      </w:r>
      <w:r w:rsidRPr="00021716">
        <w:rPr>
          <w:rFonts w:ascii="Garamond" w:hAnsi="Garamond" w:cs="Garamond"/>
          <w:color w:val="000000"/>
          <w:sz w:val="20"/>
          <w:szCs w:val="20"/>
          <w:lang w:val="en-GB"/>
        </w:rPr>
        <w:t>01.</w:t>
      </w:r>
      <w:r w:rsidR="00364A18">
        <w:rPr>
          <w:rFonts w:ascii="Garamond" w:hAnsi="Garamond" w:cs="Garamond"/>
          <w:color w:val="000000"/>
          <w:sz w:val="20"/>
          <w:szCs w:val="20"/>
          <w:lang w:val="en-GB"/>
        </w:rPr>
        <w:t>se</w:t>
      </w:r>
      <w:r w:rsidRPr="00021716">
        <w:rPr>
          <w:rFonts w:ascii="Garamond" w:hAnsi="Garamond" w:cs="Garamond"/>
          <w:color w:val="000000"/>
          <w:sz w:val="20"/>
          <w:szCs w:val="20"/>
          <w:lang w:val="en-GB"/>
        </w:rPr>
        <w:t>.0</w:t>
      </w:r>
      <w:r w:rsidR="0019341C">
        <w:rPr>
          <w:rFonts w:ascii="Garamond" w:hAnsi="Garamond" w:cs="Garamond"/>
          <w:color w:val="000000"/>
          <w:sz w:val="20"/>
          <w:szCs w:val="20"/>
          <w:lang w:val="en-GB"/>
        </w:rPr>
        <w:t>04</w:t>
      </w:r>
      <w:r w:rsidRPr="00021716">
        <w:rPr>
          <w:rFonts w:ascii="Garamond" w:hAnsi="Garamond" w:cs="Garamond"/>
          <w:color w:val="000000"/>
          <w:sz w:val="20"/>
          <w:szCs w:val="20"/>
          <w:lang w:val="en-GB"/>
        </w:rPr>
        <w:t>K</w:t>
      </w:r>
    </w:p>
    <w:p w:rsidR="00021716" w:rsidRDefault="00364A18" w:rsidP="00021716">
      <w:pPr>
        <w:pStyle w:val="Podnaslov"/>
        <w:spacing w:before="0"/>
        <w:ind w:left="0" w:firstLine="0"/>
      </w:pPr>
      <w:r>
        <w:t>SAŽETAK</w:t>
      </w:r>
    </w:p>
    <w:p w:rsidR="00021716" w:rsidRDefault="00364A18" w:rsidP="00364A18">
      <w:pPr>
        <w:tabs>
          <w:tab w:val="right" w:pos="8280"/>
        </w:tabs>
        <w:autoSpaceDE w:val="0"/>
        <w:autoSpaceDN w:val="0"/>
        <w:adjustRightInd w:val="0"/>
        <w:spacing w:after="0" w:line="288" w:lineRule="auto"/>
        <w:ind w:right="283"/>
        <w:jc w:val="both"/>
        <w:textAlignment w:val="center"/>
      </w:pPr>
      <w:r w:rsidRPr="00364A18">
        <w:rPr>
          <w:rFonts w:ascii="Garamond" w:hAnsi="Garamond" w:cs="Garamond"/>
          <w:color w:val="000000"/>
          <w:lang w:val="en-US"/>
        </w:rPr>
        <w:t xml:space="preserve">Tema ovog rada su metafore i idiomi u engleskom jeziku koji kao motivacionu osnovu imaju sport, </w:t>
      </w:r>
      <w:proofErr w:type="gramStart"/>
      <w:r w:rsidRPr="00364A18">
        <w:rPr>
          <w:rFonts w:ascii="Garamond" w:hAnsi="Garamond" w:cs="Garamond"/>
          <w:color w:val="000000"/>
          <w:lang w:val="en-US"/>
        </w:rPr>
        <w:t>te</w:t>
      </w:r>
      <w:proofErr w:type="gramEnd"/>
      <w:r w:rsidRPr="00364A18">
        <w:rPr>
          <w:rFonts w:ascii="Garamond" w:hAnsi="Garamond" w:cs="Garamond"/>
          <w:color w:val="000000"/>
          <w:lang w:val="en-US"/>
        </w:rPr>
        <w:t xml:space="preserve"> težnja da se povuku određene paralele sa njihovim korespondentnim semantičkim ekvivalentima u srpskom jeziku. </w:t>
      </w:r>
      <w:proofErr w:type="gramStart"/>
      <w:r w:rsidRPr="00364A18">
        <w:rPr>
          <w:rFonts w:ascii="Garamond" w:hAnsi="Garamond" w:cs="Garamond"/>
          <w:color w:val="000000"/>
          <w:lang w:val="en-US"/>
        </w:rPr>
        <w:t>Spoznati porijeklo bilo kojeg idioma nije jednostavan zadatak.</w:t>
      </w:r>
      <w:proofErr w:type="gramEnd"/>
      <w:r w:rsidRPr="00364A18">
        <w:rPr>
          <w:rFonts w:ascii="Garamond" w:hAnsi="Garamond" w:cs="Garamond"/>
          <w:color w:val="000000"/>
          <w:lang w:val="en-US"/>
        </w:rPr>
        <w:t xml:space="preserve"> Još je teže razvrstati ih u grupe </w:t>
      </w:r>
      <w:proofErr w:type="gramStart"/>
      <w:r w:rsidRPr="00364A18">
        <w:rPr>
          <w:rFonts w:ascii="Garamond" w:hAnsi="Garamond" w:cs="Garamond"/>
          <w:color w:val="000000"/>
          <w:lang w:val="en-US"/>
        </w:rPr>
        <w:t>na</w:t>
      </w:r>
      <w:proofErr w:type="gramEnd"/>
      <w:r w:rsidRPr="00364A18">
        <w:rPr>
          <w:rFonts w:ascii="Garamond" w:hAnsi="Garamond" w:cs="Garamond"/>
          <w:color w:val="000000"/>
          <w:lang w:val="en-US"/>
        </w:rPr>
        <w:t xml:space="preserve"> osnovu njihove metaforičke motivacije. Jedna </w:t>
      </w:r>
      <w:proofErr w:type="gramStart"/>
      <w:r w:rsidRPr="00364A18">
        <w:rPr>
          <w:rFonts w:ascii="Garamond" w:hAnsi="Garamond" w:cs="Garamond"/>
          <w:color w:val="000000"/>
          <w:lang w:val="en-US"/>
        </w:rPr>
        <w:t>od</w:t>
      </w:r>
      <w:proofErr w:type="gramEnd"/>
      <w:r w:rsidRPr="00364A18">
        <w:rPr>
          <w:rFonts w:ascii="Garamond" w:hAnsi="Garamond" w:cs="Garamond"/>
          <w:color w:val="000000"/>
          <w:lang w:val="en-US"/>
        </w:rPr>
        <w:t xml:space="preserve"> grupa koju vrijedi istražiti odnosi se na za koje se čini da su motivisane sportom. Moguće je da njihovo značajno prisustvo među metaforičkim konstrukcijama zasnovano </w:t>
      </w:r>
      <w:proofErr w:type="gramStart"/>
      <w:r w:rsidRPr="00364A18">
        <w:rPr>
          <w:rFonts w:ascii="Garamond" w:hAnsi="Garamond" w:cs="Garamond"/>
          <w:color w:val="000000"/>
          <w:lang w:val="en-US"/>
        </w:rPr>
        <w:t>na</w:t>
      </w:r>
      <w:proofErr w:type="gramEnd"/>
      <w:r w:rsidRPr="00364A18">
        <w:rPr>
          <w:rFonts w:ascii="Garamond" w:hAnsi="Garamond" w:cs="Garamond"/>
          <w:color w:val="000000"/>
          <w:lang w:val="en-US"/>
        </w:rPr>
        <w:t xml:space="preserve"> njihovoj pogodnosti jer predstavljaju igrokaz između različitih značenja od kojih neka zaista prava igra među ljudima. Ono što ih razlikuje </w:t>
      </w:r>
      <w:proofErr w:type="gramStart"/>
      <w:r w:rsidRPr="00364A18">
        <w:rPr>
          <w:rFonts w:ascii="Garamond" w:hAnsi="Garamond" w:cs="Garamond"/>
          <w:color w:val="000000"/>
          <w:lang w:val="en-US"/>
        </w:rPr>
        <w:t>od</w:t>
      </w:r>
      <w:proofErr w:type="gramEnd"/>
      <w:r w:rsidRPr="00364A18">
        <w:rPr>
          <w:rFonts w:ascii="Garamond" w:hAnsi="Garamond" w:cs="Garamond"/>
          <w:color w:val="000000"/>
          <w:lang w:val="en-US"/>
        </w:rPr>
        <w:t xml:space="preserve"> ostalih vrsta izražavanja je činjenica dao uključuju terminologiju iz sporta a odnose se na nešto potpuno drugo, ponekad uključujući običan narod a ponekad visoke zvaničnike. No, ono što im je svima zajedničko je transfer značenja, iz jednog semantičkog polja u sasvim drugu arenu, u ovom slučaju u sportsku arenu. Ovim se implicira da frazeologija uključuje izreke, poslovice, idiolekt i svaki drugi oblik kolociranog iskaza kojim se denotira određeni objekat, savjet, ideja </w:t>
      </w:r>
      <w:proofErr w:type="gramStart"/>
      <w:r w:rsidRPr="00364A18">
        <w:rPr>
          <w:rFonts w:ascii="Garamond" w:hAnsi="Garamond" w:cs="Garamond"/>
          <w:color w:val="000000"/>
          <w:lang w:val="en-US"/>
        </w:rPr>
        <w:t>ili</w:t>
      </w:r>
      <w:proofErr w:type="gramEnd"/>
      <w:r w:rsidRPr="00364A18">
        <w:rPr>
          <w:rFonts w:ascii="Garamond" w:hAnsi="Garamond" w:cs="Garamond"/>
          <w:color w:val="000000"/>
          <w:lang w:val="en-US"/>
        </w:rPr>
        <w:t xml:space="preserve"> bilo šta drugo čije značenje u određenoj mjeri odudara od doslovnog značenja riječi koje su u njima sadržane. U dijelu o metodologiji, rad detaljnije razmatra više od 20 različitih metaforičkih izraza koji uključuju sportsku terminologiju, dok uvod, rezultati, diskusija i zaključak preispituju teoretske osnove koje leže u osnovi bilo kojeg obrta u značenju kada se grupa od nekoliko riječi udruži na takav način da im se promijeni zbir individualnog značenja.</w:t>
      </w:r>
      <w:r>
        <w:rPr>
          <w:rFonts w:ascii="Garamond" w:hAnsi="Garamond" w:cs="Garamond"/>
          <w:color w:val="000000"/>
          <w:lang w:val="en-US"/>
        </w:rPr>
        <w:t xml:space="preserve"> </w:t>
      </w:r>
    </w:p>
    <w:p w:rsidR="00021716" w:rsidRDefault="00364A18" w:rsidP="00021716">
      <w:pPr>
        <w:pStyle w:val="Tekst"/>
        <w:tabs>
          <w:tab w:val="right" w:pos="8280"/>
        </w:tabs>
        <w:spacing w:before="227"/>
        <w:ind w:firstLine="0"/>
        <w:jc w:val="left"/>
      </w:pPr>
      <w:r>
        <w:rPr>
          <w:b/>
          <w:bCs/>
        </w:rPr>
        <w:t>Ključne riječi</w:t>
      </w:r>
      <w:r w:rsidR="00021716">
        <w:rPr>
          <w:b/>
          <w:bCs/>
        </w:rPr>
        <w:t>:</w:t>
      </w:r>
      <w:r w:rsidR="00021716">
        <w:t xml:space="preserve"> factor structure, different trained athletes, force-time curve.</w:t>
      </w:r>
    </w:p>
    <w:p w:rsidR="003F440B" w:rsidRDefault="003F440B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Buncker, R. (Writer), &amp; Bacon, L (Dircetor). (1940). Knute Rockne, All American. [Motion picture]. United States: Warner Bros.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Cassirer, E. (1955). </w:t>
      </w:r>
      <w:r>
        <w:rPr>
          <w:rFonts w:ascii="Garamond" w:hAnsi="Garamond" w:cs="Garamond"/>
          <w:i/>
          <w:iCs/>
          <w:sz w:val="22"/>
          <w:szCs w:val="22"/>
        </w:rPr>
        <w:t>The Philosophy of Symbolic Forms</w:t>
      </w:r>
      <w:r>
        <w:rPr>
          <w:rFonts w:ascii="Garamond" w:hAnsi="Garamond" w:cs="Garamond"/>
          <w:sz w:val="22"/>
          <w:szCs w:val="22"/>
        </w:rPr>
        <w:t>. Volume One: Language. New Haven: Yale University Press.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Collins, J. (1986). </w:t>
      </w:r>
      <w:r>
        <w:rPr>
          <w:rFonts w:ascii="Garamond" w:hAnsi="Garamond" w:cs="Garamond"/>
          <w:i/>
          <w:iCs/>
          <w:sz w:val="22"/>
          <w:szCs w:val="22"/>
        </w:rPr>
        <w:t>Hollywood Husbands</w:t>
      </w:r>
      <w:r>
        <w:rPr>
          <w:rFonts w:ascii="Garamond" w:hAnsi="Garamond" w:cs="Garamond"/>
          <w:sz w:val="22"/>
          <w:szCs w:val="22"/>
        </w:rPr>
        <w:t>. New York: Pocket Books.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Dingwaney, A. (1995). I</w:t>
      </w:r>
      <w:r>
        <w:rPr>
          <w:rFonts w:ascii="Garamond" w:hAnsi="Garamond" w:cs="Garamond"/>
          <w:i/>
          <w:iCs/>
          <w:sz w:val="22"/>
          <w:szCs w:val="22"/>
        </w:rPr>
        <w:t>ntroduction: Translating Third World Cultures, Anuradha Dingwaney and Carol Maier, eds. Between Languages and Cultures, Translation and Cross Cultural Texts</w:t>
      </w:r>
      <w:r>
        <w:rPr>
          <w:rFonts w:ascii="Garamond" w:hAnsi="Garamond" w:cs="Garamond"/>
          <w:sz w:val="22"/>
          <w:szCs w:val="22"/>
        </w:rPr>
        <w:t>. Pittsburgh and London: University of Pittsburgh Press.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Dunne, F. P. (1901). </w:t>
      </w:r>
      <w:r>
        <w:rPr>
          <w:rFonts w:ascii="Garamond" w:hAnsi="Garamond" w:cs="Garamond"/>
          <w:i/>
          <w:iCs/>
          <w:sz w:val="22"/>
          <w:szCs w:val="22"/>
        </w:rPr>
        <w:t>Mr. Dooley's Opinions</w:t>
      </w:r>
      <w:r>
        <w:rPr>
          <w:rFonts w:ascii="Garamond" w:hAnsi="Garamond" w:cs="Garamond"/>
          <w:sz w:val="22"/>
          <w:szCs w:val="22"/>
        </w:rPr>
        <w:t>. New York: R. H. Russell Publisher.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Fairclough, N. (2003). </w:t>
      </w:r>
      <w:r>
        <w:rPr>
          <w:rFonts w:ascii="Garamond" w:hAnsi="Garamond" w:cs="Garamond"/>
          <w:i/>
          <w:iCs/>
          <w:sz w:val="22"/>
          <w:szCs w:val="22"/>
        </w:rPr>
        <w:t>Analysing Discourse - Textual analysis for social research</w:t>
      </w:r>
      <w:r>
        <w:rPr>
          <w:rFonts w:ascii="Garamond" w:hAnsi="Garamond" w:cs="Garamond"/>
          <w:sz w:val="22"/>
          <w:szCs w:val="22"/>
        </w:rPr>
        <w:t>. London and New York: Routledge.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Fast, H. (1979). </w:t>
      </w:r>
      <w:r>
        <w:rPr>
          <w:rFonts w:ascii="Garamond" w:hAnsi="Garamond" w:cs="Garamond"/>
          <w:i/>
          <w:iCs/>
          <w:sz w:val="22"/>
          <w:szCs w:val="22"/>
        </w:rPr>
        <w:t>The Establishment</w:t>
      </w:r>
      <w:r>
        <w:rPr>
          <w:rFonts w:ascii="Garamond" w:hAnsi="Garamond" w:cs="Garamond"/>
          <w:sz w:val="22"/>
          <w:szCs w:val="22"/>
        </w:rPr>
        <w:t>. Boston: Houghton Mifflin. PMCid: 1818983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Friedman, P. (1992). </w:t>
      </w:r>
      <w:r>
        <w:rPr>
          <w:rFonts w:ascii="Garamond" w:hAnsi="Garamond" w:cs="Garamond"/>
          <w:i/>
          <w:iCs/>
          <w:sz w:val="22"/>
          <w:szCs w:val="22"/>
        </w:rPr>
        <w:t>Inadmissible Evidence</w:t>
      </w:r>
      <w:r>
        <w:rPr>
          <w:rFonts w:ascii="Garamond" w:hAnsi="Garamond" w:cs="Garamond"/>
          <w:sz w:val="22"/>
          <w:szCs w:val="22"/>
        </w:rPr>
        <w:t>. New York: Ivy.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Fulghum, R. (1986). </w:t>
      </w:r>
      <w:r>
        <w:rPr>
          <w:rFonts w:ascii="Garamond" w:hAnsi="Garamond" w:cs="Garamond"/>
          <w:i/>
          <w:iCs/>
          <w:sz w:val="22"/>
          <w:szCs w:val="22"/>
        </w:rPr>
        <w:t>All I Really Need to Know I Leaned in Kindergarten</w:t>
      </w:r>
      <w:r>
        <w:rPr>
          <w:rFonts w:ascii="Garamond" w:hAnsi="Garamond" w:cs="Garamond"/>
          <w:sz w:val="22"/>
          <w:szCs w:val="22"/>
        </w:rPr>
        <w:t>. New York: Villard. PMid: 3775473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Hoffman, A., &amp; Manning, D. (1952). </w:t>
      </w:r>
      <w:r>
        <w:rPr>
          <w:rFonts w:ascii="Garamond" w:hAnsi="Garamond" w:cs="Garamond"/>
          <w:i/>
          <w:iCs/>
          <w:sz w:val="22"/>
          <w:szCs w:val="22"/>
        </w:rPr>
        <w:t>Takes Two to Tango</w:t>
      </w:r>
      <w:r>
        <w:rPr>
          <w:rFonts w:ascii="Garamond" w:hAnsi="Garamond" w:cs="Garamond"/>
          <w:sz w:val="22"/>
          <w:szCs w:val="22"/>
        </w:rPr>
        <w:t>. [Performed by Pearl Bailey]. [Grammofono record]. Kansas City: Coral Record.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King, S. (1978). </w:t>
      </w:r>
      <w:r>
        <w:rPr>
          <w:rFonts w:ascii="Garamond" w:hAnsi="Garamond" w:cs="Garamond"/>
          <w:i/>
          <w:iCs/>
          <w:sz w:val="22"/>
          <w:szCs w:val="22"/>
        </w:rPr>
        <w:t>The Stand</w:t>
      </w:r>
      <w:r>
        <w:rPr>
          <w:rFonts w:ascii="Garamond" w:hAnsi="Garamond" w:cs="Garamond"/>
          <w:sz w:val="22"/>
          <w:szCs w:val="22"/>
        </w:rPr>
        <w:t>. New York: Signet.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Korda, M. (1985). </w:t>
      </w:r>
      <w:r>
        <w:rPr>
          <w:rFonts w:ascii="Garamond" w:hAnsi="Garamond" w:cs="Garamond"/>
          <w:i/>
          <w:iCs/>
          <w:sz w:val="22"/>
          <w:szCs w:val="22"/>
        </w:rPr>
        <w:t>Queenie</w:t>
      </w:r>
      <w:r>
        <w:rPr>
          <w:rFonts w:ascii="Garamond" w:hAnsi="Garamond" w:cs="Garamond"/>
          <w:sz w:val="22"/>
          <w:szCs w:val="22"/>
        </w:rPr>
        <w:t>. New York: Warner.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Korda, M. (1989). </w:t>
      </w:r>
      <w:r>
        <w:rPr>
          <w:rFonts w:ascii="Garamond" w:hAnsi="Garamond" w:cs="Garamond"/>
          <w:i/>
          <w:iCs/>
          <w:sz w:val="22"/>
          <w:szCs w:val="22"/>
        </w:rPr>
        <w:t>The Fortune</w:t>
      </w:r>
      <w:r>
        <w:rPr>
          <w:rFonts w:ascii="Garamond" w:hAnsi="Garamond" w:cs="Garamond"/>
          <w:sz w:val="22"/>
          <w:szCs w:val="22"/>
        </w:rPr>
        <w:t>. New York: Warner.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Korzybski, A. (1948). </w:t>
      </w:r>
      <w:r>
        <w:rPr>
          <w:rFonts w:ascii="Garamond" w:hAnsi="Garamond" w:cs="Garamond"/>
          <w:i/>
          <w:iCs/>
          <w:sz w:val="22"/>
          <w:szCs w:val="22"/>
        </w:rPr>
        <w:t>Science and Sanity: An Introduction to Non-Aristotelian Systems and General Semantics</w:t>
      </w:r>
      <w:r>
        <w:rPr>
          <w:rFonts w:ascii="Garamond" w:hAnsi="Garamond" w:cs="Garamond"/>
          <w:sz w:val="22"/>
          <w:szCs w:val="22"/>
        </w:rPr>
        <w:t>. Connecticut: Library Publishing Company.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Lakoff, G., &amp; Johnsen, M. (2003). </w:t>
      </w:r>
      <w:r>
        <w:rPr>
          <w:rFonts w:ascii="Garamond" w:hAnsi="Garamond" w:cs="Garamond"/>
          <w:i/>
          <w:iCs/>
          <w:sz w:val="22"/>
          <w:szCs w:val="22"/>
        </w:rPr>
        <w:t>Metaphors We Live By</w:t>
      </w:r>
      <w:r>
        <w:rPr>
          <w:rFonts w:ascii="Garamond" w:hAnsi="Garamond" w:cs="Garamond"/>
          <w:sz w:val="22"/>
          <w:szCs w:val="22"/>
        </w:rPr>
        <w:t>. London: The University of Chicago press. http://dx.doi.org/10.7208/chicago/9780226470993.001.0001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Ludlum, R. (1988). </w:t>
      </w:r>
      <w:r>
        <w:rPr>
          <w:rFonts w:ascii="Garamond" w:hAnsi="Garamond" w:cs="Garamond"/>
          <w:i/>
          <w:iCs/>
          <w:sz w:val="22"/>
          <w:szCs w:val="22"/>
        </w:rPr>
        <w:t>The Icarus Agenda</w:t>
      </w:r>
      <w:r>
        <w:rPr>
          <w:rFonts w:ascii="Garamond" w:hAnsi="Garamond" w:cs="Garamond"/>
          <w:sz w:val="22"/>
          <w:szCs w:val="22"/>
        </w:rPr>
        <w:t>. New York: Bantam. PMCid:336791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lastRenderedPageBreak/>
        <w:t>MacDougall, R. (Producer), &amp; Rosenberg, S. (Director). 1966. Fame is the Name of the Game. [American TV move]. United states: NBC.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Mckee, A. (2003). </w:t>
      </w:r>
      <w:r>
        <w:rPr>
          <w:rFonts w:ascii="Garamond" w:hAnsi="Garamond" w:cs="Garamond"/>
          <w:i/>
          <w:iCs/>
          <w:sz w:val="22"/>
          <w:szCs w:val="22"/>
        </w:rPr>
        <w:t>Textual Analysis – a beginner's guide</w:t>
      </w:r>
      <w:r>
        <w:rPr>
          <w:rFonts w:ascii="Garamond" w:hAnsi="Garamond" w:cs="Garamond"/>
          <w:sz w:val="22"/>
          <w:szCs w:val="22"/>
        </w:rPr>
        <w:t>. Los Angeles, London, New Delhi, Singapore, Washington DC: Sage.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Morris, C. (1946). </w:t>
      </w:r>
      <w:r>
        <w:rPr>
          <w:rFonts w:ascii="Garamond" w:hAnsi="Garamond" w:cs="Garamond"/>
          <w:i/>
          <w:iCs/>
          <w:sz w:val="22"/>
          <w:szCs w:val="22"/>
        </w:rPr>
        <w:t>Signs, Language and Behaviour</w:t>
      </w:r>
      <w:r>
        <w:rPr>
          <w:rFonts w:ascii="Garamond" w:hAnsi="Garamond" w:cs="Garamond"/>
          <w:sz w:val="22"/>
          <w:szCs w:val="22"/>
        </w:rPr>
        <w:t>. New York: Prentice Hall.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Ogden, C. K., &amp; Richards, I. A. (1989). </w:t>
      </w:r>
      <w:r>
        <w:rPr>
          <w:rFonts w:ascii="Garamond" w:hAnsi="Garamond" w:cs="Garamond"/>
          <w:i/>
          <w:iCs/>
          <w:sz w:val="22"/>
          <w:szCs w:val="22"/>
        </w:rPr>
        <w:t>Collected Papers</w:t>
      </w:r>
      <w:r>
        <w:rPr>
          <w:rFonts w:ascii="Garamond" w:hAnsi="Garamond" w:cs="Garamond"/>
          <w:sz w:val="22"/>
          <w:szCs w:val="22"/>
        </w:rPr>
        <w:t>. London: Mariner Books.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O'Neill, E. (1959). </w:t>
      </w:r>
      <w:r>
        <w:rPr>
          <w:rFonts w:ascii="Garamond" w:hAnsi="Garamond" w:cs="Garamond"/>
          <w:i/>
          <w:iCs/>
          <w:sz w:val="22"/>
          <w:szCs w:val="22"/>
        </w:rPr>
        <w:t>Strange Interlude</w:t>
      </w:r>
      <w:r>
        <w:rPr>
          <w:rFonts w:ascii="Garamond" w:hAnsi="Garamond" w:cs="Garamond"/>
          <w:sz w:val="22"/>
          <w:szCs w:val="22"/>
        </w:rPr>
        <w:t>. New York: Vintage.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Sanders Peirce, C. (1935). </w:t>
      </w:r>
      <w:r>
        <w:rPr>
          <w:rFonts w:ascii="Garamond" w:hAnsi="Garamond" w:cs="Garamond"/>
          <w:i/>
          <w:iCs/>
          <w:sz w:val="22"/>
          <w:szCs w:val="22"/>
        </w:rPr>
        <w:t>Collected Papers</w:t>
      </w:r>
      <w:r>
        <w:rPr>
          <w:rFonts w:ascii="Garamond" w:hAnsi="Garamond" w:cs="Garamond"/>
          <w:sz w:val="22"/>
          <w:szCs w:val="22"/>
        </w:rPr>
        <w:t>. Cambridge: Cambridge University Press.</w:t>
      </w:r>
    </w:p>
    <w:p w:rsidR="00021716" w:rsidRDefault="00021716" w:rsidP="00021716">
      <w:pPr>
        <w:pStyle w:val="Tekst"/>
        <w:tabs>
          <w:tab w:val="right" w:pos="8280"/>
        </w:tabs>
        <w:ind w:left="283" w:hanging="283"/>
      </w:pPr>
      <w:proofErr w:type="gramStart"/>
      <w:r>
        <w:t>Stevenson, R. L., &amp; Osborne, L. (1892).</w:t>
      </w:r>
      <w:proofErr w:type="gramEnd"/>
      <w:r>
        <w:t xml:space="preserve"> </w:t>
      </w:r>
      <w:proofErr w:type="gramStart"/>
      <w:r>
        <w:rPr>
          <w:i/>
          <w:iCs/>
        </w:rPr>
        <w:t>The Wrecker</w:t>
      </w:r>
      <w:r>
        <w:t>.</w:t>
      </w:r>
      <w:proofErr w:type="gramEnd"/>
      <w:r>
        <w:t xml:space="preserve"> London: Cassell &amp; Company.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Thayer, E. L. (1888, June 3). Casey at the Bat. </w:t>
      </w:r>
      <w:r>
        <w:rPr>
          <w:rFonts w:ascii="Garamond" w:hAnsi="Garamond" w:cs="Garamond"/>
          <w:i/>
          <w:iCs/>
          <w:sz w:val="22"/>
          <w:szCs w:val="22"/>
        </w:rPr>
        <w:t>The San Francisco Examiner</w:t>
      </w:r>
      <w:r>
        <w:rPr>
          <w:rFonts w:ascii="Garamond" w:hAnsi="Garamond" w:cs="Garamond"/>
          <w:sz w:val="22"/>
          <w:szCs w:val="22"/>
        </w:rPr>
        <w:t>, n.p.</w:t>
      </w:r>
    </w:p>
    <w:p w:rsidR="00021716" w:rsidRDefault="00021716" w:rsidP="00021716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Titelman, G. (2000). </w:t>
      </w:r>
      <w:r>
        <w:rPr>
          <w:rFonts w:ascii="Garamond" w:hAnsi="Garamond" w:cs="Garamond"/>
          <w:i/>
          <w:iCs/>
          <w:sz w:val="22"/>
          <w:szCs w:val="22"/>
        </w:rPr>
        <w:t>America's Most Popular Proverbs and Sayings</w:t>
      </w:r>
      <w:r>
        <w:rPr>
          <w:rFonts w:ascii="Garamond" w:hAnsi="Garamond" w:cs="Garamond"/>
          <w:sz w:val="22"/>
          <w:szCs w:val="22"/>
        </w:rPr>
        <w:t>. New York: Random House.</w:t>
      </w:r>
    </w:p>
    <w:p w:rsidR="00021716" w:rsidRDefault="00021716" w:rsidP="00021716">
      <w:pPr>
        <w:pStyle w:val="BasicParagraph"/>
        <w:suppressAutoHyphens/>
        <w:ind w:left="283" w:hanging="283"/>
        <w:jc w:val="left"/>
      </w:pPr>
      <w:r>
        <w:rPr>
          <w:rFonts w:ascii="Garamond" w:hAnsi="Garamond" w:cs="Garamond"/>
          <w:sz w:val="22"/>
          <w:szCs w:val="22"/>
        </w:rPr>
        <w:t xml:space="preserve">Whorf, L. B. (1975). </w:t>
      </w:r>
      <w:r>
        <w:rPr>
          <w:rFonts w:ascii="Garamond" w:hAnsi="Garamond" w:cs="Garamond"/>
          <w:i/>
          <w:iCs/>
          <w:sz w:val="22"/>
          <w:szCs w:val="22"/>
        </w:rPr>
        <w:t>The Relation of Habitual Thought and Behaviour to Language</w:t>
      </w:r>
      <w:r>
        <w:rPr>
          <w:rFonts w:ascii="Garamond" w:hAnsi="Garamond" w:cs="Garamond"/>
          <w:sz w:val="22"/>
          <w:szCs w:val="22"/>
        </w:rPr>
        <w:t>. Cambridge: Cambridge University Press</w:t>
      </w:r>
    </w:p>
    <w:p w:rsidR="00021716" w:rsidRDefault="00021716">
      <w:pPr>
        <w:rPr>
          <w:rFonts w:ascii="Garamond" w:hAnsi="Garamond" w:cs="Garamond"/>
          <w:color w:val="000000"/>
          <w:lang w:val="en-US"/>
        </w:rPr>
      </w:pPr>
      <w:r>
        <w:br w:type="page"/>
      </w:r>
    </w:p>
    <w:p w:rsidR="003E4955" w:rsidRPr="003E4955" w:rsidRDefault="00B52FD8" w:rsidP="00B52FD8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before="454" w:after="227" w:line="288" w:lineRule="auto"/>
        <w:textAlignment w:val="center"/>
        <w:rPr>
          <w:rFonts w:ascii="Square721 Cn BT" w:hAnsi="Square721 Cn BT" w:cs="Square721 Cn BT"/>
          <w:caps/>
          <w:color w:val="000000"/>
          <w:sz w:val="32"/>
          <w:szCs w:val="32"/>
          <w:lang w:val="en-GB"/>
        </w:rPr>
      </w:pPr>
      <w:r w:rsidRPr="00B52FD8">
        <w:rPr>
          <w:rFonts w:ascii="Square721 Cn BT" w:hAnsi="Square721 Cn BT" w:cs="Square721 Cn BT"/>
          <w:caps/>
          <w:color w:val="000000"/>
          <w:sz w:val="32"/>
          <w:szCs w:val="32"/>
          <w:lang w:val="en-GB"/>
        </w:rPr>
        <w:lastRenderedPageBreak/>
        <w:t>MOTORIČKE KARAKTERISTIKE, dermatoglifika I</w:t>
      </w:r>
      <w:r w:rsidRPr="00B52FD8">
        <w:rPr>
          <w:rFonts w:ascii="Square721 Cn BT" w:hAnsi="Square721 Cn BT" w:cs="Square721 Cn BT"/>
          <w:caps/>
          <w:color w:val="000000"/>
          <w:sz w:val="32"/>
          <w:szCs w:val="32"/>
          <w:lang w:val="en-GB"/>
        </w:rPr>
        <w:br/>
        <w:t>eeg periodi djevojaka PRIJE I POSLIJE MENARHE</w:t>
      </w:r>
    </w:p>
    <w:p w:rsidR="003E4955" w:rsidRPr="003E4955" w:rsidRDefault="003E4955" w:rsidP="003E4955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170" w:line="288" w:lineRule="auto"/>
        <w:textAlignment w:val="center"/>
        <w:rPr>
          <w:rFonts w:ascii="Garamond" w:hAnsi="Garamond" w:cs="Garamond"/>
          <w:bCs/>
          <w:color w:val="000000"/>
          <w:vertAlign w:val="superscript"/>
          <w:lang w:val="en-GB"/>
        </w:rPr>
      </w:pPr>
      <w:r w:rsidRPr="003E4955">
        <w:rPr>
          <w:rFonts w:ascii="Garamond" w:hAnsi="Garamond" w:cs="Garamond"/>
          <w:bCs/>
          <w:color w:val="000000"/>
          <w:lang w:val="en-GB"/>
        </w:rPr>
        <w:t>Letícia Ecard Rocha</w:t>
      </w:r>
      <w:r w:rsidRPr="003E4955">
        <w:rPr>
          <w:rFonts w:ascii="Garamond" w:hAnsi="Garamond" w:cs="Garamond"/>
          <w:color w:val="000000"/>
          <w:vertAlign w:val="superscript"/>
          <w:lang w:val="en-GB"/>
        </w:rPr>
        <w:t>1, 2, 3</w:t>
      </w:r>
      <w:r w:rsidRPr="003E4955">
        <w:rPr>
          <w:rFonts w:ascii="Garamond" w:hAnsi="Garamond" w:cs="Garamond"/>
          <w:bCs/>
          <w:color w:val="000000"/>
          <w:lang w:val="en-GB"/>
        </w:rPr>
        <w:t>, Paula Roquetti Fernandes</w:t>
      </w:r>
      <w:r w:rsidRPr="003E4955">
        <w:rPr>
          <w:rFonts w:ascii="Garamond" w:hAnsi="Garamond" w:cs="Garamond"/>
          <w:bCs/>
          <w:color w:val="000000"/>
          <w:vertAlign w:val="superscript"/>
          <w:lang w:val="en-GB"/>
        </w:rPr>
        <w:t>1</w:t>
      </w:r>
      <w:proofErr w:type="gramStart"/>
      <w:r w:rsidRPr="003E4955">
        <w:rPr>
          <w:rFonts w:ascii="Garamond" w:hAnsi="Garamond" w:cs="Garamond"/>
          <w:bCs/>
          <w:color w:val="000000"/>
          <w:vertAlign w:val="superscript"/>
          <w:lang w:val="en-GB"/>
        </w:rPr>
        <w:t>,2</w:t>
      </w:r>
      <w:proofErr w:type="gramEnd"/>
      <w:r w:rsidRPr="003E4955">
        <w:rPr>
          <w:rFonts w:ascii="Garamond" w:hAnsi="Garamond" w:cs="Garamond"/>
          <w:bCs/>
          <w:color w:val="000000"/>
          <w:lang w:val="en-GB"/>
        </w:rPr>
        <w:t xml:space="preserve"> </w:t>
      </w:r>
      <w:r w:rsidR="00B52FD8">
        <w:rPr>
          <w:rFonts w:ascii="Garamond" w:hAnsi="Garamond" w:cs="Garamond"/>
          <w:bCs/>
          <w:color w:val="000000"/>
          <w:lang w:val="en-GB"/>
        </w:rPr>
        <w:t>i</w:t>
      </w:r>
      <w:r w:rsidRPr="003E4955">
        <w:rPr>
          <w:rFonts w:ascii="Garamond" w:hAnsi="Garamond" w:cs="Garamond"/>
          <w:bCs/>
          <w:color w:val="000000"/>
          <w:lang w:val="en-GB"/>
        </w:rPr>
        <w:t xml:space="preserve"> José Fernandes Filho</w:t>
      </w:r>
      <w:r w:rsidRPr="003E4955">
        <w:rPr>
          <w:rFonts w:ascii="Garamond" w:hAnsi="Garamond" w:cs="Garamond"/>
          <w:bCs/>
          <w:color w:val="000000"/>
          <w:vertAlign w:val="superscript"/>
          <w:lang w:val="en-GB"/>
        </w:rPr>
        <w:t>1,4</w:t>
      </w:r>
    </w:p>
    <w:p w:rsidR="00B52FD8" w:rsidRPr="00B52FD8" w:rsidRDefault="00B52FD8" w:rsidP="00B52FD8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Garamond" w:hAnsi="Garamond" w:cs="Garamond"/>
          <w:color w:val="000000"/>
          <w:sz w:val="20"/>
          <w:szCs w:val="20"/>
          <w:vertAlign w:val="superscript"/>
          <w:lang w:val="en-GB"/>
        </w:rPr>
      </w:pPr>
      <w:r w:rsidRPr="00B52FD8">
        <w:rPr>
          <w:rFonts w:ascii="Garamond" w:hAnsi="Garamond" w:cs="Garamond"/>
          <w:color w:val="000000"/>
          <w:sz w:val="20"/>
          <w:szCs w:val="20"/>
          <w:vertAlign w:val="superscript"/>
          <w:lang w:val="en-GB"/>
        </w:rPr>
        <w:t>1</w:t>
      </w:r>
      <w:r w:rsidRPr="00B52FD8">
        <w:rPr>
          <w:rFonts w:ascii="Garamond" w:hAnsi="Garamond" w:cs="Garamond"/>
          <w:color w:val="000000"/>
          <w:sz w:val="20"/>
          <w:szCs w:val="20"/>
          <w:lang w:val="en-GB"/>
        </w:rPr>
        <w:t>Centar za procjenu vrhunskih fizičkih kvaliteta, Rio de Žaneiro, Brazil</w:t>
      </w:r>
    </w:p>
    <w:p w:rsidR="00B52FD8" w:rsidRPr="00B52FD8" w:rsidRDefault="00B52FD8" w:rsidP="00B52FD8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Garamond" w:hAnsi="Garamond" w:cs="Garamond"/>
          <w:color w:val="000000"/>
          <w:sz w:val="20"/>
          <w:szCs w:val="20"/>
          <w:lang w:val="en-GB"/>
        </w:rPr>
      </w:pPr>
      <w:r w:rsidRPr="00B52FD8">
        <w:rPr>
          <w:rFonts w:ascii="Garamond" w:hAnsi="Garamond" w:cs="Garamond"/>
          <w:color w:val="000000"/>
          <w:sz w:val="20"/>
          <w:szCs w:val="20"/>
          <w:vertAlign w:val="superscript"/>
          <w:lang w:val="en-GB"/>
        </w:rPr>
        <w:t>2</w:t>
      </w:r>
      <w:r w:rsidRPr="00B52FD8">
        <w:rPr>
          <w:rFonts w:ascii="Garamond" w:hAnsi="Garamond" w:cs="Garamond"/>
          <w:color w:val="000000"/>
          <w:sz w:val="20"/>
          <w:szCs w:val="20"/>
          <w:lang w:val="en-GB"/>
        </w:rPr>
        <w:t>Bionaučna laboratorija za ljudske pokrete, Rio de Žaneiro, Brazil</w:t>
      </w:r>
    </w:p>
    <w:p w:rsidR="00B52FD8" w:rsidRPr="00B52FD8" w:rsidRDefault="00B52FD8" w:rsidP="00B52FD8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Garamond" w:hAnsi="Garamond" w:cs="Garamond"/>
          <w:color w:val="000000"/>
          <w:sz w:val="20"/>
          <w:szCs w:val="20"/>
          <w:lang w:val="en-GB"/>
        </w:rPr>
      </w:pPr>
      <w:r w:rsidRPr="00B52FD8">
        <w:rPr>
          <w:rFonts w:ascii="Garamond" w:hAnsi="Garamond" w:cs="Garamond"/>
          <w:color w:val="000000"/>
          <w:sz w:val="20"/>
          <w:szCs w:val="20"/>
          <w:vertAlign w:val="superscript"/>
          <w:lang w:val="en-GB"/>
        </w:rPr>
        <w:t>3</w:t>
      </w:r>
      <w:r w:rsidRPr="00B52FD8">
        <w:rPr>
          <w:rFonts w:ascii="Garamond" w:hAnsi="Garamond" w:cs="Garamond"/>
          <w:color w:val="000000"/>
          <w:sz w:val="20"/>
          <w:szCs w:val="20"/>
          <w:lang w:val="en-GB"/>
        </w:rPr>
        <w:t>Autonomni univerzitet Asuncion, Asuncion, Paragvaj</w:t>
      </w:r>
    </w:p>
    <w:p w:rsidR="003E4955" w:rsidRDefault="00B52FD8" w:rsidP="00B52FD8">
      <w:pPr>
        <w:pStyle w:val="autorifunkcije"/>
        <w:ind w:left="0"/>
      </w:pPr>
      <w:r w:rsidRPr="00B52FD8">
        <w:rPr>
          <w:vertAlign w:val="superscript"/>
        </w:rPr>
        <w:t>4</w:t>
      </w:r>
      <w:r w:rsidRPr="00B52FD8">
        <w:t>Federalni univerzitet u Rio da Žaneiru, Rio de Žaneiro, Brazil</w:t>
      </w:r>
    </w:p>
    <w:p w:rsidR="003E4955" w:rsidRPr="003E4955" w:rsidRDefault="00B52FD8" w:rsidP="003E4955">
      <w:pPr>
        <w:tabs>
          <w:tab w:val="left" w:pos="0"/>
          <w:tab w:val="right" w:pos="8940"/>
          <w:tab w:val="right" w:pos="9072"/>
          <w:tab w:val="left" w:pos="15120"/>
        </w:tabs>
        <w:autoSpaceDE w:val="0"/>
        <w:autoSpaceDN w:val="0"/>
        <w:adjustRightInd w:val="0"/>
        <w:spacing w:before="340" w:after="0" w:line="288" w:lineRule="auto"/>
        <w:textAlignment w:val="center"/>
        <w:rPr>
          <w:rFonts w:ascii="Garamond" w:hAnsi="Garamond" w:cs="Garamond"/>
          <w:caps/>
          <w:color w:val="000000"/>
          <w:lang w:val="en-GB"/>
        </w:rPr>
      </w:pPr>
      <w:r>
        <w:rPr>
          <w:rFonts w:ascii="Garamond" w:hAnsi="Garamond" w:cs="Garamond"/>
          <w:caps/>
          <w:color w:val="000000"/>
          <w:lang w:val="en-GB"/>
        </w:rPr>
        <w:t>ORGINALNI NAUČNI ČLANAK</w:t>
      </w:r>
    </w:p>
    <w:p w:rsidR="003E4955" w:rsidRPr="003E4955" w:rsidRDefault="003E4955" w:rsidP="003E4955">
      <w:pPr>
        <w:tabs>
          <w:tab w:val="left" w:pos="0"/>
          <w:tab w:val="center" w:pos="4540"/>
          <w:tab w:val="right" w:pos="8940"/>
          <w:tab w:val="right" w:pos="9072"/>
        </w:tabs>
        <w:autoSpaceDE w:val="0"/>
        <w:autoSpaceDN w:val="0"/>
        <w:adjustRightInd w:val="0"/>
        <w:spacing w:line="288" w:lineRule="auto"/>
        <w:textAlignment w:val="center"/>
        <w:rPr>
          <w:rFonts w:ascii="Garamond" w:hAnsi="Garamond" w:cs="Garamond"/>
          <w:color w:val="000000"/>
          <w:sz w:val="20"/>
          <w:szCs w:val="20"/>
          <w:lang w:val="en-GB"/>
        </w:rPr>
      </w:pPr>
      <w:proofErr w:type="gramStart"/>
      <w:r w:rsidRPr="003E4955">
        <w:rPr>
          <w:rFonts w:ascii="Garamond" w:hAnsi="Garamond" w:cs="Garamond"/>
          <w:color w:val="000000"/>
          <w:sz w:val="20"/>
          <w:szCs w:val="20"/>
          <w:lang w:val="en-GB"/>
        </w:rPr>
        <w:t>doi</w:t>
      </w:r>
      <w:proofErr w:type="gramEnd"/>
      <w:r w:rsidRPr="003E4955">
        <w:rPr>
          <w:rFonts w:ascii="Garamond" w:hAnsi="Garamond" w:cs="Garamond"/>
          <w:color w:val="000000"/>
          <w:sz w:val="20"/>
          <w:szCs w:val="20"/>
          <w:lang w:val="en-GB"/>
        </w:rPr>
        <w:t>: 10.5550/sgia.</w:t>
      </w:r>
      <w:r w:rsidR="00CE479F">
        <w:rPr>
          <w:rFonts w:ascii="Garamond" w:hAnsi="Garamond" w:cs="Garamond"/>
          <w:color w:val="000000"/>
          <w:sz w:val="20"/>
          <w:szCs w:val="20"/>
          <w:lang w:val="en-GB"/>
        </w:rPr>
        <w:t>1309</w:t>
      </w:r>
      <w:r w:rsidRPr="003E4955">
        <w:rPr>
          <w:rFonts w:ascii="Garamond" w:hAnsi="Garamond" w:cs="Garamond"/>
          <w:color w:val="000000"/>
          <w:sz w:val="20"/>
          <w:szCs w:val="20"/>
          <w:lang w:val="en-GB"/>
        </w:rPr>
        <w:t>01.</w:t>
      </w:r>
      <w:r w:rsidR="00B52FD8">
        <w:rPr>
          <w:rFonts w:ascii="Garamond" w:hAnsi="Garamond" w:cs="Garamond"/>
          <w:color w:val="000000"/>
          <w:sz w:val="20"/>
          <w:szCs w:val="20"/>
          <w:lang w:val="en-GB"/>
        </w:rPr>
        <w:t>se</w:t>
      </w:r>
      <w:r w:rsidRPr="003E4955">
        <w:rPr>
          <w:rFonts w:ascii="Garamond" w:hAnsi="Garamond" w:cs="Garamond"/>
          <w:color w:val="000000"/>
          <w:sz w:val="20"/>
          <w:szCs w:val="20"/>
          <w:lang w:val="en-GB"/>
        </w:rPr>
        <w:t>.0</w:t>
      </w:r>
      <w:r w:rsidR="0019341C">
        <w:rPr>
          <w:rFonts w:ascii="Garamond" w:hAnsi="Garamond" w:cs="Garamond"/>
          <w:color w:val="000000"/>
          <w:sz w:val="20"/>
          <w:szCs w:val="20"/>
          <w:lang w:val="en-GB"/>
        </w:rPr>
        <w:t>05</w:t>
      </w:r>
      <w:r w:rsidRPr="003E4955">
        <w:rPr>
          <w:rFonts w:ascii="Garamond" w:hAnsi="Garamond" w:cs="Garamond"/>
          <w:color w:val="000000"/>
          <w:sz w:val="20"/>
          <w:szCs w:val="20"/>
          <w:lang w:val="en-GB"/>
        </w:rPr>
        <w:t>R</w:t>
      </w:r>
    </w:p>
    <w:p w:rsidR="003E4955" w:rsidRDefault="00B52FD8" w:rsidP="003E4955">
      <w:pPr>
        <w:pStyle w:val="Podnaslov"/>
        <w:spacing w:before="0"/>
        <w:ind w:left="0" w:firstLine="0"/>
      </w:pPr>
      <w:r>
        <w:t>SAŽETAK</w:t>
      </w:r>
    </w:p>
    <w:p w:rsidR="003E4955" w:rsidRDefault="00B52FD8" w:rsidP="00B52FD8">
      <w:pPr>
        <w:tabs>
          <w:tab w:val="right" w:pos="8280"/>
        </w:tabs>
        <w:autoSpaceDE w:val="0"/>
        <w:autoSpaceDN w:val="0"/>
        <w:adjustRightInd w:val="0"/>
        <w:spacing w:after="0" w:line="288" w:lineRule="auto"/>
        <w:ind w:right="283"/>
        <w:jc w:val="both"/>
        <w:textAlignment w:val="center"/>
      </w:pPr>
      <w:proofErr w:type="gramStart"/>
      <w:r w:rsidRPr="00B52FD8">
        <w:rPr>
          <w:rFonts w:ascii="Garamond" w:hAnsi="Garamond" w:cs="Garamond"/>
          <w:color w:val="000000"/>
          <w:lang w:val="en-US"/>
        </w:rPr>
        <w:t>Identifikacija prve menstruacije u pubertetu važna je za procjenu motornih kvalitete organizma pošto je razvoj organizma rezultat njegovog sazrijevanja.</w:t>
      </w:r>
      <w:proofErr w:type="gramEnd"/>
      <w:r w:rsidRPr="00B52FD8">
        <w:rPr>
          <w:rFonts w:ascii="Garamond" w:hAnsi="Garamond" w:cs="Garamond"/>
          <w:color w:val="000000"/>
          <w:lang w:val="en-US"/>
        </w:rPr>
        <w:t xml:space="preserve"> </w:t>
      </w:r>
      <w:proofErr w:type="gramStart"/>
      <w:r w:rsidRPr="00B52FD8">
        <w:rPr>
          <w:rFonts w:ascii="Garamond" w:hAnsi="Garamond" w:cs="Garamond"/>
          <w:color w:val="000000"/>
          <w:lang w:val="en-US"/>
        </w:rPr>
        <w:t>Dermatoglifske karakteristike predstavljaju moguće pokazatelje genetskih predispizicija za osnovne fizičke osobine kao što su snaga, brzina, izdržljiovost, moć i koordinacija.</w:t>
      </w:r>
      <w:proofErr w:type="gramEnd"/>
      <w:r w:rsidRPr="00B52FD8">
        <w:rPr>
          <w:rFonts w:ascii="Garamond" w:hAnsi="Garamond" w:cs="Garamond"/>
          <w:color w:val="000000"/>
          <w:lang w:val="en-US"/>
        </w:rPr>
        <w:t xml:space="preserve"> </w:t>
      </w:r>
      <w:proofErr w:type="gramStart"/>
      <w:r w:rsidRPr="00B52FD8">
        <w:rPr>
          <w:rFonts w:ascii="Garamond" w:hAnsi="Garamond" w:cs="Garamond"/>
          <w:color w:val="000000"/>
          <w:lang w:val="en-US"/>
        </w:rPr>
        <w:t>Cilj ovog rada je poređenje motornih i dermatoglifskih karateristika i elektro snimanja mozga kod djevojčica u periodu prije i poslije prve menstruacije.</w:t>
      </w:r>
      <w:proofErr w:type="gramEnd"/>
      <w:r w:rsidRPr="00B52FD8">
        <w:rPr>
          <w:rFonts w:ascii="Garamond" w:hAnsi="Garamond" w:cs="Garamond"/>
          <w:color w:val="000000"/>
          <w:lang w:val="en-US"/>
        </w:rPr>
        <w:t xml:space="preserve"> U tu svrhu uzorak se sastojao </w:t>
      </w:r>
      <w:proofErr w:type="gramStart"/>
      <w:r w:rsidRPr="00B52FD8">
        <w:rPr>
          <w:rFonts w:ascii="Garamond" w:hAnsi="Garamond" w:cs="Garamond"/>
          <w:color w:val="000000"/>
          <w:lang w:val="en-US"/>
        </w:rPr>
        <w:t>od</w:t>
      </w:r>
      <w:proofErr w:type="gramEnd"/>
      <w:r w:rsidRPr="00B52FD8">
        <w:rPr>
          <w:rFonts w:ascii="Garamond" w:hAnsi="Garamond" w:cs="Garamond"/>
          <w:color w:val="000000"/>
          <w:lang w:val="en-US"/>
        </w:rPr>
        <w:t xml:space="preserve"> 45 djevojčica uzrasta od 10 do 14 godina i 11 mjeseci podjeljenih u dvije grupe, 21 u predmenarhnoj grupi (G1) i 24 u postmenarhnoj (G2). Analizirane varijable su: motorne karakteristike, dermatoglife i EEG (apsolutni alfa i beta talasi), elektrode u frontalnim regijama (F), centralnim (C) i parijetalnim, korištenje KTK protokola, protokol i snimanje spektralne aktivnosti otisaka prstiju kroz EEG. Rezultati pokazuju značajnu razliku u QM4 za </w:t>
      </w:r>
      <w:r w:rsidRPr="00B52FD8">
        <w:rPr>
          <w:rFonts w:ascii="Garamond" w:hAnsi="Garamond" w:cs="Garamond"/>
          <w:i/>
          <w:iCs/>
          <w:color w:val="000000"/>
          <w:lang w:val="en-US"/>
        </w:rPr>
        <w:t>p</w:t>
      </w:r>
      <w:r w:rsidRPr="00B52FD8">
        <w:rPr>
          <w:rFonts w:ascii="Garamond" w:hAnsi="Garamond" w:cs="Garamond"/>
          <w:color w:val="000000"/>
          <w:lang w:val="en-US"/>
        </w:rPr>
        <w:t>≤0</w:t>
      </w:r>
      <w:proofErr w:type="gramStart"/>
      <w:r w:rsidRPr="00B52FD8">
        <w:rPr>
          <w:rFonts w:ascii="Garamond" w:hAnsi="Garamond" w:cs="Garamond"/>
          <w:color w:val="000000"/>
          <w:lang w:val="en-US"/>
        </w:rPr>
        <w:t>,05</w:t>
      </w:r>
      <w:proofErr w:type="gramEnd"/>
      <w:r w:rsidRPr="00B52FD8">
        <w:rPr>
          <w:rFonts w:ascii="Garamond" w:hAnsi="Garamond" w:cs="Garamond"/>
          <w:color w:val="000000"/>
          <w:lang w:val="en-US"/>
        </w:rPr>
        <w:t xml:space="preserve"> između G1 i G2 grupe, a G2 postiže bolje rezultate. Porećenje rezultata motornih karakteristika, dermatoglifa i elektroencefalografije ukazuju </w:t>
      </w:r>
      <w:proofErr w:type="gramStart"/>
      <w:r w:rsidRPr="00B52FD8">
        <w:rPr>
          <w:rFonts w:ascii="Garamond" w:hAnsi="Garamond" w:cs="Garamond"/>
          <w:color w:val="000000"/>
          <w:lang w:val="en-US"/>
        </w:rPr>
        <w:t>na</w:t>
      </w:r>
      <w:proofErr w:type="gramEnd"/>
      <w:r w:rsidRPr="00B52FD8">
        <w:rPr>
          <w:rFonts w:ascii="Garamond" w:hAnsi="Garamond" w:cs="Garamond"/>
          <w:color w:val="000000"/>
          <w:lang w:val="en-US"/>
        </w:rPr>
        <w:t xml:space="preserve"> značajne razlike u spektralnim aktivnostima alfa ritma u djevojčica koje pripadaju grupi nakon menarhe. Treba imati u vidu da u odnosu </w:t>
      </w:r>
      <w:proofErr w:type="gramStart"/>
      <w:r w:rsidRPr="00B52FD8">
        <w:rPr>
          <w:rFonts w:ascii="Garamond" w:hAnsi="Garamond" w:cs="Garamond"/>
          <w:color w:val="000000"/>
          <w:lang w:val="en-US"/>
        </w:rPr>
        <w:t>na</w:t>
      </w:r>
      <w:proofErr w:type="gramEnd"/>
      <w:r w:rsidRPr="00B52FD8">
        <w:rPr>
          <w:rFonts w:ascii="Garamond" w:hAnsi="Garamond" w:cs="Garamond"/>
          <w:color w:val="000000"/>
          <w:lang w:val="en-US"/>
        </w:rPr>
        <w:t xml:space="preserve"> motorne karakteristike, dermatoglife i EEG grupe nisu posebno predstavljene. Ipak kade se spoje motorne karakteristike, dermatoglife i EEG grupa prije i poslije menarhe, postoji značajna razlika u odnosu </w:t>
      </w:r>
      <w:proofErr w:type="gramStart"/>
      <w:r w:rsidRPr="00B52FD8">
        <w:rPr>
          <w:rFonts w:ascii="Garamond" w:hAnsi="Garamond" w:cs="Garamond"/>
          <w:color w:val="000000"/>
          <w:lang w:val="en-US"/>
        </w:rPr>
        <w:t>na</w:t>
      </w:r>
      <w:proofErr w:type="gramEnd"/>
      <w:r w:rsidRPr="00B52FD8">
        <w:rPr>
          <w:rFonts w:ascii="Garamond" w:hAnsi="Garamond" w:cs="Garamond"/>
          <w:color w:val="000000"/>
          <w:lang w:val="en-US"/>
        </w:rPr>
        <w:t xml:space="preserve"> moždanu aktivnost samo u alfa ritmu i frontalno (F3, FZ, F4) i centralno (C3 i CZ) i u periodu poslije menarhe.</w:t>
      </w:r>
    </w:p>
    <w:p w:rsidR="00B52FD8" w:rsidRPr="00B52FD8" w:rsidRDefault="00B52FD8" w:rsidP="00B52FD8">
      <w:pPr>
        <w:pStyle w:val="Tekst"/>
        <w:tabs>
          <w:tab w:val="right" w:pos="8280"/>
        </w:tabs>
        <w:spacing w:before="227"/>
        <w:ind w:firstLine="0"/>
        <w:jc w:val="left"/>
      </w:pPr>
      <w:r>
        <w:rPr>
          <w:b/>
          <w:bCs/>
        </w:rPr>
        <w:t>Ključne riječi</w:t>
      </w:r>
      <w:r w:rsidR="003E4955">
        <w:rPr>
          <w:b/>
          <w:bCs/>
        </w:rPr>
        <w:t>:</w:t>
      </w:r>
      <w:r w:rsidR="003E4955">
        <w:t xml:space="preserve"> </w:t>
      </w:r>
      <w:r w:rsidRPr="00B52FD8">
        <w:t>menarha, koordinacija, dermatoglife, elektroencefalografija.</w:t>
      </w:r>
    </w:p>
    <w:p w:rsidR="00B52FD8" w:rsidRDefault="00B52FD8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Alegre, M., Labarga, A., Gurtubay, I. G., Iriarte, J., Malanda, A., &amp; Artieda, J. (2002). Beta ectroencephalograph changes durin passive movements: sensory afferences contribute to beta event-related desynchronization in humans. </w:t>
      </w:r>
      <w:r>
        <w:rPr>
          <w:rFonts w:ascii="Garamond" w:hAnsi="Garamond" w:cs="Garamond"/>
          <w:i/>
          <w:iCs/>
          <w:sz w:val="22"/>
          <w:szCs w:val="22"/>
        </w:rPr>
        <w:t>Neuroscience Letters</w:t>
      </w:r>
      <w:r>
        <w:rPr>
          <w:rFonts w:ascii="Garamond" w:hAnsi="Garamond" w:cs="Garamond"/>
          <w:sz w:val="22"/>
          <w:szCs w:val="22"/>
        </w:rPr>
        <w:t>, 331, 29–32. doi: 10.1016/S0304-3940(02)00825-X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Alvares, A., Valdes, P., Pascual, R. (1987). EEG developmental equations confirmed of Cuba school children. </w:t>
      </w:r>
      <w:r>
        <w:rPr>
          <w:rFonts w:ascii="Garamond" w:hAnsi="Garamond" w:cs="Garamond"/>
          <w:i/>
          <w:iCs/>
          <w:sz w:val="22"/>
          <w:szCs w:val="22"/>
        </w:rPr>
        <w:t>Electroencephalogr Clin Neurophysiol</w:t>
      </w:r>
      <w:r>
        <w:rPr>
          <w:rFonts w:ascii="Garamond" w:hAnsi="Garamond" w:cs="Garamond"/>
          <w:sz w:val="22"/>
          <w:szCs w:val="22"/>
        </w:rPr>
        <w:t>, 67, 330–332. doi: 10.1016/0013-4694(87)90119-2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American Academy of Neurology and American Clinical Neurophysiology Society. (1997). Assessment of digital EEG, quantitative EEG and EEG brain mapping. </w:t>
      </w:r>
      <w:r>
        <w:rPr>
          <w:rFonts w:ascii="Garamond" w:hAnsi="Garamond" w:cs="Garamond"/>
          <w:i/>
          <w:iCs/>
          <w:sz w:val="22"/>
          <w:szCs w:val="22"/>
        </w:rPr>
        <w:t>Neurology</w:t>
      </w:r>
      <w:r>
        <w:rPr>
          <w:rFonts w:ascii="Garamond" w:hAnsi="Garamond" w:cs="Garamond"/>
          <w:sz w:val="22"/>
          <w:szCs w:val="22"/>
        </w:rPr>
        <w:t>, 49, 277–292. doi: 10.1212/WNL.49.1.277; Pmid: 15003770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Angelakisa, E., Lubarb, J. F., Stathoupouloua, S., &amp; Kouniosa, J. (2004). Peak alpha frequency: an electroencephalographic measure of cognitive preparedness. </w:t>
      </w:r>
      <w:r>
        <w:rPr>
          <w:rFonts w:ascii="Garamond" w:hAnsi="Garamond" w:cs="Garamond"/>
          <w:i/>
          <w:iCs/>
          <w:sz w:val="22"/>
          <w:szCs w:val="22"/>
        </w:rPr>
        <w:t>Clin Neurophysiol</w:t>
      </w:r>
      <w:r>
        <w:rPr>
          <w:rFonts w:ascii="Garamond" w:hAnsi="Garamond" w:cs="Garamond"/>
          <w:sz w:val="22"/>
          <w:szCs w:val="22"/>
        </w:rPr>
        <w:t>, 115, 887–897.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Assef, M., Oliveira, A. S., Teixeira, E. S., &amp; Alonso, L. (2009). Dermatoglifos como preditores da coordenação motora em atletas da seleção brasileira feminina de futebol sub-17 [Dermatoglyphics as predictors of motor coordination in female athletes of the Brazilian national under-17 football]. </w:t>
      </w:r>
      <w:r>
        <w:rPr>
          <w:rFonts w:ascii="Garamond" w:hAnsi="Garamond" w:cs="Garamond"/>
          <w:i/>
          <w:iCs/>
          <w:sz w:val="22"/>
          <w:szCs w:val="22"/>
        </w:rPr>
        <w:t>Lecturas: Educacion Física y Deportes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14</w:t>
      </w:r>
      <w:r>
        <w:rPr>
          <w:rFonts w:ascii="Garamond" w:hAnsi="Garamond" w:cs="Garamond"/>
          <w:sz w:val="22"/>
          <w:szCs w:val="22"/>
        </w:rPr>
        <w:t>(132), s/p.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Barbosa, E. L., Araújo Filho, M. A., Montenegro, R. C., Sousa, J. B., Montenegro, V. C. G., Dantas, P. M. S., &amp; Fernandes Filho, J. (2007). Maturação sexual: análises das medidas antropométricas e somatotípicas de escolares [Sexual maturation: analysis of anthropometric and somatotype of schoolchildren]. </w:t>
      </w:r>
      <w:r>
        <w:rPr>
          <w:rFonts w:ascii="Garamond" w:hAnsi="Garamond" w:cs="Garamond"/>
          <w:i/>
          <w:iCs/>
          <w:sz w:val="22"/>
          <w:szCs w:val="22"/>
        </w:rPr>
        <w:t>Fitness &amp; Performance</w:t>
      </w:r>
      <w:r>
        <w:rPr>
          <w:rFonts w:ascii="Garamond" w:hAnsi="Garamond" w:cs="Garamond"/>
          <w:sz w:val="22"/>
          <w:szCs w:val="22"/>
        </w:rPr>
        <w:t>, 1, 10–13.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Bogdanov, N. N., Gorbachevskaya, N. L., Solonichenko, V. G., Yakupova, L. P., &amp; Iznak, A. P. (1998). EEG mapping in children with different dermatoglyphic patterns. </w:t>
      </w:r>
      <w:r>
        <w:rPr>
          <w:rFonts w:ascii="Garamond" w:hAnsi="Garamond" w:cs="Garamond"/>
          <w:i/>
          <w:iCs/>
          <w:sz w:val="22"/>
          <w:szCs w:val="22"/>
        </w:rPr>
        <w:t>Brain Topography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10</w:t>
      </w:r>
      <w:r>
        <w:rPr>
          <w:rFonts w:ascii="Garamond" w:hAnsi="Garamond" w:cs="Garamond"/>
          <w:sz w:val="22"/>
          <w:szCs w:val="22"/>
        </w:rPr>
        <w:t>(3), 221–225.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lastRenderedPageBreak/>
        <w:t xml:space="preserve">Collet, C., Folle, A., Pelozin, F., Botti, M., &amp; Nascimento, J. V. (2008). Nível de coordenação motora de escolares da rede estadual da cidade de Florianópolis [Level of coordination of schoolchildren of the state of the city of Florianópolis]. </w:t>
      </w:r>
      <w:r>
        <w:rPr>
          <w:rFonts w:ascii="Garamond" w:hAnsi="Garamond" w:cs="Garamond"/>
          <w:i/>
          <w:iCs/>
          <w:sz w:val="22"/>
          <w:szCs w:val="22"/>
        </w:rPr>
        <w:t>Motriz. Revista de Educação Física-UNESP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14</w:t>
      </w:r>
      <w:r>
        <w:rPr>
          <w:rFonts w:ascii="Garamond" w:hAnsi="Garamond" w:cs="Garamond"/>
          <w:sz w:val="22"/>
          <w:szCs w:val="22"/>
        </w:rPr>
        <w:t>(4), 373–380.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Conselho Nacional de Saúde. Normas para a realização de pesquisa em seres humanos, Resolução 196/96. (1996) [Standards for conducting research on human subjects, Resolution 196/96].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Dantas, P. M. S., &amp; Fernandes Filho, J. (2002). Identificação dos perfis genético, de aptidão física e somatotípico que caracterizam atletas masculinos, de alto rendimento, participantes do futsal adulto no Brasil [Identification of genetic profiles, fitness and somatotypical featuring male athletes, high performance, participants in adult indoor soccer in Brazil]. </w:t>
      </w:r>
      <w:r>
        <w:rPr>
          <w:rFonts w:ascii="Garamond" w:hAnsi="Garamond" w:cs="Garamond"/>
          <w:i/>
          <w:iCs/>
          <w:sz w:val="22"/>
          <w:szCs w:val="22"/>
        </w:rPr>
        <w:t>Fitness e Performance Journal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1</w:t>
      </w:r>
      <w:r>
        <w:rPr>
          <w:rFonts w:ascii="Garamond" w:hAnsi="Garamond" w:cs="Garamond"/>
          <w:sz w:val="22"/>
          <w:szCs w:val="22"/>
        </w:rPr>
        <w:t>(1), 28–36. doi: 10.3900/fpj.1.1.28.p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Deus, R. B. C., Bustamante, A., Lopes, V. P., Seabra, A. F. T., Silva, R. M. G., &amp; Maia, J. A. R. (2008). Coordenação motora: estudo de tracking em crianças dos 6 aos 10 anos da Região Autônoma  dos Açores, Portugal [Motor control: a study of tracking in children 6 to 10 years of the Autonomous Region of the Azores, Portugal]. </w:t>
      </w:r>
      <w:r>
        <w:rPr>
          <w:rFonts w:ascii="Garamond" w:hAnsi="Garamond" w:cs="Garamond"/>
          <w:i/>
          <w:iCs/>
          <w:sz w:val="22"/>
          <w:szCs w:val="22"/>
        </w:rPr>
        <w:t>Revista Brasileira de Cineantropometria e Desempenho Humano</w:t>
      </w:r>
      <w:r>
        <w:rPr>
          <w:rFonts w:ascii="Garamond" w:hAnsi="Garamond" w:cs="Garamond"/>
          <w:sz w:val="22"/>
          <w:szCs w:val="22"/>
        </w:rPr>
        <w:t>, 3, 215–222.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Eckert, H. M. (1993). </w:t>
      </w:r>
      <w:r>
        <w:rPr>
          <w:rFonts w:ascii="Garamond" w:hAnsi="Garamond" w:cs="Garamond"/>
          <w:i/>
          <w:iCs/>
          <w:sz w:val="22"/>
          <w:szCs w:val="22"/>
        </w:rPr>
        <w:t>Desenvolvimento Motor</w:t>
      </w:r>
      <w:r>
        <w:rPr>
          <w:rFonts w:ascii="Garamond" w:hAnsi="Garamond" w:cs="Garamond"/>
          <w:sz w:val="22"/>
          <w:szCs w:val="22"/>
        </w:rPr>
        <w:t xml:space="preserve"> [Motor Development]. São Paulo: Manole Ltda.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Feige, B., Aertsen, A., &amp; Feige-Kristeva, R. (2000). Dynamic synchronization between multiple cortical motor areas and muscle activity in phasic voluntary movements. </w:t>
      </w:r>
      <w:r>
        <w:rPr>
          <w:rFonts w:ascii="Garamond" w:hAnsi="Garamond" w:cs="Garamond"/>
          <w:i/>
          <w:iCs/>
          <w:sz w:val="22"/>
          <w:szCs w:val="22"/>
        </w:rPr>
        <w:t>Journal Phisiology</w:t>
      </w:r>
      <w:r>
        <w:rPr>
          <w:rFonts w:ascii="Garamond" w:hAnsi="Garamond" w:cs="Garamond"/>
          <w:sz w:val="22"/>
          <w:szCs w:val="22"/>
        </w:rPr>
        <w:t>, 5, 2622–2629.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Fernandes Filho, J., &amp; Roquetti Fernandes, P. (2010). </w:t>
      </w:r>
      <w:r>
        <w:rPr>
          <w:rFonts w:ascii="Garamond" w:hAnsi="Garamond" w:cs="Garamond"/>
          <w:i/>
          <w:iCs/>
          <w:sz w:val="22"/>
          <w:szCs w:val="22"/>
        </w:rPr>
        <w:t>Novas Tendências da Avaliação Física</w:t>
      </w:r>
      <w:r>
        <w:rPr>
          <w:rFonts w:ascii="Garamond" w:hAnsi="Garamond" w:cs="Garamond"/>
          <w:sz w:val="22"/>
          <w:szCs w:val="22"/>
        </w:rPr>
        <w:t xml:space="preserve"> [New Trends of the Physical Evaluation]. ISBN: 9788590994619. Rio de Janeiro.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Fernandes Filho, J. (1997). I</w:t>
      </w:r>
      <w:r>
        <w:rPr>
          <w:rFonts w:ascii="Garamond" w:hAnsi="Garamond" w:cs="Garamond"/>
          <w:i/>
          <w:iCs/>
          <w:sz w:val="22"/>
          <w:szCs w:val="22"/>
        </w:rPr>
        <w:t>mpressões dermatoglíficas: marcas genéticas na seleção dos tipos de esporte e lutas (a exemplo de desportistas do Brasil)</w:t>
      </w:r>
      <w:r>
        <w:rPr>
          <w:rFonts w:ascii="Garamond" w:hAnsi="Garamond" w:cs="Garamond"/>
          <w:sz w:val="22"/>
          <w:szCs w:val="22"/>
        </w:rPr>
        <w:t xml:space="preserve"> [Print dermatoglyphic: genetic markers in selecting types of sport and fights (such as athletes from Brazil)] Unpublished doctoral disserattion, VNIIFK, Moscou.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Fonseca Junior, S. J., Dantas, P. M. S., &amp; Fernandes Filho, J. (2009). Antropometria, composição corporal, somatotipo e qualidades físicas básicas em escolares nos períodos pré e pós menarca [Anthropometry, body composition, somatotype and basic physical qualities in students pre and post menarche]. </w:t>
      </w:r>
      <w:r>
        <w:rPr>
          <w:rFonts w:ascii="Garamond" w:hAnsi="Garamond" w:cs="Garamond"/>
          <w:i/>
          <w:iCs/>
          <w:sz w:val="22"/>
          <w:szCs w:val="22"/>
        </w:rPr>
        <w:t>Arquivos em Movimento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5</w:t>
      </w:r>
      <w:r>
        <w:rPr>
          <w:rFonts w:ascii="Garamond" w:hAnsi="Garamond" w:cs="Garamond"/>
          <w:sz w:val="22"/>
          <w:szCs w:val="22"/>
        </w:rPr>
        <w:t xml:space="preserve">(1), 45–59. 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Fonseca, L. C., Tedrus, G. M. A. S., Martins, S. M. V., Gilbert, M. A. P., Antunes, T. A., &amp; Laloni, D. T. (2003). Eletroencefalograma quantitativa em escolares sadios [Quantitative electroencephalogram in healthy schoolchildren]. </w:t>
      </w:r>
      <w:r>
        <w:rPr>
          <w:rFonts w:ascii="Garamond" w:hAnsi="Garamond" w:cs="Garamond"/>
          <w:i/>
          <w:iCs/>
          <w:sz w:val="22"/>
          <w:szCs w:val="22"/>
        </w:rPr>
        <w:t>Arquivos de Neuropsiquiatria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61</w:t>
      </w:r>
      <w:r>
        <w:rPr>
          <w:rFonts w:ascii="Garamond" w:hAnsi="Garamond" w:cs="Garamond"/>
          <w:sz w:val="22"/>
          <w:szCs w:val="22"/>
        </w:rPr>
        <w:t>(3-B), 796–801. doi: 10.1590/S0004-282X2003000500018; PMid: 14595486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Gasser, T., Verleger, R., Bãcher, P., &amp; Sroka, L. (1988). Development of the EEG of school-age children and adolescents: I. Analysis of band power. </w:t>
      </w:r>
      <w:r>
        <w:rPr>
          <w:rFonts w:ascii="Garamond" w:hAnsi="Garamond" w:cs="Garamond"/>
          <w:i/>
          <w:iCs/>
          <w:sz w:val="22"/>
          <w:szCs w:val="22"/>
        </w:rPr>
        <w:t>Electroencephalogr Clin Neurophysiol</w:t>
      </w:r>
      <w:r>
        <w:rPr>
          <w:rFonts w:ascii="Garamond" w:hAnsi="Garamond" w:cs="Garamond"/>
          <w:sz w:val="22"/>
          <w:szCs w:val="22"/>
        </w:rPr>
        <w:t>, 69, 91–99. doi: 10.1016/0013-4694(88)90204-0; doi: 10.1016/0013-4694(88)90205-2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Goda, Y., &amp; Stevens, C. (1996). Synaptic plasticity: The basis of particular types of learning. </w:t>
      </w:r>
      <w:r>
        <w:rPr>
          <w:rFonts w:ascii="Garamond" w:hAnsi="Garamond" w:cs="Garamond"/>
          <w:i/>
          <w:iCs/>
          <w:sz w:val="22"/>
          <w:szCs w:val="22"/>
        </w:rPr>
        <w:t>Current Biology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6</w:t>
      </w:r>
      <w:r>
        <w:rPr>
          <w:rFonts w:ascii="Garamond" w:hAnsi="Garamond" w:cs="Garamond"/>
          <w:sz w:val="22"/>
          <w:szCs w:val="22"/>
        </w:rPr>
        <w:t>(4), 375–378. doi: 10.1016/S0960-9822(02)00499-2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Gomes, M. da M., &amp; Bello, H. (2004). Maturação cerebral e eletroencefalograma [Brain maturation and electroencephalogram]. </w:t>
      </w:r>
      <w:r>
        <w:rPr>
          <w:rFonts w:ascii="Garamond" w:hAnsi="Garamond" w:cs="Garamond"/>
          <w:i/>
          <w:iCs/>
          <w:sz w:val="22"/>
          <w:szCs w:val="22"/>
        </w:rPr>
        <w:t>Revista Brasileira de Neurologia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40</w:t>
      </w:r>
      <w:r>
        <w:rPr>
          <w:rFonts w:ascii="Garamond" w:hAnsi="Garamond" w:cs="Garamond"/>
          <w:sz w:val="22"/>
          <w:szCs w:val="22"/>
        </w:rPr>
        <w:t>(1), 5–13.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Gorla, J. I., Duarte, E., &amp; Montagner, P. C. (2008). Avaliação da coordenação motora de escolares da área urbana do Município de Umuarama - PR Brasil [Assessment of the motor coordination of students from the urban area of Umuarama - PR Brazil]. </w:t>
      </w:r>
      <w:r>
        <w:rPr>
          <w:rFonts w:ascii="Garamond" w:hAnsi="Garamond" w:cs="Garamond"/>
          <w:i/>
          <w:iCs/>
          <w:sz w:val="22"/>
          <w:szCs w:val="22"/>
        </w:rPr>
        <w:t>Revista Brasileira de Ciência e Movimento</w:t>
      </w:r>
      <w:r>
        <w:rPr>
          <w:rFonts w:ascii="Garamond" w:hAnsi="Garamond" w:cs="Garamond"/>
          <w:sz w:val="22"/>
          <w:szCs w:val="22"/>
        </w:rPr>
        <w:t>, 2, 57–65.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Jasper, H. (1958). The ten-twenty electrode system of international federation. </w:t>
      </w:r>
      <w:r>
        <w:rPr>
          <w:rFonts w:ascii="Garamond" w:hAnsi="Garamond" w:cs="Garamond"/>
          <w:i/>
          <w:iCs/>
          <w:sz w:val="22"/>
          <w:szCs w:val="22"/>
        </w:rPr>
        <w:t>EEG and Clin Neurophysiol</w:t>
      </w:r>
      <w:r>
        <w:rPr>
          <w:rFonts w:ascii="Garamond" w:hAnsi="Garamond" w:cs="Garamond"/>
          <w:sz w:val="22"/>
          <w:szCs w:val="22"/>
        </w:rPr>
        <w:t>, 10, 371–375.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Kandel, E. R., Schwartz, J. H., &amp; Jessel, T. M. (2003). </w:t>
      </w:r>
      <w:r>
        <w:rPr>
          <w:rFonts w:ascii="Garamond" w:hAnsi="Garamond" w:cs="Garamond"/>
          <w:i/>
          <w:iCs/>
          <w:sz w:val="22"/>
          <w:szCs w:val="22"/>
        </w:rPr>
        <w:t>Princípios da neurociência</w:t>
      </w:r>
      <w:r>
        <w:rPr>
          <w:rFonts w:ascii="Garamond" w:hAnsi="Garamond" w:cs="Garamond"/>
          <w:sz w:val="22"/>
          <w:szCs w:val="22"/>
        </w:rPr>
        <w:t xml:space="preserve"> [Principles of Neuroscience]. 4a. ed. São Paulo: Manole.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Kiphard, E. J., &amp; Schilling, F. (1974).</w:t>
      </w:r>
      <w:r>
        <w:rPr>
          <w:rFonts w:ascii="Garamond" w:hAnsi="Garamond" w:cs="Garamond"/>
          <w:i/>
          <w:iCs/>
          <w:sz w:val="22"/>
          <w:szCs w:val="22"/>
        </w:rPr>
        <w:t>Körperkoordinationstest fürkinder, KTK</w:t>
      </w:r>
      <w:r>
        <w:rPr>
          <w:rFonts w:ascii="Garamond" w:hAnsi="Garamond" w:cs="Garamond"/>
          <w:sz w:val="22"/>
          <w:szCs w:val="22"/>
        </w:rPr>
        <w:t>. Weinheim: Beltz.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Linhares, R. V., Matta, M. O., Lima, J. R. P., Dantas, P. M. S., Costa, M. B., &amp; Fernandes Filho, J. (2009). Efeitos da maturação na composição corporal, nos dermatóglifos, no somatótipo e nas qualidades físicas básicas de adolescentes [Effects of aging on body composition, dermatoglyphics, somatotype and basic physical qualities of adolescents]. </w:t>
      </w:r>
      <w:r>
        <w:rPr>
          <w:rFonts w:ascii="Garamond" w:hAnsi="Garamond" w:cs="Garamond"/>
          <w:i/>
          <w:iCs/>
          <w:sz w:val="22"/>
          <w:szCs w:val="22"/>
        </w:rPr>
        <w:t>Arquivos Brasileiros de Endocrinologia e de Metabologia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53</w:t>
      </w:r>
      <w:r>
        <w:rPr>
          <w:rFonts w:ascii="Garamond" w:hAnsi="Garamond" w:cs="Garamond"/>
          <w:sz w:val="22"/>
          <w:szCs w:val="22"/>
        </w:rPr>
        <w:t>(1), 47–54. doi: 10.1590/S0004-27302009000100008; PMid: 19347185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Lopes, V. P., Maia, J. R. A, Silva, R. G., Seabra, A., &amp; Morais, F. P. (2003). Estudo do nível de desenvolvimento da coordenação motora da população escolar (6 a 10 anos de idade) da Região Autônoma dos Açores [Study of the level of </w:t>
      </w:r>
      <w:r>
        <w:rPr>
          <w:rFonts w:ascii="Garamond" w:hAnsi="Garamond" w:cs="Garamond"/>
          <w:sz w:val="22"/>
          <w:szCs w:val="22"/>
        </w:rPr>
        <w:lastRenderedPageBreak/>
        <w:t xml:space="preserve">development of motor coordination of the school population (6-10 years old) of the Autonomous Region of the Azores]. </w:t>
      </w:r>
      <w:r>
        <w:rPr>
          <w:rFonts w:ascii="Garamond" w:hAnsi="Garamond" w:cs="Garamond"/>
          <w:i/>
          <w:iCs/>
          <w:sz w:val="22"/>
          <w:szCs w:val="22"/>
        </w:rPr>
        <w:t>Revista Portuguesa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3</w:t>
      </w:r>
      <w:r>
        <w:rPr>
          <w:rFonts w:ascii="Garamond" w:hAnsi="Garamond" w:cs="Garamond"/>
          <w:sz w:val="22"/>
          <w:szCs w:val="22"/>
        </w:rPr>
        <w:t>(1), 147–160.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Lopes, V. P., &amp; Maia, J. A. R. (1997). Efeitos do ensino no desenvolvimento da capacidade de coordenação corporal em crianças de oito anos de idade [Effects of education in developing the capacity of body coordination in children eight years of age]. </w:t>
      </w:r>
      <w:r>
        <w:rPr>
          <w:rFonts w:ascii="Garamond" w:hAnsi="Garamond" w:cs="Garamond"/>
          <w:i/>
          <w:iCs/>
          <w:sz w:val="22"/>
          <w:szCs w:val="22"/>
        </w:rPr>
        <w:t>Revista Paulista de Educação Física</w:t>
      </w:r>
      <w:r>
        <w:rPr>
          <w:rFonts w:ascii="Garamond" w:hAnsi="Garamond" w:cs="Garamond"/>
          <w:sz w:val="22"/>
          <w:szCs w:val="22"/>
        </w:rPr>
        <w:t>, 1, 40–48.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Malina, R. M., Bouchard, C., &amp; Bar-Or, O. (2009). </w:t>
      </w:r>
      <w:r>
        <w:rPr>
          <w:rFonts w:ascii="Garamond" w:hAnsi="Garamond" w:cs="Garamond"/>
          <w:i/>
          <w:iCs/>
          <w:sz w:val="22"/>
          <w:szCs w:val="22"/>
        </w:rPr>
        <w:t>Crescimento, maturação e atividade física</w:t>
      </w:r>
      <w:r>
        <w:rPr>
          <w:rFonts w:ascii="Garamond" w:hAnsi="Garamond" w:cs="Garamond"/>
          <w:sz w:val="22"/>
          <w:szCs w:val="22"/>
        </w:rPr>
        <w:t xml:space="preserve"> [Growth, maturation and physical activity]. São Paulo: Phorte.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Malina, R. M., &amp; Brown, E. W. (1998). Growth and maturation of football players: implications for selection in youth programs. </w:t>
      </w:r>
      <w:r>
        <w:rPr>
          <w:rFonts w:ascii="Garamond" w:hAnsi="Garamond" w:cs="Garamond"/>
          <w:i/>
          <w:iCs/>
          <w:sz w:val="22"/>
          <w:szCs w:val="22"/>
        </w:rPr>
        <w:t>Insight: The F. A. Coaches Assocation J</w:t>
      </w:r>
      <w:r>
        <w:rPr>
          <w:rFonts w:ascii="Garamond" w:hAnsi="Garamond" w:cs="Garamond"/>
          <w:sz w:val="22"/>
          <w:szCs w:val="22"/>
        </w:rPr>
        <w:t>, 2, 27–30.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McFarland, D. J., Miner, L. A., Vaughan, T. M., &amp; Wolpaw, J. R. (2003). Mu and beta rhythm topographies during motor imagery and actual movements. </w:t>
      </w:r>
      <w:r>
        <w:rPr>
          <w:rFonts w:ascii="Garamond" w:hAnsi="Garamond" w:cs="Garamond"/>
          <w:i/>
          <w:iCs/>
          <w:sz w:val="22"/>
          <w:szCs w:val="22"/>
        </w:rPr>
        <w:t>Brain Topografy</w:t>
      </w:r>
      <w:r>
        <w:rPr>
          <w:rFonts w:ascii="Garamond" w:hAnsi="Garamond" w:cs="Garamond"/>
          <w:sz w:val="22"/>
          <w:szCs w:val="22"/>
        </w:rPr>
        <w:t>, 3, 177–186.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Mendonça, C. P., &amp; Anjos, L. A. (2004). Aspectos das práticas alimentares e da atividade física como determinantes do crescimento do sobrepeso/obesidade no Brasil [Aspects of eating habits and physical activity as determinants of growth of overweight / obesity in Brazil]. </w:t>
      </w:r>
      <w:r>
        <w:rPr>
          <w:rFonts w:ascii="Garamond" w:hAnsi="Garamond" w:cs="Garamond"/>
          <w:i/>
          <w:iCs/>
          <w:sz w:val="22"/>
          <w:szCs w:val="22"/>
        </w:rPr>
        <w:t>Cadernos de Saúde Pública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20</w:t>
      </w:r>
      <w:r>
        <w:rPr>
          <w:rFonts w:ascii="Garamond" w:hAnsi="Garamond" w:cs="Garamond"/>
          <w:sz w:val="22"/>
          <w:szCs w:val="22"/>
        </w:rPr>
        <w:t>(3), 698–709. doi: 10.1590/S0102-311X2004000300006; PMid: 15263980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Mirwald, R. L., Baxter-Jones, A. D. G., Bailey, D. A., &amp; Beunen, G. P. (2002). An assessment of maturity from anthropometric measurements.  </w:t>
      </w:r>
      <w:r>
        <w:rPr>
          <w:rFonts w:ascii="Garamond" w:hAnsi="Garamond" w:cs="Garamond"/>
          <w:i/>
          <w:iCs/>
          <w:sz w:val="22"/>
          <w:szCs w:val="22"/>
        </w:rPr>
        <w:t>Medicine &amp; Science in Sports &amp; Exercise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34</w:t>
      </w:r>
      <w:r>
        <w:rPr>
          <w:rFonts w:ascii="Garamond" w:hAnsi="Garamond" w:cs="Garamond"/>
          <w:sz w:val="22"/>
          <w:szCs w:val="22"/>
        </w:rPr>
        <w:t>(4), 689–694. doi: 10.1097/00005768-200204000-00020; PMid: 11932580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Oliveira, A. M. A. de, Cerqueira, E. M. M., Souza, J. S., &amp; Oliveira, A. C. de. (2003). Sobrepeso e obesidade infantil: influência de fatores biológicos e ambientais em Feira de Santana/BA [Childhood overweight and obesity: influence of biological and environmental factors in Feira de Santana / BA]. </w:t>
      </w:r>
      <w:r>
        <w:rPr>
          <w:rFonts w:ascii="Garamond" w:hAnsi="Garamond" w:cs="Garamond"/>
          <w:i/>
          <w:iCs/>
          <w:sz w:val="22"/>
          <w:szCs w:val="22"/>
        </w:rPr>
        <w:t>Arq. Bras. Endocrinol. Metab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47</w:t>
      </w:r>
      <w:r>
        <w:rPr>
          <w:rFonts w:ascii="Garamond" w:hAnsi="Garamond" w:cs="Garamond"/>
          <w:sz w:val="22"/>
          <w:szCs w:val="22"/>
        </w:rPr>
        <w:t>(2), 144–150. doi: 10.1590/S0004-27302003000200006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Oliveira Junior, A. V. (1996). </w:t>
      </w:r>
      <w:r>
        <w:rPr>
          <w:rFonts w:ascii="Garamond" w:hAnsi="Garamond" w:cs="Garamond"/>
          <w:i/>
          <w:iCs/>
          <w:sz w:val="22"/>
          <w:szCs w:val="22"/>
        </w:rPr>
        <w:t>Estudo do comportamento do crescimento e da maturação sexual em suas relações com a estratificação social em alunos do Colégio Pedro II na cidade do Rio de Janeiro</w:t>
      </w:r>
      <w:r>
        <w:rPr>
          <w:rFonts w:ascii="Garamond" w:hAnsi="Garamond" w:cs="Garamond"/>
          <w:sz w:val="22"/>
          <w:szCs w:val="22"/>
        </w:rPr>
        <w:t xml:space="preserve"> [Study of the behavior of growth and sexual maturity in their relations with the social stratification of students in Colegio Pedro II in the city of Rio de Janeiro]. Unpublished master thesis, Instituto de Educação Física e Desporto, Centro de Educação e Humanidades, UERJ, Rio de Janeiro.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Roquetti Fernandes, P. (2004). </w:t>
      </w:r>
      <w:r>
        <w:rPr>
          <w:rFonts w:ascii="Garamond" w:hAnsi="Garamond" w:cs="Garamond"/>
          <w:i/>
          <w:iCs/>
          <w:sz w:val="22"/>
          <w:szCs w:val="22"/>
        </w:rPr>
        <w:t>Estudo comparativo da Dermatoglifia, Somatotipia e do Consumo Máximo de Oxigênio dos Atletas da Seleção Brasileira de Futebol de Campo Portadores de Paralisia Cerebral e de Atletas Profissionais de Futebol de Campo não Portadores de Paralisia Cerebral</w:t>
      </w:r>
      <w:r>
        <w:rPr>
          <w:rFonts w:ascii="Garamond" w:hAnsi="Garamond" w:cs="Garamond"/>
          <w:sz w:val="22"/>
          <w:szCs w:val="22"/>
        </w:rPr>
        <w:t xml:space="preserve"> [Comparative study of Dermatoglyphics, somatotype and High Oxygen Consumer Athlete of the Brazilian Football Field Bearers of Cerebral Palsy and Professional Athletes Football Field not Cerebral Palsy Patients]. Unpublished doctoral disseration, UFRN. 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Sérgio, M. (2001). Motricidade Humana e Saúde [Human Motricity and Health]. </w:t>
      </w:r>
      <w:r>
        <w:rPr>
          <w:rFonts w:ascii="Garamond" w:hAnsi="Garamond" w:cs="Garamond"/>
          <w:i/>
          <w:iCs/>
          <w:sz w:val="22"/>
          <w:szCs w:val="22"/>
        </w:rPr>
        <w:t>Revista da Educação Física/UEM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12</w:t>
      </w:r>
      <w:r>
        <w:rPr>
          <w:rFonts w:ascii="Garamond" w:hAnsi="Garamond" w:cs="Garamond"/>
          <w:sz w:val="22"/>
          <w:szCs w:val="22"/>
        </w:rPr>
        <w:t>(2), 129–138.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Silva, T. M. (2007). Desenvolvimento percepto motor como forma de intervenção em distúrbios psicomotores em pessoas com necessidades educativas especiais [Perceptual motor development as an intervention in psychomotor disturbances in people with special educational needs]. </w:t>
      </w:r>
      <w:r>
        <w:rPr>
          <w:rFonts w:ascii="Garamond" w:hAnsi="Garamond" w:cs="Garamond"/>
          <w:i/>
          <w:iCs/>
          <w:sz w:val="22"/>
          <w:szCs w:val="22"/>
        </w:rPr>
        <w:t>Lecturas: Educacion Física y Deportes</w:t>
      </w:r>
      <w:r>
        <w:rPr>
          <w:rFonts w:ascii="Garamond" w:hAnsi="Garamond" w:cs="Garamond"/>
          <w:sz w:val="22"/>
          <w:szCs w:val="22"/>
        </w:rPr>
        <w:t>, 107, s/p.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Souza, N. A., Gorla, J. I., Araújo, P. F., Lifante, S. M., &amp; Campana, M. B. (2008). Análise da coordenação motora de pessoas surdas [Analysis of the motor coordination of deaf people]. </w:t>
      </w:r>
      <w:r>
        <w:rPr>
          <w:rFonts w:ascii="Garamond" w:hAnsi="Garamond" w:cs="Garamond"/>
          <w:i/>
          <w:iCs/>
          <w:sz w:val="22"/>
          <w:szCs w:val="22"/>
        </w:rPr>
        <w:t>Arquivo de Ciências da Saúde</w:t>
      </w:r>
      <w:r>
        <w:rPr>
          <w:rFonts w:ascii="Garamond" w:hAnsi="Garamond" w:cs="Garamond"/>
          <w:sz w:val="22"/>
          <w:szCs w:val="22"/>
        </w:rPr>
        <w:t>, 3, 205–211.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Thomas, J. R., Nelson, J. K., &amp; Silverman, S. J. (2007). </w:t>
      </w:r>
      <w:r>
        <w:rPr>
          <w:rFonts w:ascii="Garamond" w:hAnsi="Garamond" w:cs="Garamond"/>
          <w:i/>
          <w:iCs/>
          <w:sz w:val="22"/>
          <w:szCs w:val="22"/>
        </w:rPr>
        <w:t>Métodos de pesquisa em atividade física</w:t>
      </w:r>
      <w:r>
        <w:rPr>
          <w:rFonts w:ascii="Garamond" w:hAnsi="Garamond" w:cs="Garamond"/>
          <w:sz w:val="22"/>
          <w:szCs w:val="22"/>
        </w:rPr>
        <w:t xml:space="preserve"> [Research methods in physical activity]. Artmed: Porto Alegre.</w:t>
      </w:r>
    </w:p>
    <w:p w:rsidR="003E4955" w:rsidRDefault="003E4955" w:rsidP="003E4955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Ulbrich, A. Z., Bozza, R., Machado, H. S., Vasconcelos, I. Q. A., Stabelini, A., Mascarenhas, L. P. G., &amp; Campos, W. (2007). Aptidão física em crianças e adolescentes de diferentes estágios maturacionais [Physical fitness in children and adolescents of different maturational stages]. </w:t>
      </w:r>
      <w:r>
        <w:rPr>
          <w:rFonts w:ascii="Garamond" w:hAnsi="Garamond" w:cs="Garamond"/>
          <w:i/>
          <w:iCs/>
          <w:sz w:val="22"/>
          <w:szCs w:val="22"/>
        </w:rPr>
        <w:t>Fitness &amp; Performance Journal</w:t>
      </w:r>
      <w:r>
        <w:rPr>
          <w:rFonts w:ascii="Garamond" w:hAnsi="Garamond" w:cs="Garamond"/>
          <w:sz w:val="22"/>
          <w:szCs w:val="22"/>
        </w:rPr>
        <w:t>, 5, 277–282.</w:t>
      </w:r>
    </w:p>
    <w:p w:rsidR="00021716" w:rsidRDefault="003E4955" w:rsidP="003E4955">
      <w:pPr>
        <w:pStyle w:val="Tekst"/>
        <w:tabs>
          <w:tab w:val="right" w:pos="8280"/>
        </w:tabs>
        <w:spacing w:before="227"/>
        <w:ind w:firstLine="0"/>
        <w:jc w:val="left"/>
      </w:pPr>
      <w:r>
        <w:t xml:space="preserve">Vidal, S. M., Bustamante, A., Lopes, V. P., Seabra, A., Silva, R. G., &amp;  Maia, J. A. (2009). Construção de cartas centílicas da coordenação motora de crianças dos 6 aos 11 anos da Região Autônoma dos Açores, Portugal [Construction of letters centílicas motor coordination of children from 6 to 11 years of the Autonomous Region of the Azores, Portugal]. </w:t>
      </w:r>
      <w:r>
        <w:rPr>
          <w:i/>
          <w:iCs/>
        </w:rPr>
        <w:t>Revista Portuguesa de Ciências do Desporto</w:t>
      </w:r>
      <w:r>
        <w:t>, 1, 24–35.</w:t>
      </w:r>
    </w:p>
    <w:p w:rsidR="00851A24" w:rsidRPr="00C529C7" w:rsidRDefault="00E3564F" w:rsidP="00C529C7">
      <w:pPr>
        <w:tabs>
          <w:tab w:val="left" w:pos="0"/>
          <w:tab w:val="left" w:pos="2127"/>
          <w:tab w:val="right" w:pos="8940"/>
          <w:tab w:val="right" w:pos="9072"/>
        </w:tabs>
        <w:spacing w:before="454" w:after="227" w:line="288" w:lineRule="auto"/>
        <w:rPr>
          <w:rFonts w:ascii="Times New Roman" w:hAnsi="Times New Roman" w:cs="Times New Roman"/>
          <w:caps/>
          <w:color w:val="000000"/>
          <w:sz w:val="32"/>
          <w:szCs w:val="32"/>
          <w:lang w:val="en-GB"/>
        </w:rPr>
      </w:pPr>
      <w:r>
        <w:br w:type="page"/>
      </w:r>
      <w:r w:rsidR="00C529C7" w:rsidRPr="00C529C7">
        <w:rPr>
          <w:rFonts w:ascii="Times New Roman" w:hAnsi="Times New Roman" w:cs="Times New Roman"/>
          <w:caps/>
          <w:color w:val="000000"/>
          <w:sz w:val="32"/>
          <w:szCs w:val="32"/>
          <w:lang w:val="en-GB"/>
        </w:rPr>
        <w:lastRenderedPageBreak/>
        <w:t xml:space="preserve">UČESTALOST ANAEROBNE MOĆI KOD BRAZILACA NA </w:t>
      </w:r>
      <w:r w:rsidR="00C529C7" w:rsidRPr="00C529C7">
        <w:rPr>
          <w:rFonts w:ascii="Times New Roman" w:hAnsi="Times New Roman" w:cs="Times New Roman"/>
          <w:caps/>
          <w:color w:val="000000"/>
          <w:sz w:val="32"/>
          <w:szCs w:val="32"/>
          <w:lang w:val="en-GB"/>
        </w:rPr>
        <w:br/>
        <w:t>OSNOVU dermatoglifike i r577x polimorfizma actn3 proteina</w:t>
      </w:r>
    </w:p>
    <w:p w:rsidR="00851A24" w:rsidRPr="00851A24" w:rsidRDefault="00851A24" w:rsidP="00851A24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170" w:line="288" w:lineRule="auto"/>
        <w:textAlignment w:val="center"/>
        <w:rPr>
          <w:rFonts w:ascii="Garamond" w:hAnsi="Garamond" w:cs="Garamond"/>
          <w:bCs/>
          <w:color w:val="000000"/>
          <w:vertAlign w:val="superscript"/>
          <w:lang w:val="en-GB"/>
        </w:rPr>
      </w:pPr>
      <w:r w:rsidRPr="00851A24">
        <w:rPr>
          <w:rFonts w:ascii="Garamond" w:hAnsi="Garamond" w:cs="Garamond"/>
          <w:bCs/>
          <w:color w:val="000000"/>
          <w:lang w:val="en-GB"/>
        </w:rPr>
        <w:t>Carlos Renato Paz</w:t>
      </w:r>
      <w:r w:rsidRPr="00851A24">
        <w:rPr>
          <w:rFonts w:ascii="Garamond" w:hAnsi="Garamond" w:cs="Garamond"/>
          <w:bCs/>
          <w:color w:val="000000"/>
          <w:vertAlign w:val="superscript"/>
          <w:lang w:val="en-GB"/>
        </w:rPr>
        <w:t>1,3,6</w:t>
      </w:r>
      <w:r w:rsidRPr="00851A24">
        <w:rPr>
          <w:rFonts w:ascii="Garamond" w:hAnsi="Garamond" w:cs="Garamond"/>
          <w:bCs/>
          <w:color w:val="000000"/>
          <w:lang w:val="en-GB"/>
        </w:rPr>
        <w:t>, Ramon Cunha Montenegro</w:t>
      </w:r>
      <w:r w:rsidRPr="00851A24">
        <w:rPr>
          <w:rFonts w:ascii="Garamond" w:hAnsi="Garamond" w:cs="Garamond"/>
          <w:bCs/>
          <w:color w:val="000000"/>
          <w:vertAlign w:val="superscript"/>
          <w:lang w:val="en-GB"/>
        </w:rPr>
        <w:t>1,2,3</w:t>
      </w:r>
      <w:r w:rsidRPr="00851A24">
        <w:rPr>
          <w:rFonts w:ascii="Garamond" w:hAnsi="Garamond" w:cs="Garamond"/>
          <w:bCs/>
          <w:color w:val="000000"/>
          <w:lang w:val="en-GB"/>
        </w:rPr>
        <w:t>, Eric de Lucena Barbosa</w:t>
      </w:r>
      <w:r w:rsidRPr="00851A24">
        <w:rPr>
          <w:rFonts w:ascii="Garamond" w:hAnsi="Garamond" w:cs="Garamond"/>
          <w:bCs/>
          <w:color w:val="000000"/>
          <w:vertAlign w:val="superscript"/>
          <w:lang w:val="en-GB"/>
        </w:rPr>
        <w:t>1,2,6</w:t>
      </w:r>
      <w:r w:rsidRPr="00851A24">
        <w:rPr>
          <w:rFonts w:ascii="Garamond" w:hAnsi="Garamond" w:cs="Garamond"/>
          <w:bCs/>
          <w:color w:val="000000"/>
          <w:lang w:val="en-GB"/>
        </w:rPr>
        <w:t xml:space="preserve">, </w:t>
      </w:r>
      <w:r w:rsidRPr="00851A24">
        <w:rPr>
          <w:rFonts w:ascii="Garamond" w:hAnsi="Garamond" w:cs="Garamond"/>
          <w:bCs/>
          <w:color w:val="000000"/>
          <w:lang w:val="en-GB"/>
        </w:rPr>
        <w:br/>
        <w:t>Asdrúbal Nóbrega Montenegro-Neto</w:t>
      </w:r>
      <w:r w:rsidRPr="00851A24">
        <w:rPr>
          <w:rFonts w:ascii="Garamond" w:hAnsi="Garamond" w:cs="Garamond"/>
          <w:bCs/>
          <w:color w:val="000000"/>
          <w:vertAlign w:val="superscript"/>
          <w:lang w:val="en-GB"/>
        </w:rPr>
        <w:t>2</w:t>
      </w:r>
      <w:r w:rsidRPr="00851A24">
        <w:rPr>
          <w:rFonts w:ascii="Garamond" w:hAnsi="Garamond" w:cs="Garamond"/>
          <w:bCs/>
          <w:color w:val="000000"/>
          <w:lang w:val="en-GB"/>
        </w:rPr>
        <w:t>, Sérgio Marques de Lucena</w:t>
      </w:r>
      <w:r w:rsidRPr="00851A24">
        <w:rPr>
          <w:rFonts w:ascii="Garamond" w:hAnsi="Garamond" w:cs="Garamond"/>
          <w:bCs/>
          <w:color w:val="000000"/>
          <w:vertAlign w:val="superscript"/>
          <w:lang w:val="en-GB"/>
        </w:rPr>
        <w:t>4</w:t>
      </w:r>
      <w:r w:rsidRPr="00851A24">
        <w:rPr>
          <w:rFonts w:ascii="Garamond" w:hAnsi="Garamond" w:cs="Garamond"/>
          <w:bCs/>
          <w:color w:val="000000"/>
          <w:lang w:val="en-GB"/>
        </w:rPr>
        <w:t xml:space="preserve">, </w:t>
      </w:r>
      <w:r w:rsidRPr="00851A24">
        <w:rPr>
          <w:rFonts w:ascii="Garamond" w:hAnsi="Garamond" w:cs="Garamond"/>
          <w:bCs/>
          <w:color w:val="000000"/>
          <w:lang w:val="en-GB"/>
        </w:rPr>
        <w:br/>
        <w:t>Vanduir Soares de Araújo Filho</w:t>
      </w:r>
      <w:r w:rsidRPr="00851A24">
        <w:rPr>
          <w:rFonts w:ascii="Garamond" w:hAnsi="Garamond" w:cs="Garamond"/>
          <w:bCs/>
          <w:color w:val="000000"/>
          <w:vertAlign w:val="superscript"/>
          <w:lang w:val="en-GB"/>
        </w:rPr>
        <w:t>2,4,6</w:t>
      </w:r>
      <w:r w:rsidRPr="00851A24">
        <w:rPr>
          <w:rFonts w:ascii="Garamond" w:hAnsi="Garamond" w:cs="Garamond"/>
          <w:bCs/>
          <w:color w:val="000000"/>
          <w:lang w:val="en-GB"/>
        </w:rPr>
        <w:t>, Paula Roquetti Fernandes</w:t>
      </w:r>
      <w:r w:rsidRPr="00851A24">
        <w:rPr>
          <w:rFonts w:ascii="Garamond" w:hAnsi="Garamond" w:cs="Garamond"/>
          <w:bCs/>
          <w:color w:val="000000"/>
          <w:vertAlign w:val="superscript"/>
          <w:lang w:val="en-GB"/>
        </w:rPr>
        <w:t>5,6</w:t>
      </w:r>
      <w:r w:rsidRPr="00851A24">
        <w:rPr>
          <w:rFonts w:ascii="Garamond" w:hAnsi="Garamond" w:cs="Garamond"/>
          <w:bCs/>
          <w:color w:val="000000"/>
          <w:lang w:val="en-GB"/>
        </w:rPr>
        <w:t xml:space="preserve"> </w:t>
      </w:r>
      <w:r w:rsidR="00C529C7">
        <w:rPr>
          <w:rFonts w:ascii="Garamond" w:hAnsi="Garamond" w:cs="Garamond"/>
          <w:bCs/>
          <w:color w:val="000000"/>
          <w:lang w:val="en-GB"/>
        </w:rPr>
        <w:t>i</w:t>
      </w:r>
      <w:r w:rsidRPr="00851A24">
        <w:rPr>
          <w:rFonts w:ascii="Garamond" w:hAnsi="Garamond" w:cs="Garamond"/>
          <w:bCs/>
          <w:color w:val="000000"/>
          <w:lang w:val="en-GB"/>
        </w:rPr>
        <w:t xml:space="preserve"> José Fernandes Filho</w:t>
      </w:r>
      <w:r w:rsidRPr="00851A24">
        <w:rPr>
          <w:rFonts w:ascii="Garamond" w:hAnsi="Garamond" w:cs="Garamond"/>
          <w:bCs/>
          <w:color w:val="000000"/>
          <w:vertAlign w:val="superscript"/>
          <w:lang w:val="en-GB"/>
        </w:rPr>
        <w:t>1,5,6</w:t>
      </w:r>
    </w:p>
    <w:p w:rsidR="00C529C7" w:rsidRPr="00C529C7" w:rsidRDefault="00C529C7" w:rsidP="00C529C7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Garamond" w:hAnsi="Garamond" w:cs="Garamond"/>
          <w:color w:val="000000"/>
          <w:sz w:val="20"/>
          <w:szCs w:val="20"/>
          <w:lang w:val="en-GB"/>
        </w:rPr>
      </w:pPr>
      <w:r w:rsidRPr="00C529C7">
        <w:rPr>
          <w:rFonts w:ascii="Garamond" w:hAnsi="Garamond" w:cs="Garamond"/>
          <w:color w:val="000000"/>
          <w:sz w:val="20"/>
          <w:szCs w:val="20"/>
          <w:vertAlign w:val="superscript"/>
          <w:lang w:val="en-GB"/>
        </w:rPr>
        <w:t>1</w:t>
      </w:r>
      <w:r w:rsidRPr="00C529C7">
        <w:rPr>
          <w:rFonts w:ascii="Garamond" w:hAnsi="Garamond" w:cs="Garamond"/>
          <w:color w:val="000000"/>
          <w:sz w:val="20"/>
          <w:szCs w:val="20"/>
          <w:lang w:val="en-GB"/>
        </w:rPr>
        <w:t>Autonomni univerzitet Asuncion, Asuncion, Paragvaj</w:t>
      </w:r>
    </w:p>
    <w:p w:rsidR="00C529C7" w:rsidRPr="00C529C7" w:rsidRDefault="00C529C7" w:rsidP="00C529C7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Garamond" w:hAnsi="Garamond" w:cs="Garamond"/>
          <w:color w:val="000000"/>
          <w:sz w:val="20"/>
          <w:szCs w:val="20"/>
          <w:lang w:val="en-GB"/>
        </w:rPr>
      </w:pPr>
      <w:r w:rsidRPr="00C529C7">
        <w:rPr>
          <w:rFonts w:ascii="Garamond" w:hAnsi="Garamond" w:cs="Garamond"/>
          <w:color w:val="000000"/>
          <w:sz w:val="20"/>
          <w:szCs w:val="20"/>
          <w:vertAlign w:val="superscript"/>
          <w:lang w:val="en-GB"/>
        </w:rPr>
        <w:t>2</w:t>
      </w:r>
      <w:r w:rsidRPr="00C529C7">
        <w:rPr>
          <w:rFonts w:ascii="Garamond" w:hAnsi="Garamond" w:cs="Garamond"/>
          <w:color w:val="000000"/>
          <w:sz w:val="20"/>
          <w:szCs w:val="20"/>
          <w:lang w:val="en-GB"/>
        </w:rPr>
        <w:t>Labratorija za</w:t>
      </w:r>
      <w:r w:rsidRPr="00C529C7">
        <w:rPr>
          <w:rFonts w:ascii="Garamond" w:hAnsi="Garamond" w:cs="Garamond"/>
          <w:color w:val="000000"/>
          <w:sz w:val="20"/>
          <w:szCs w:val="20"/>
          <w:vertAlign w:val="superscript"/>
          <w:lang w:val="en-GB"/>
        </w:rPr>
        <w:t xml:space="preserve"> </w:t>
      </w:r>
      <w:r w:rsidRPr="00C529C7">
        <w:rPr>
          <w:rFonts w:ascii="Garamond" w:hAnsi="Garamond" w:cs="Garamond"/>
          <w:color w:val="000000"/>
          <w:sz w:val="20"/>
          <w:szCs w:val="20"/>
          <w:lang w:val="en-GB"/>
        </w:rPr>
        <w:t>procjenu fizičkih sposobnosti</w:t>
      </w:r>
      <w:r w:rsidRPr="00C529C7">
        <w:rPr>
          <w:rFonts w:ascii="Garamond" w:hAnsi="Garamond" w:cs="Garamond"/>
          <w:color w:val="000000"/>
          <w:sz w:val="20"/>
          <w:szCs w:val="20"/>
          <w:vertAlign w:val="superscript"/>
          <w:lang w:val="en-GB"/>
        </w:rPr>
        <w:t xml:space="preserve"> </w:t>
      </w:r>
      <w:proofErr w:type="gramStart"/>
      <w:r w:rsidRPr="00C529C7">
        <w:rPr>
          <w:rFonts w:ascii="Garamond" w:hAnsi="Garamond" w:cs="Garamond"/>
          <w:color w:val="000000"/>
          <w:sz w:val="20"/>
          <w:szCs w:val="20"/>
          <w:vertAlign w:val="superscript"/>
          <w:lang w:val="en-GB"/>
        </w:rPr>
        <w:t xml:space="preserve">-  </w:t>
      </w:r>
      <w:r w:rsidRPr="00C529C7">
        <w:rPr>
          <w:rFonts w:ascii="Garamond" w:hAnsi="Garamond" w:cs="Garamond"/>
          <w:color w:val="000000"/>
          <w:sz w:val="20"/>
          <w:szCs w:val="20"/>
          <w:lang w:val="en-GB"/>
        </w:rPr>
        <w:t>UNIPÊ</w:t>
      </w:r>
      <w:proofErr w:type="gramEnd"/>
      <w:r w:rsidRPr="00C529C7">
        <w:rPr>
          <w:rFonts w:ascii="Garamond" w:hAnsi="Garamond" w:cs="Garamond"/>
          <w:color w:val="000000"/>
          <w:sz w:val="20"/>
          <w:szCs w:val="20"/>
          <w:lang w:val="en-GB"/>
        </w:rPr>
        <w:t xml:space="preserve"> – SANNY, João Pessoa, Paraíba,</w:t>
      </w:r>
      <w:r w:rsidRPr="00C529C7">
        <w:rPr>
          <w:rFonts w:ascii="Garamond" w:hAnsi="Garamond" w:cs="Garamond"/>
          <w:color w:val="000000"/>
          <w:sz w:val="20"/>
          <w:szCs w:val="20"/>
          <w:lang w:val="en-GB"/>
        </w:rPr>
        <w:br/>
        <w:t xml:space="preserve"> Brazil</w:t>
      </w:r>
    </w:p>
    <w:p w:rsidR="00C529C7" w:rsidRPr="00C529C7" w:rsidRDefault="00C529C7" w:rsidP="00C529C7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Garamond" w:hAnsi="Garamond" w:cs="Garamond"/>
          <w:color w:val="000000"/>
          <w:sz w:val="20"/>
          <w:szCs w:val="20"/>
          <w:vertAlign w:val="superscript"/>
          <w:lang w:val="en-GB"/>
        </w:rPr>
      </w:pPr>
      <w:r w:rsidRPr="00C529C7">
        <w:rPr>
          <w:rFonts w:ascii="Garamond" w:hAnsi="Garamond" w:cs="Garamond"/>
          <w:color w:val="000000"/>
          <w:sz w:val="20"/>
          <w:szCs w:val="20"/>
          <w:vertAlign w:val="superscript"/>
          <w:lang w:val="en-GB"/>
        </w:rPr>
        <w:t>3</w:t>
      </w:r>
      <w:r w:rsidRPr="00C529C7">
        <w:rPr>
          <w:rFonts w:ascii="Garamond" w:hAnsi="Garamond" w:cs="Garamond"/>
          <w:color w:val="000000"/>
          <w:sz w:val="20"/>
          <w:szCs w:val="20"/>
          <w:lang w:val="en-GB"/>
        </w:rPr>
        <w:t>Savezni institut za obrazovanje, nauku i tehnoligiju u Paraibu - IFPB, João Pessoa,</w:t>
      </w:r>
      <w:r w:rsidRPr="00C529C7">
        <w:rPr>
          <w:rFonts w:ascii="Garamond" w:hAnsi="Garamond" w:cs="Garamond"/>
          <w:color w:val="000000"/>
          <w:sz w:val="20"/>
          <w:szCs w:val="20"/>
          <w:lang w:val="en-GB"/>
        </w:rPr>
        <w:br/>
        <w:t xml:space="preserve"> Paraíba, Brazil</w:t>
      </w:r>
    </w:p>
    <w:p w:rsidR="00C529C7" w:rsidRPr="00C529C7" w:rsidRDefault="00C529C7" w:rsidP="00C529C7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Garamond" w:hAnsi="Garamond" w:cs="Garamond"/>
          <w:color w:val="000000"/>
          <w:sz w:val="20"/>
          <w:szCs w:val="20"/>
          <w:lang w:val="en-GB"/>
        </w:rPr>
      </w:pPr>
      <w:r w:rsidRPr="00C529C7">
        <w:rPr>
          <w:rFonts w:ascii="Garamond" w:hAnsi="Garamond" w:cs="Garamond"/>
          <w:color w:val="000000"/>
          <w:sz w:val="20"/>
          <w:szCs w:val="20"/>
          <w:vertAlign w:val="superscript"/>
          <w:lang w:val="en-GB"/>
        </w:rPr>
        <w:t>4</w:t>
      </w:r>
      <w:r w:rsidRPr="00C529C7">
        <w:rPr>
          <w:rFonts w:ascii="Garamond" w:hAnsi="Garamond" w:cs="Garamond"/>
          <w:color w:val="000000"/>
          <w:sz w:val="20"/>
          <w:szCs w:val="20"/>
          <w:lang w:val="en-GB"/>
        </w:rPr>
        <w:t>Policijski naučni institut u Paraibu SPI-OB, João Pessoa, Paraíba, Brazil</w:t>
      </w:r>
    </w:p>
    <w:p w:rsidR="00C529C7" w:rsidRPr="00C529C7" w:rsidRDefault="00C529C7" w:rsidP="00C529C7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Garamond" w:hAnsi="Garamond" w:cs="Garamond"/>
          <w:color w:val="000000"/>
          <w:sz w:val="20"/>
          <w:szCs w:val="20"/>
          <w:lang w:val="en-GB"/>
        </w:rPr>
      </w:pPr>
      <w:r w:rsidRPr="00C529C7">
        <w:rPr>
          <w:rFonts w:ascii="Garamond" w:hAnsi="Garamond" w:cs="Garamond"/>
          <w:color w:val="000000"/>
          <w:sz w:val="20"/>
          <w:szCs w:val="20"/>
          <w:vertAlign w:val="superscript"/>
          <w:lang w:val="en-GB"/>
        </w:rPr>
        <w:t>5</w:t>
      </w:r>
      <w:r w:rsidRPr="00C529C7">
        <w:rPr>
          <w:rFonts w:ascii="Garamond" w:hAnsi="Garamond" w:cs="Garamond"/>
          <w:color w:val="000000"/>
          <w:sz w:val="20"/>
          <w:szCs w:val="20"/>
          <w:lang w:val="en-GB"/>
        </w:rPr>
        <w:t>Centar za procjenu vrhunskih fizičkih kvaliteta, Rio de Žaneiro, Brazil</w:t>
      </w:r>
    </w:p>
    <w:p w:rsidR="00851A24" w:rsidRDefault="00C529C7" w:rsidP="00C529C7">
      <w:pPr>
        <w:pStyle w:val="autorifunkcije"/>
        <w:ind w:left="0"/>
      </w:pPr>
      <w:r w:rsidRPr="00C529C7">
        <w:rPr>
          <w:vertAlign w:val="superscript"/>
        </w:rPr>
        <w:t>6</w:t>
      </w:r>
      <w:r w:rsidRPr="00C529C7">
        <w:t>LABIMH-UFRJ - Istraživačka grupa, Rio de Žaneiro, Brazil</w:t>
      </w:r>
    </w:p>
    <w:p w:rsidR="00E3564F" w:rsidRDefault="00E3564F" w:rsidP="00851A24">
      <w:pPr>
        <w:spacing w:after="0" w:line="240" w:lineRule="auto"/>
      </w:pPr>
    </w:p>
    <w:p w:rsidR="00851A24" w:rsidRDefault="00C529C7" w:rsidP="00851A24">
      <w:pPr>
        <w:tabs>
          <w:tab w:val="left" w:pos="0"/>
          <w:tab w:val="right" w:pos="8940"/>
          <w:tab w:val="right" w:pos="9072"/>
          <w:tab w:val="left" w:pos="1512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Garamond" w:hAnsi="Garamond" w:cs="Garamond"/>
          <w:caps/>
          <w:color w:val="000000"/>
          <w:lang w:val="en-GB"/>
        </w:rPr>
      </w:pPr>
      <w:r>
        <w:rPr>
          <w:rFonts w:ascii="Garamond" w:hAnsi="Garamond" w:cs="Garamond"/>
          <w:caps/>
          <w:color w:val="000000"/>
          <w:lang w:val="en-GB"/>
        </w:rPr>
        <w:t>PREGLEDNI ČLANAK</w:t>
      </w:r>
    </w:p>
    <w:p w:rsidR="00851A24" w:rsidRDefault="00851A24" w:rsidP="00851A24">
      <w:pPr>
        <w:tabs>
          <w:tab w:val="left" w:pos="0"/>
          <w:tab w:val="right" w:pos="8940"/>
          <w:tab w:val="right" w:pos="9072"/>
          <w:tab w:val="left" w:pos="1512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Garamond" w:hAnsi="Garamond" w:cs="Garamond"/>
          <w:caps/>
          <w:color w:val="000000"/>
          <w:lang w:val="en-GB"/>
        </w:rPr>
      </w:pPr>
    </w:p>
    <w:p w:rsidR="00851A24" w:rsidRPr="00851A24" w:rsidRDefault="00851A24" w:rsidP="00851A24">
      <w:pPr>
        <w:tabs>
          <w:tab w:val="left" w:pos="0"/>
          <w:tab w:val="center" w:pos="4540"/>
          <w:tab w:val="right" w:pos="8940"/>
          <w:tab w:val="right" w:pos="9072"/>
        </w:tabs>
        <w:autoSpaceDE w:val="0"/>
        <w:autoSpaceDN w:val="0"/>
        <w:adjustRightInd w:val="0"/>
        <w:spacing w:line="288" w:lineRule="auto"/>
        <w:textAlignment w:val="center"/>
        <w:rPr>
          <w:rFonts w:ascii="Garamond" w:hAnsi="Garamond" w:cs="Garamond"/>
          <w:color w:val="000000"/>
          <w:sz w:val="20"/>
          <w:szCs w:val="20"/>
          <w:lang w:val="en-GB"/>
        </w:rPr>
      </w:pPr>
      <w:proofErr w:type="gramStart"/>
      <w:r w:rsidRPr="00851A24">
        <w:rPr>
          <w:rFonts w:ascii="Garamond" w:hAnsi="Garamond" w:cs="Garamond"/>
          <w:color w:val="000000"/>
          <w:sz w:val="20"/>
          <w:szCs w:val="20"/>
          <w:lang w:val="en-GB"/>
        </w:rPr>
        <w:t>doi</w:t>
      </w:r>
      <w:proofErr w:type="gramEnd"/>
      <w:r w:rsidRPr="00851A24">
        <w:rPr>
          <w:rFonts w:ascii="Garamond" w:hAnsi="Garamond" w:cs="Garamond"/>
          <w:color w:val="000000"/>
          <w:sz w:val="20"/>
          <w:szCs w:val="20"/>
          <w:lang w:val="en-GB"/>
        </w:rPr>
        <w:t>: 10.5550/sgia.</w:t>
      </w:r>
      <w:r w:rsidR="00CE479F">
        <w:rPr>
          <w:rFonts w:ascii="Garamond" w:hAnsi="Garamond" w:cs="Garamond"/>
          <w:color w:val="000000"/>
          <w:sz w:val="20"/>
          <w:szCs w:val="20"/>
          <w:lang w:val="en-GB"/>
        </w:rPr>
        <w:t>1309</w:t>
      </w:r>
      <w:r w:rsidRPr="00851A24">
        <w:rPr>
          <w:rFonts w:ascii="Garamond" w:hAnsi="Garamond" w:cs="Garamond"/>
          <w:color w:val="000000"/>
          <w:sz w:val="20"/>
          <w:szCs w:val="20"/>
          <w:lang w:val="en-GB"/>
        </w:rPr>
        <w:t>01.</w:t>
      </w:r>
      <w:r w:rsidR="00C529C7">
        <w:rPr>
          <w:rFonts w:ascii="Garamond" w:hAnsi="Garamond" w:cs="Garamond"/>
          <w:color w:val="000000"/>
          <w:sz w:val="20"/>
          <w:szCs w:val="20"/>
          <w:lang w:val="en-GB"/>
        </w:rPr>
        <w:t>se</w:t>
      </w:r>
      <w:r w:rsidRPr="00851A24">
        <w:rPr>
          <w:rFonts w:ascii="Garamond" w:hAnsi="Garamond" w:cs="Garamond"/>
          <w:color w:val="000000"/>
          <w:sz w:val="20"/>
          <w:szCs w:val="20"/>
          <w:lang w:val="en-GB"/>
        </w:rPr>
        <w:t>.0</w:t>
      </w:r>
      <w:r w:rsidR="0019341C">
        <w:rPr>
          <w:rFonts w:ascii="Garamond" w:hAnsi="Garamond" w:cs="Garamond"/>
          <w:color w:val="000000"/>
          <w:sz w:val="20"/>
          <w:szCs w:val="20"/>
          <w:lang w:val="en-GB"/>
        </w:rPr>
        <w:t>06</w:t>
      </w:r>
      <w:r w:rsidRPr="00851A24">
        <w:rPr>
          <w:rFonts w:ascii="Garamond" w:hAnsi="Garamond" w:cs="Garamond"/>
          <w:color w:val="000000"/>
          <w:sz w:val="20"/>
          <w:szCs w:val="20"/>
          <w:lang w:val="en-GB"/>
        </w:rPr>
        <w:t>P</w:t>
      </w:r>
    </w:p>
    <w:p w:rsidR="00851A24" w:rsidRDefault="00C529C7" w:rsidP="00851A24">
      <w:pPr>
        <w:pStyle w:val="Podnaslov"/>
        <w:spacing w:before="0"/>
        <w:ind w:left="0" w:firstLine="0"/>
      </w:pPr>
      <w:r>
        <w:t>SAŽETAK</w:t>
      </w:r>
    </w:p>
    <w:p w:rsidR="008F5843" w:rsidRPr="008F5843" w:rsidRDefault="008F5843" w:rsidP="008F5843">
      <w:pPr>
        <w:tabs>
          <w:tab w:val="right" w:pos="8280"/>
        </w:tabs>
        <w:autoSpaceDE w:val="0"/>
        <w:autoSpaceDN w:val="0"/>
        <w:adjustRightInd w:val="0"/>
        <w:spacing w:after="0" w:line="288" w:lineRule="auto"/>
        <w:ind w:firstLine="283"/>
        <w:jc w:val="both"/>
        <w:textAlignment w:val="center"/>
        <w:rPr>
          <w:rFonts w:ascii="Garamond" w:hAnsi="Garamond" w:cs="Garamond"/>
          <w:color w:val="000000"/>
          <w:lang w:val="en-US"/>
        </w:rPr>
      </w:pPr>
      <w:r w:rsidRPr="008F5843">
        <w:rPr>
          <w:rFonts w:ascii="Garamond" w:hAnsi="Garamond" w:cs="Garamond"/>
          <w:color w:val="000000"/>
          <w:lang w:val="en-US"/>
        </w:rPr>
        <w:t xml:space="preserve">Dermatoglifika i analize Alfa-aktin gena su evluativni instrumenti koji se često koriste za selekciju sportista i uopšte populacije u odnosu </w:t>
      </w:r>
      <w:proofErr w:type="gramStart"/>
      <w:r w:rsidRPr="008F5843">
        <w:rPr>
          <w:rFonts w:ascii="Garamond" w:hAnsi="Garamond" w:cs="Garamond"/>
          <w:color w:val="000000"/>
          <w:lang w:val="en-US"/>
        </w:rPr>
        <w:t>na</w:t>
      </w:r>
      <w:proofErr w:type="gramEnd"/>
      <w:r w:rsidRPr="008F5843">
        <w:rPr>
          <w:rFonts w:ascii="Garamond" w:hAnsi="Garamond" w:cs="Garamond"/>
          <w:color w:val="000000"/>
          <w:lang w:val="en-US"/>
        </w:rPr>
        <w:t xml:space="preserve"> motoričke vještine. Ovo istraživanje imalo je za cilj da utvrdi, </w:t>
      </w:r>
      <w:proofErr w:type="gramStart"/>
      <w:r w:rsidRPr="008F5843">
        <w:rPr>
          <w:rFonts w:ascii="Garamond" w:hAnsi="Garamond" w:cs="Garamond"/>
          <w:color w:val="000000"/>
          <w:lang w:val="en-US"/>
        </w:rPr>
        <w:t>na</w:t>
      </w:r>
      <w:proofErr w:type="gramEnd"/>
      <w:r w:rsidRPr="008F5843">
        <w:rPr>
          <w:rFonts w:ascii="Garamond" w:hAnsi="Garamond" w:cs="Garamond"/>
          <w:color w:val="000000"/>
          <w:lang w:val="en-US"/>
        </w:rPr>
        <w:t xml:space="preserve"> osnovu dermatoglifskih karakteristika i R577X polimorfizma Alfa-aktina, procenat ljudi u saveznoj brazilskoj državi Paraiba sa nepovoljnim sposobnostima za sportove koje karakterišu anaerobne sposobnosti. Izvršena je deskriptivna studija profila </w:t>
      </w:r>
      <w:proofErr w:type="gramStart"/>
      <w:r w:rsidRPr="008F5843">
        <w:rPr>
          <w:rFonts w:ascii="Garamond" w:hAnsi="Garamond" w:cs="Garamond"/>
          <w:color w:val="000000"/>
          <w:lang w:val="en-US"/>
        </w:rPr>
        <w:t>sa</w:t>
      </w:r>
      <w:proofErr w:type="gramEnd"/>
      <w:r w:rsidRPr="008F5843">
        <w:rPr>
          <w:rFonts w:ascii="Garamond" w:hAnsi="Garamond" w:cs="Garamond"/>
          <w:color w:val="000000"/>
          <w:lang w:val="en-US"/>
        </w:rPr>
        <w:t xml:space="preserve"> eks post fakto tipologijom. Identifikovani su dermatoglifski otisci prstiju 309 osoba (149 muškaraca i 160 žena), a ACTN3 genotip je analiziran </w:t>
      </w:r>
      <w:proofErr w:type="gramStart"/>
      <w:r w:rsidRPr="008F5843">
        <w:rPr>
          <w:rFonts w:ascii="Garamond" w:hAnsi="Garamond" w:cs="Garamond"/>
          <w:color w:val="000000"/>
          <w:lang w:val="en-US"/>
        </w:rPr>
        <w:t>na</w:t>
      </w:r>
      <w:proofErr w:type="gramEnd"/>
      <w:r w:rsidRPr="008F5843">
        <w:rPr>
          <w:rFonts w:ascii="Garamond" w:hAnsi="Garamond" w:cs="Garamond"/>
          <w:color w:val="000000"/>
          <w:lang w:val="en-US"/>
        </w:rPr>
        <w:t xml:space="preserve"> njih 96 (40 muškaraca i 56 žena). Dermatoglifski podaci pokazuju da 5</w:t>
      </w:r>
      <w:proofErr w:type="gramStart"/>
      <w:r w:rsidRPr="008F5843">
        <w:rPr>
          <w:rFonts w:ascii="Garamond" w:hAnsi="Garamond" w:cs="Garamond"/>
          <w:color w:val="000000"/>
          <w:lang w:val="en-US"/>
        </w:rPr>
        <w:t>,8</w:t>
      </w:r>
      <w:proofErr w:type="gramEnd"/>
      <w:r w:rsidRPr="008F5843">
        <w:rPr>
          <w:rFonts w:ascii="Garamond" w:hAnsi="Garamond" w:cs="Garamond"/>
          <w:color w:val="000000"/>
          <w:lang w:val="en-US"/>
        </w:rPr>
        <w:t>% populacije obuhvaćene istraživanjem odgovara anaerobnim predispozicijima mišićne moći, dok 94,2% nema te sposobnosti. Genetička analiza frekvencija ukazala je na činjenicu da su 19</w:t>
      </w:r>
      <w:proofErr w:type="gramStart"/>
      <w:r w:rsidRPr="008F5843">
        <w:rPr>
          <w:rFonts w:ascii="Garamond" w:hAnsi="Garamond" w:cs="Garamond"/>
          <w:color w:val="000000"/>
          <w:lang w:val="en-US"/>
        </w:rPr>
        <w:t>,8</w:t>
      </w:r>
      <w:proofErr w:type="gramEnd"/>
      <w:r w:rsidRPr="008F5843">
        <w:rPr>
          <w:rFonts w:ascii="Garamond" w:hAnsi="Garamond" w:cs="Garamond"/>
          <w:color w:val="000000"/>
          <w:lang w:val="en-US"/>
        </w:rPr>
        <w:t xml:space="preserve">% ispitanika imali XX mutan genotip. </w:t>
      </w:r>
      <w:proofErr w:type="gramStart"/>
      <w:r w:rsidRPr="008F5843">
        <w:rPr>
          <w:rFonts w:ascii="Garamond" w:hAnsi="Garamond" w:cs="Garamond"/>
          <w:color w:val="000000"/>
          <w:lang w:val="en-US"/>
        </w:rPr>
        <w:t>Ovi rezultati predstavljaju značajano smanjenje greške u izboru sportista za potencijalno vrhunske rezultate pogotovu u onim sportovima koji zahtijevaju AMP.</w:t>
      </w:r>
      <w:proofErr w:type="gramEnd"/>
    </w:p>
    <w:p w:rsidR="008F5843" w:rsidRDefault="008F5843" w:rsidP="00851A24">
      <w:pPr>
        <w:pStyle w:val="Tekst"/>
        <w:tabs>
          <w:tab w:val="right" w:pos="8280"/>
        </w:tabs>
        <w:spacing w:before="227"/>
        <w:ind w:firstLine="0"/>
        <w:jc w:val="left"/>
        <w:rPr>
          <w:b/>
          <w:bCs/>
        </w:rPr>
      </w:pPr>
    </w:p>
    <w:p w:rsidR="00851A24" w:rsidRDefault="00FB158B" w:rsidP="00851A24">
      <w:pPr>
        <w:pStyle w:val="Tekst"/>
        <w:tabs>
          <w:tab w:val="right" w:pos="8280"/>
        </w:tabs>
        <w:spacing w:before="227"/>
        <w:ind w:firstLine="0"/>
        <w:jc w:val="left"/>
      </w:pPr>
      <w:r>
        <w:rPr>
          <w:b/>
          <w:bCs/>
        </w:rPr>
        <w:t>Ključne riječi</w:t>
      </w:r>
      <w:r w:rsidR="00851A24">
        <w:rPr>
          <w:b/>
          <w:bCs/>
        </w:rPr>
        <w:t>:</w:t>
      </w:r>
      <w:r w:rsidR="00851A24">
        <w:t xml:space="preserve"> Alpha-actinin, Fingerprint, Genetic Polymorphism, Skeletal Muscle, Genotype frequency.</w:t>
      </w:r>
    </w:p>
    <w:p w:rsidR="00851A24" w:rsidRPr="00851A24" w:rsidRDefault="00851A24" w:rsidP="00851A24">
      <w:pPr>
        <w:tabs>
          <w:tab w:val="left" w:pos="0"/>
          <w:tab w:val="right" w:pos="8940"/>
          <w:tab w:val="right" w:pos="9072"/>
          <w:tab w:val="left" w:pos="1512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Garamond" w:hAnsi="Garamond" w:cs="Garamond"/>
          <w:caps/>
          <w:color w:val="000000"/>
          <w:lang w:val="en-GB"/>
        </w:rPr>
      </w:pPr>
    </w:p>
    <w:p w:rsidR="008F5843" w:rsidRDefault="008F5843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bookmarkStart w:id="0" w:name="_GoBack"/>
      <w:bookmarkEnd w:id="0"/>
      <w:r>
        <w:rPr>
          <w:rFonts w:ascii="Garamond" w:hAnsi="Garamond" w:cs="Garamond"/>
          <w:sz w:val="22"/>
          <w:szCs w:val="22"/>
        </w:rPr>
        <w:t xml:space="preserve">Abramova, T. F., Nikitina, T. M., &amp; Ozolin, N. N. (1996). Dermatoglyphic prints. genetic markers in the potential energy of man. </w:t>
      </w:r>
      <w:r>
        <w:rPr>
          <w:rFonts w:ascii="Garamond" w:hAnsi="Garamond" w:cs="Garamond"/>
          <w:i/>
          <w:iCs/>
          <w:sz w:val="22"/>
          <w:szCs w:val="22"/>
        </w:rPr>
        <w:t>Moscow Scientific Annals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3</w:t>
      </w:r>
      <w:r>
        <w:rPr>
          <w:rFonts w:ascii="Garamond" w:hAnsi="Garamond" w:cs="Garamond"/>
          <w:sz w:val="22"/>
          <w:szCs w:val="22"/>
        </w:rPr>
        <w:t>(13).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Berman, Y., &amp; North, K. N. (2010). A gene for speed: The emerging role of α-actinin-3 in muscle metabolism. </w:t>
      </w:r>
      <w:r>
        <w:rPr>
          <w:rFonts w:ascii="Garamond" w:hAnsi="Garamond" w:cs="Garamond"/>
          <w:i/>
          <w:iCs/>
          <w:sz w:val="22"/>
          <w:szCs w:val="22"/>
        </w:rPr>
        <w:t>Physiology</w:t>
      </w:r>
      <w:r>
        <w:rPr>
          <w:rFonts w:ascii="Garamond" w:hAnsi="Garamond" w:cs="Garamond"/>
          <w:sz w:val="22"/>
          <w:szCs w:val="22"/>
        </w:rPr>
        <w:t>, 25, 250–259. doi: 10.1152/physiol.00008.2010; PMid: 20699471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Bogle, A. C., Reed, T., &amp; Norton, J. A. (1994). Within-pair differences in a-b ridge count asymmetry in monozygotic twins: evidence for a placental proximity effect. </w:t>
      </w:r>
      <w:r>
        <w:rPr>
          <w:rFonts w:ascii="Garamond" w:hAnsi="Garamond" w:cs="Garamond"/>
          <w:i/>
          <w:iCs/>
          <w:sz w:val="22"/>
          <w:szCs w:val="22"/>
        </w:rPr>
        <w:t>Hum Hered</w:t>
      </w:r>
      <w:r>
        <w:rPr>
          <w:rFonts w:ascii="Garamond" w:hAnsi="Garamond" w:cs="Garamond"/>
          <w:sz w:val="22"/>
          <w:szCs w:val="22"/>
        </w:rPr>
        <w:t>, 44, 162–168. doi: 10.1159/000154209; PMid: 8039800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Bustamante-Ara, N., Santiago, C., Verde, Z., Yvert, T., Gómez-Gallego, F., Rodríguez-Romo, G., ... Lucia A. (2010). ACE and ACTN3 genes and muscle phenotypes in nonagenarians. </w:t>
      </w:r>
      <w:r>
        <w:rPr>
          <w:rFonts w:ascii="Garamond" w:hAnsi="Garamond" w:cs="Garamond"/>
          <w:i/>
          <w:iCs/>
          <w:sz w:val="22"/>
          <w:szCs w:val="22"/>
        </w:rPr>
        <w:t>Int J Sports Med</w:t>
      </w:r>
      <w:r>
        <w:rPr>
          <w:rFonts w:ascii="Garamond" w:hAnsi="Garamond" w:cs="Garamond"/>
          <w:sz w:val="22"/>
          <w:szCs w:val="22"/>
        </w:rPr>
        <w:t>, 31, 221–224. doi: 10.1055/s-0030-</w:t>
      </w:r>
      <w:r>
        <w:rPr>
          <w:rFonts w:ascii="Garamond" w:hAnsi="Garamond" w:cs="Garamond"/>
          <w:sz w:val="22"/>
          <w:szCs w:val="22"/>
        </w:rPr>
        <w:br/>
        <w:t>1247529; PMid: 20148371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Cummins, H., &amp; Midlo, C. H. (1961). </w:t>
      </w:r>
      <w:r>
        <w:rPr>
          <w:rFonts w:ascii="Garamond" w:hAnsi="Garamond" w:cs="Garamond"/>
          <w:i/>
          <w:iCs/>
          <w:sz w:val="22"/>
          <w:szCs w:val="22"/>
        </w:rPr>
        <w:t>Fingerprints, palms and soles: an introduction to dermatoglyphics</w:t>
      </w:r>
      <w:r>
        <w:rPr>
          <w:rFonts w:ascii="Garamond" w:hAnsi="Garamond" w:cs="Garamond"/>
          <w:sz w:val="22"/>
          <w:szCs w:val="22"/>
        </w:rPr>
        <w:t>. New York: Dover Publications Inc.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lastRenderedPageBreak/>
        <w:t xml:space="preserve">Druzhevskaya, A. M., Ahmetov, I. I., Astratenkova, I. V., &amp; Rogozkin, V. A. (2008). Association of the ACTN3 R577X polymorphism with power athlete status in Russians. </w:t>
      </w:r>
      <w:r>
        <w:rPr>
          <w:rFonts w:ascii="Garamond" w:hAnsi="Garamond" w:cs="Garamond"/>
          <w:i/>
          <w:iCs/>
          <w:sz w:val="22"/>
          <w:szCs w:val="22"/>
        </w:rPr>
        <w:t>Eur J Appl Physiol</w:t>
      </w:r>
      <w:r>
        <w:rPr>
          <w:rFonts w:ascii="Garamond" w:hAnsi="Garamond" w:cs="Garamond"/>
          <w:sz w:val="22"/>
          <w:szCs w:val="22"/>
        </w:rPr>
        <w:t>, 103, 631–634. doi: 10.1007/s00421-008-0763-1; PMid: 18470530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Eynon, N., Duarte, J. A., Oliveira, J., Sagiv, M., Yamin, C., Meckel, ... Goldhammer, E. (2009). ACTN3 R577X Polymorphism and Israeli Top-level Athletes. </w:t>
      </w:r>
      <w:r>
        <w:rPr>
          <w:rFonts w:ascii="Garamond" w:hAnsi="Garamond" w:cs="Garamond"/>
          <w:i/>
          <w:iCs/>
          <w:sz w:val="22"/>
          <w:szCs w:val="22"/>
        </w:rPr>
        <w:t>Int J Sports Med</w:t>
      </w:r>
      <w:r>
        <w:rPr>
          <w:rFonts w:ascii="Garamond" w:hAnsi="Garamond" w:cs="Garamond"/>
          <w:sz w:val="22"/>
          <w:szCs w:val="22"/>
        </w:rPr>
        <w:t>, 30, 695–698. doi: 10.1055/s-0029-1220731; PMid: 19544227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Holdys, J., Kryściak, J., Stanisławski, D., &amp; Gronek, P. (2011). Polymorphism of the α-actn3 gene in individuals practising different sports disciplines. </w:t>
      </w:r>
      <w:r>
        <w:rPr>
          <w:rFonts w:ascii="Garamond" w:hAnsi="Garamond" w:cs="Garamond"/>
          <w:i/>
          <w:iCs/>
          <w:sz w:val="22"/>
          <w:szCs w:val="22"/>
        </w:rPr>
        <w:t>Biol Sport</w:t>
      </w:r>
      <w:r>
        <w:rPr>
          <w:rFonts w:ascii="Garamond" w:hAnsi="Garamond" w:cs="Garamond"/>
          <w:sz w:val="22"/>
          <w:szCs w:val="22"/>
        </w:rPr>
        <w:t>, 28, 101–106. doi: 10.5604/942738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Junior, A. T. C., Cunha, A. C. P. T., Scheneider, A. T., &amp; Dantas, P. M. S. (2006). Características dermatoglíficas, somatotípicas, psicológicas e fisiológicas da seleção brasileira feminina adulta de handebol [Features dermatoglyphics, somatotype, psychological and physiological of the Brazilian adult female handball]. </w:t>
      </w:r>
      <w:r>
        <w:rPr>
          <w:rFonts w:ascii="Garamond" w:hAnsi="Garamond" w:cs="Garamond"/>
          <w:i/>
          <w:iCs/>
          <w:sz w:val="22"/>
          <w:szCs w:val="22"/>
        </w:rPr>
        <w:t>Fit Perf J.</w:t>
      </w:r>
      <w:r>
        <w:rPr>
          <w:rFonts w:ascii="Garamond" w:hAnsi="Garamond" w:cs="Garamond"/>
          <w:sz w:val="22"/>
          <w:szCs w:val="22"/>
        </w:rPr>
        <w:t>, 5, 81–86. doi: 10.3900/fpj.5.2.81.p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Kansal, D. K. (2010). A critical study of sports talent selection and promotion of sports participation, at young age. </w:t>
      </w:r>
      <w:r>
        <w:rPr>
          <w:rFonts w:ascii="Garamond" w:hAnsi="Garamond" w:cs="Garamond"/>
          <w:i/>
          <w:iCs/>
          <w:sz w:val="22"/>
          <w:szCs w:val="22"/>
        </w:rPr>
        <w:t>Br J Sports Med</w:t>
      </w:r>
      <w:r>
        <w:rPr>
          <w:rFonts w:ascii="Garamond" w:hAnsi="Garamond" w:cs="Garamond"/>
          <w:sz w:val="22"/>
          <w:szCs w:val="22"/>
        </w:rPr>
        <w:t>, 44, i65–i66. doi: 10.1136/bjsm.2010.078725.219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Klein, C. M. O., &amp; Fernandes-Filho, J. (2003). Relação entre a dermatoglifia, as qualidades físicas e o nível maturacional de escolares adolescentes de ambos os sexos. </w:t>
      </w:r>
      <w:r>
        <w:rPr>
          <w:rFonts w:ascii="Garamond" w:hAnsi="Garamond" w:cs="Garamond"/>
          <w:i/>
          <w:iCs/>
          <w:sz w:val="22"/>
          <w:szCs w:val="22"/>
        </w:rPr>
        <w:t>Fit Perf J</w:t>
      </w:r>
      <w:r>
        <w:rPr>
          <w:rFonts w:ascii="Garamond" w:hAnsi="Garamond" w:cs="Garamond"/>
          <w:sz w:val="22"/>
          <w:szCs w:val="22"/>
        </w:rPr>
        <w:t>, 2, 321–329.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Kücken, M., &amp; Newell A. C. (2005). Fingerprint formation. </w:t>
      </w:r>
      <w:r>
        <w:rPr>
          <w:rFonts w:ascii="Garamond" w:hAnsi="Garamond" w:cs="Garamond"/>
          <w:i/>
          <w:iCs/>
          <w:sz w:val="22"/>
          <w:szCs w:val="22"/>
        </w:rPr>
        <w:t>J Theor Biol</w:t>
      </w:r>
      <w:r>
        <w:rPr>
          <w:rFonts w:ascii="Garamond" w:hAnsi="Garamond" w:cs="Garamond"/>
          <w:sz w:val="22"/>
          <w:szCs w:val="22"/>
        </w:rPr>
        <w:t>, 235, 71–83. doi: 10.1016/j.jtbi.2004.12.020; PMid: 15833314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Linhares, R. V., Matta, M. O., Lima, J. R. P., Dantas, P. M. S., Costa, M. B., Fernandes Filho, J. (2009). Efeitos da maturação sexual na composição corporal, nos dermatóglifos, no somatótipo e nas qualidades físicas básicas de adolescentes [Efeitos da maturação sexual na composição corporal, nos dermatóglifos, no somatótipo e nas qualidades físicas básicas de adolescentes]. </w:t>
      </w:r>
      <w:r>
        <w:rPr>
          <w:rFonts w:ascii="Garamond" w:hAnsi="Garamond" w:cs="Garamond"/>
          <w:i/>
          <w:iCs/>
          <w:sz w:val="22"/>
          <w:szCs w:val="22"/>
        </w:rPr>
        <w:t>Arq Bras Endocrinol Metab</w:t>
      </w:r>
      <w:r>
        <w:rPr>
          <w:rFonts w:ascii="Garamond" w:hAnsi="Garamond" w:cs="Garamond"/>
          <w:sz w:val="22"/>
          <w:szCs w:val="22"/>
        </w:rPr>
        <w:t>, 53, 47–54. doi: 10.1590/S0004-27302009000100008; PMid: 19347185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Macêdo, M. M., &amp; Fernandes-Filho, J. (2003). Estudo das características dermatoglíficas, somatotípicas e das qualidades físicas básicas nos diversos estágios de maturação sexual [Study of dermatoglyphic characteristics, somatotype and basic physical qualities in different stages of sexual maturation]. </w:t>
      </w:r>
      <w:r>
        <w:rPr>
          <w:rFonts w:ascii="Garamond" w:hAnsi="Garamond" w:cs="Garamond"/>
          <w:i/>
          <w:iCs/>
          <w:sz w:val="22"/>
          <w:szCs w:val="22"/>
        </w:rPr>
        <w:t>Fit Perf J</w:t>
      </w:r>
      <w:r>
        <w:rPr>
          <w:rFonts w:ascii="Garamond" w:hAnsi="Garamond" w:cs="Garamond"/>
          <w:sz w:val="22"/>
          <w:szCs w:val="22"/>
        </w:rPr>
        <w:t>, 2, 315–320. doi: 10.3900/fpj.2.6.315.s; doi: 10.3900/fpj.2.6.315.p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McCauley, T., Mastana, S. S., &amp; Folland, J. P. (2010). ACE I/D and ACTN3 R/X polymorphisms and muscle function and muscularity of older Caucasian men. Eur J Appl Physiol, 109, 269–277. doi: 10.1007/s00421-009-1340-y; PMid: 20069311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Mills, M. A., Yang, N., Weinberger, R. P., Vander Woude, D. L., Beggs, A. H., ... North, K. N. (2001). Differential expression of the actin-binding proteins, α-actinin-2 and -3, in different species: implications for the evolution of functional redundancy. </w:t>
      </w:r>
      <w:r>
        <w:rPr>
          <w:rFonts w:ascii="Garamond" w:hAnsi="Garamond" w:cs="Garamond"/>
          <w:i/>
          <w:iCs/>
          <w:sz w:val="22"/>
          <w:szCs w:val="22"/>
        </w:rPr>
        <w:t>Hum Mol Genet</w:t>
      </w:r>
      <w:r>
        <w:rPr>
          <w:rFonts w:ascii="Garamond" w:hAnsi="Garamond" w:cs="Garamond"/>
          <w:sz w:val="22"/>
          <w:szCs w:val="22"/>
        </w:rPr>
        <w:t>, 10, 1335–1346. doi: 10.1093/hmg/10.13.1335; PMid: 11440986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Moran, C. N., Yang, N., Bailey, M. E. S., Tsiokanos, A., Jamurtas, A., MacArthur, D. G., ... Wilson, R. H. (2007). Association analysis of the ACTN3 R577X polymorphism and complex quantitative body composition and performance phenotypes in adolescent Greeks. Eur J Hum Genet, 15, 88–93. doi: 10.1038/sj.ejhg.5201724; PMid: 17033684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Niemi, A. K., &amp; Majamaa, K. (2005). Mitochondrial DNA and ACTN3 genotypes in Finnish elite endurance and sprint athletes. </w:t>
      </w:r>
      <w:r>
        <w:rPr>
          <w:rFonts w:ascii="Garamond" w:hAnsi="Garamond" w:cs="Garamond"/>
          <w:i/>
          <w:iCs/>
          <w:sz w:val="22"/>
          <w:szCs w:val="22"/>
        </w:rPr>
        <w:t>Eur J Hum Genet</w:t>
      </w:r>
      <w:r>
        <w:rPr>
          <w:rFonts w:ascii="Garamond" w:hAnsi="Garamond" w:cs="Garamond"/>
          <w:sz w:val="22"/>
          <w:szCs w:val="22"/>
        </w:rPr>
        <w:t>, 13, 965–969. doi: 10.1038/sj.ejhg.5201438; PMid: 15886711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Norman, B., Esbjörnsson, M., Rundqvist, H., Österlund, T., von Walden, F., &amp; Tesch, P. A. (2009). Strength, power, fiber types, and mRNA expression in trained men and women with different ACTN3 R577X genotypes. J Appl Physiol, 106, 959–965. doi: 10.1152/japplphysiol.91435.2008; PMid: 19150855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North, K. N., Yang, N., Wattanasirichaigoon, D., Mills, M., Easteal, S., &amp; Beggs, A. H. (1999). A common nonsense mutation results in alpha-actinin-3 deficiency in the general population. Nat Genet, 21, 353–354. doi: 10.1038/7675; PMid: 10192379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Papadimitriou, I. D., Papadopoulos, C., Kouvatsi, A., &amp; Triantaphyllidis, C. (2008). The ACTN3 gene in elite Greek track and field athletes. Int J Sports Med, 29, 352–355. doi: 10.1055/s-2007-</w:t>
      </w:r>
      <w:r>
        <w:rPr>
          <w:rFonts w:ascii="Garamond" w:hAnsi="Garamond" w:cs="Garamond"/>
          <w:sz w:val="22"/>
          <w:szCs w:val="22"/>
        </w:rPr>
        <w:br/>
        <w:t>965339; PMid: 17879893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Roth, S. M., Walsh, S., Liu, D., Metter, E. J., Ferrucci, L., &amp; Hurley, B. F. (2008). The ACTN3 R577X nonsense allele is underrepresented in elite-level strength athletes. Eur J Hum Genet, 16, 391–394. doi: 10.1038/sj.ejhg.5201964; PMid: 18043716; PMCid: 2668151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Ruiz, J. R., Arteta, D., Buxens, A., Artieda, M., Gómez-Gallego, F., Santiago, C., ... Lucia, A. (2010). Can we identify a power-oriented polygenic profile? J Appl Physiol, 108, 561–566. doi: 10.1152/japplphysiol.01242.2009; PMid: 20044471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lastRenderedPageBreak/>
        <w:t xml:space="preserve">Ruiz, J. R., del Valle, M. F., Verde, Z., Díez-Veja, I., Santiago, C., Yvert, T., ... Lucia, A. (2011). ACTN3 R577X polymorphism does not influence explosive leg muscle power in elite volleyball players. </w:t>
      </w:r>
      <w:r>
        <w:rPr>
          <w:rFonts w:ascii="Garamond" w:hAnsi="Garamond" w:cs="Garamond"/>
          <w:i/>
          <w:iCs/>
          <w:sz w:val="22"/>
          <w:szCs w:val="22"/>
        </w:rPr>
        <w:t>Scand J Med Sci Sports</w:t>
      </w:r>
      <w:r>
        <w:rPr>
          <w:rFonts w:ascii="Garamond" w:hAnsi="Garamond" w:cs="Garamond"/>
          <w:sz w:val="22"/>
          <w:szCs w:val="22"/>
        </w:rPr>
        <w:t>, 21, e34–41. doi: 10.1111/j.1600-0838.2010.01134.x; PMid:0561285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Scott, R. A., Irving, R., Irwin, l., Morrison, E., Charlton, V., Austin, K., ... Pitsiladis, Y. P. (2009). ACTN3 and ACE genotypes in elite Jamaican and US sprinters. Med Sci Sports Exerc, 42, 107–112. doi: 10.1249/MSS.0b013e3181ae2bc0; PMid: 20010124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Walsh, P. S., Metzger, D. A., &amp; Higuchi, R. (1991). Chelex 100 as a medium for simple extraction of DNA for PCR-based typing from forensic material. Biotechniques, 10, 506–513. PMid: 1867860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Yang, N., MacArthur, D. G., Gulbin, J. P., Hahn, A. G., Beggs, A. H., Easteal, S., &amp; North, K. (2003). ACTN3 genotype is associated with human elite athletic performance. Am J Hum Genet, 73, 627–631. doi: 10.1086/377590; PMid: 12879365; PMCid: 1180686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Zary, J. C. F., &amp; Fernandes-Filho, J. (2007). Identificação do Perfil Dermatoglífico e Somatotípico dos Atletas de voleibol masculino adulto, juvenil e infanto-juvenil, de alto rendimento no Brasil [Identification and Profile Dermatoglyphic somatotypical Athletes volleyball adult male, juvenile and juvenile, high yield in Brazil]. </w:t>
      </w:r>
      <w:r>
        <w:rPr>
          <w:rFonts w:ascii="Garamond" w:hAnsi="Garamond" w:cs="Garamond"/>
          <w:i/>
          <w:iCs/>
          <w:sz w:val="22"/>
          <w:szCs w:val="22"/>
        </w:rPr>
        <w:t>R bras Ci e Mov</w:t>
      </w:r>
      <w:r>
        <w:rPr>
          <w:rFonts w:ascii="Garamond" w:hAnsi="Garamond" w:cs="Garamond"/>
          <w:sz w:val="22"/>
          <w:szCs w:val="22"/>
        </w:rPr>
        <w:t>, 15, 53–60.</w:t>
      </w:r>
    </w:p>
    <w:p w:rsidR="00851A24" w:rsidRDefault="00851A24" w:rsidP="00851A24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Zary, J. C., Reis, V. M., Rouboa, A., Silva, A. J., Fernandes, P. R., &amp; Fernandes Filho, J. (2010). The somatotype and dermatoglyphic profiles of adult, junior and juvenile male Brazilian top-level volleyball players. </w:t>
      </w:r>
      <w:r>
        <w:rPr>
          <w:rFonts w:ascii="Garamond" w:hAnsi="Garamond" w:cs="Garamond"/>
          <w:i/>
          <w:iCs/>
          <w:sz w:val="22"/>
          <w:szCs w:val="22"/>
        </w:rPr>
        <w:t>Sci Sports</w:t>
      </w:r>
      <w:r>
        <w:rPr>
          <w:rFonts w:ascii="Garamond" w:hAnsi="Garamond" w:cs="Garamond"/>
          <w:sz w:val="22"/>
          <w:szCs w:val="22"/>
        </w:rPr>
        <w:t>, 25, 146–152. doi: 10.1016/j.scispo.2009.09.002</w:t>
      </w:r>
    </w:p>
    <w:p w:rsidR="00851A24" w:rsidRDefault="00851A24" w:rsidP="00851A24">
      <w:r>
        <w:rPr>
          <w:rFonts w:ascii="Garamond" w:hAnsi="Garamond" w:cs="Garamond"/>
        </w:rPr>
        <w:t xml:space="preserve">Zempo, H., Tanabe, K., Murakami, H., Iemitsu, M., Maeda, S., &amp; Kuno, S. (2010). ACTN3 Polymorphism Affects Thigh Muscle Area. </w:t>
      </w:r>
      <w:r>
        <w:rPr>
          <w:rFonts w:ascii="Garamond" w:hAnsi="Garamond" w:cs="Garamond"/>
          <w:i/>
          <w:iCs/>
        </w:rPr>
        <w:t>Int J Sports Med</w:t>
      </w:r>
      <w:r>
        <w:rPr>
          <w:rFonts w:ascii="Garamond" w:hAnsi="Garamond" w:cs="Garamond"/>
        </w:rPr>
        <w:t>, 31, 138–142. doi: 10.1055/s-0029-</w:t>
      </w:r>
      <w:r>
        <w:rPr>
          <w:rFonts w:ascii="Garamond" w:hAnsi="Garamond" w:cs="Garamond"/>
        </w:rPr>
        <w:br/>
        <w:t>1242808; PMid: 20222007</w:t>
      </w:r>
      <w:r>
        <w:t xml:space="preserve"> </w:t>
      </w:r>
      <w:r>
        <w:br w:type="page"/>
      </w:r>
    </w:p>
    <w:p w:rsidR="00E3564F" w:rsidRPr="00E3564F" w:rsidRDefault="00517414" w:rsidP="00517414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before="454" w:after="227" w:line="288" w:lineRule="auto"/>
        <w:textAlignment w:val="center"/>
        <w:rPr>
          <w:rFonts w:ascii="Square721 Cn BT" w:hAnsi="Square721 Cn BT" w:cs="Square721 Cn BT"/>
          <w:caps/>
          <w:color w:val="000000"/>
          <w:sz w:val="32"/>
          <w:szCs w:val="32"/>
          <w:lang w:val="en-GB"/>
        </w:rPr>
      </w:pPr>
      <w:r w:rsidRPr="00517414">
        <w:rPr>
          <w:rFonts w:ascii="Square721 Cn BT" w:hAnsi="Square721 Cn BT" w:cs="Square721 Cn BT"/>
          <w:caps/>
          <w:color w:val="000000"/>
          <w:sz w:val="32"/>
          <w:szCs w:val="32"/>
          <w:lang w:val="en-GB"/>
        </w:rPr>
        <w:lastRenderedPageBreak/>
        <w:t>ANALIZA ODBIJANJA LOPTI U RUKOMETNOJ UTAKMICI</w:t>
      </w:r>
    </w:p>
    <w:p w:rsidR="00E3564F" w:rsidRPr="00E3564F" w:rsidRDefault="00E3564F" w:rsidP="00E3564F">
      <w:pPr>
        <w:tabs>
          <w:tab w:val="left" w:pos="0"/>
          <w:tab w:val="left" w:pos="2127"/>
          <w:tab w:val="right" w:pos="8940"/>
          <w:tab w:val="right" w:pos="9072"/>
        </w:tabs>
        <w:autoSpaceDE w:val="0"/>
        <w:autoSpaceDN w:val="0"/>
        <w:adjustRightInd w:val="0"/>
        <w:spacing w:after="170" w:line="288" w:lineRule="auto"/>
        <w:textAlignment w:val="center"/>
        <w:rPr>
          <w:rFonts w:ascii="Garamond" w:hAnsi="Garamond" w:cs="Garamond"/>
          <w:bCs/>
          <w:color w:val="000000"/>
          <w:vertAlign w:val="superscript"/>
          <w:lang w:val="en-GB"/>
        </w:rPr>
      </w:pPr>
      <w:r w:rsidRPr="00E3564F">
        <w:rPr>
          <w:rFonts w:ascii="Garamond" w:hAnsi="Garamond" w:cs="Garamond"/>
          <w:bCs/>
          <w:color w:val="000000"/>
          <w:lang w:val="en-GB"/>
        </w:rPr>
        <w:t>Ante Burger</w:t>
      </w:r>
      <w:r w:rsidRPr="00E3564F">
        <w:rPr>
          <w:rFonts w:ascii="Garamond" w:hAnsi="Garamond" w:cs="Garamond"/>
          <w:bCs/>
          <w:color w:val="000000"/>
          <w:vertAlign w:val="superscript"/>
          <w:lang w:val="en-GB"/>
        </w:rPr>
        <w:t>1</w:t>
      </w:r>
      <w:r w:rsidRPr="00E3564F">
        <w:rPr>
          <w:rFonts w:ascii="Garamond" w:hAnsi="Garamond" w:cs="Garamond"/>
          <w:bCs/>
          <w:color w:val="000000"/>
          <w:lang w:val="en-GB"/>
        </w:rPr>
        <w:t>, Nenad Rogulj</w:t>
      </w:r>
      <w:r w:rsidRPr="00E3564F">
        <w:rPr>
          <w:rFonts w:ascii="Garamond" w:hAnsi="Garamond" w:cs="Garamond"/>
          <w:bCs/>
          <w:color w:val="000000"/>
          <w:vertAlign w:val="superscript"/>
          <w:lang w:val="en-GB"/>
        </w:rPr>
        <w:t>1</w:t>
      </w:r>
      <w:r w:rsidRPr="00E3564F">
        <w:rPr>
          <w:rFonts w:ascii="Garamond" w:hAnsi="Garamond" w:cs="Garamond"/>
          <w:bCs/>
          <w:color w:val="000000"/>
          <w:lang w:val="en-GB"/>
        </w:rPr>
        <w:t>, Nikola Foretić</w:t>
      </w:r>
      <w:r w:rsidRPr="00E3564F">
        <w:rPr>
          <w:rFonts w:ascii="Garamond" w:hAnsi="Garamond" w:cs="Garamond"/>
          <w:bCs/>
          <w:color w:val="000000"/>
          <w:vertAlign w:val="superscript"/>
          <w:lang w:val="en-GB"/>
        </w:rPr>
        <w:t>1</w:t>
      </w:r>
      <w:r w:rsidRPr="00E3564F">
        <w:rPr>
          <w:rFonts w:ascii="Garamond" w:hAnsi="Garamond" w:cs="Garamond"/>
          <w:bCs/>
          <w:color w:val="000000"/>
          <w:lang w:val="en-GB"/>
        </w:rPr>
        <w:t xml:space="preserve"> </w:t>
      </w:r>
      <w:r w:rsidR="00517414">
        <w:rPr>
          <w:rFonts w:ascii="Garamond" w:hAnsi="Garamond" w:cs="Garamond"/>
          <w:bCs/>
          <w:color w:val="000000"/>
          <w:lang w:val="en-GB"/>
        </w:rPr>
        <w:t>i</w:t>
      </w:r>
      <w:r w:rsidRPr="00E3564F">
        <w:rPr>
          <w:rFonts w:ascii="Garamond" w:hAnsi="Garamond" w:cs="Garamond"/>
          <w:bCs/>
          <w:color w:val="000000"/>
          <w:lang w:val="en-GB"/>
        </w:rPr>
        <w:t xml:space="preserve"> Marijana Čavala</w:t>
      </w:r>
      <w:r w:rsidRPr="00E3564F">
        <w:rPr>
          <w:rFonts w:ascii="Garamond" w:hAnsi="Garamond" w:cs="Garamond"/>
          <w:bCs/>
          <w:color w:val="000000"/>
          <w:vertAlign w:val="superscript"/>
          <w:lang w:val="en-GB"/>
        </w:rPr>
        <w:t>1</w:t>
      </w:r>
    </w:p>
    <w:p w:rsidR="00FB158B" w:rsidRPr="00FB158B" w:rsidRDefault="00E3564F" w:rsidP="00FB158B">
      <w:pPr>
        <w:pStyle w:val="autorifunkcije"/>
        <w:ind w:left="0"/>
      </w:pPr>
      <w:r>
        <w:rPr>
          <w:vertAlign w:val="superscript"/>
        </w:rPr>
        <w:t>1</w:t>
      </w:r>
      <w:r w:rsidR="00FB158B" w:rsidRPr="00FB158B">
        <w:t>Kineziološki fakultet, Sveučilište u Splitu, Hrvatska</w:t>
      </w:r>
    </w:p>
    <w:p w:rsidR="003E4955" w:rsidRDefault="003E4955" w:rsidP="00FB158B">
      <w:pPr>
        <w:pStyle w:val="autorifunkcije"/>
        <w:ind w:left="0"/>
        <w:rPr>
          <w:lang w:val="en-US"/>
        </w:rPr>
      </w:pPr>
    </w:p>
    <w:p w:rsidR="00E3564F" w:rsidRPr="00E3564F" w:rsidRDefault="00FB158B" w:rsidP="00E3564F">
      <w:pPr>
        <w:tabs>
          <w:tab w:val="left" w:pos="0"/>
          <w:tab w:val="right" w:pos="8940"/>
          <w:tab w:val="right" w:pos="9072"/>
          <w:tab w:val="left" w:pos="1512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Garamond" w:hAnsi="Garamond" w:cs="Garamond"/>
          <w:caps/>
          <w:color w:val="000000"/>
          <w:lang w:val="en-GB"/>
        </w:rPr>
      </w:pPr>
      <w:r>
        <w:rPr>
          <w:rFonts w:ascii="Garamond" w:hAnsi="Garamond" w:cs="Garamond"/>
          <w:caps/>
          <w:color w:val="000000"/>
          <w:lang w:val="en-GB"/>
        </w:rPr>
        <w:t>KRATKI NAUČNI ČLANAK</w:t>
      </w:r>
    </w:p>
    <w:p w:rsidR="00E3564F" w:rsidRDefault="00E3564F" w:rsidP="00E3564F">
      <w:pPr>
        <w:spacing w:after="0" w:line="240" w:lineRule="auto"/>
        <w:rPr>
          <w:rFonts w:ascii="Garamond" w:hAnsi="Garamond" w:cs="Garamond"/>
          <w:color w:val="000000"/>
          <w:lang w:val="en-US"/>
        </w:rPr>
      </w:pPr>
    </w:p>
    <w:p w:rsidR="00E3564F" w:rsidRPr="00E3564F" w:rsidRDefault="00E3564F" w:rsidP="00E3564F">
      <w:pPr>
        <w:tabs>
          <w:tab w:val="left" w:pos="0"/>
          <w:tab w:val="center" w:pos="4540"/>
          <w:tab w:val="right" w:pos="8940"/>
          <w:tab w:val="right" w:pos="9072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Garamond" w:hAnsi="Garamond" w:cs="Garamond"/>
          <w:color w:val="000000"/>
          <w:sz w:val="20"/>
          <w:szCs w:val="20"/>
          <w:lang w:val="en-GB"/>
        </w:rPr>
      </w:pPr>
      <w:r w:rsidRPr="00E3564F">
        <w:rPr>
          <w:rFonts w:ascii="Garamond" w:hAnsi="Garamond" w:cs="Garamond"/>
          <w:color w:val="000000"/>
          <w:sz w:val="20"/>
          <w:szCs w:val="20"/>
          <w:lang w:val="en-GB"/>
        </w:rPr>
        <w:t>doi: 10.5550/sgia.</w:t>
      </w:r>
      <w:r w:rsidR="00CE479F">
        <w:rPr>
          <w:rFonts w:ascii="Garamond" w:hAnsi="Garamond" w:cs="Garamond"/>
          <w:color w:val="000000"/>
          <w:sz w:val="20"/>
          <w:szCs w:val="20"/>
          <w:lang w:val="en-GB"/>
        </w:rPr>
        <w:t>1309</w:t>
      </w:r>
      <w:r w:rsidRPr="00E3564F">
        <w:rPr>
          <w:rFonts w:ascii="Garamond" w:hAnsi="Garamond" w:cs="Garamond"/>
          <w:color w:val="000000"/>
          <w:sz w:val="20"/>
          <w:szCs w:val="20"/>
          <w:lang w:val="en-GB"/>
        </w:rPr>
        <w:t>01.</w:t>
      </w:r>
      <w:r w:rsidR="00FB158B">
        <w:rPr>
          <w:rFonts w:ascii="Garamond" w:hAnsi="Garamond" w:cs="Garamond"/>
          <w:color w:val="000000"/>
          <w:sz w:val="20"/>
          <w:szCs w:val="20"/>
          <w:lang w:val="en-GB"/>
        </w:rPr>
        <w:t>se</w:t>
      </w:r>
      <w:r w:rsidRPr="00E3564F">
        <w:rPr>
          <w:rFonts w:ascii="Garamond" w:hAnsi="Garamond" w:cs="Garamond"/>
          <w:color w:val="000000"/>
          <w:sz w:val="20"/>
          <w:szCs w:val="20"/>
          <w:lang w:val="en-GB"/>
        </w:rPr>
        <w:t>.0</w:t>
      </w:r>
      <w:r w:rsidR="0019341C">
        <w:rPr>
          <w:rFonts w:ascii="Garamond" w:hAnsi="Garamond" w:cs="Garamond"/>
          <w:color w:val="000000"/>
          <w:sz w:val="20"/>
          <w:szCs w:val="20"/>
          <w:lang w:val="en-GB"/>
        </w:rPr>
        <w:t>07</w:t>
      </w:r>
      <w:r w:rsidRPr="00E3564F">
        <w:rPr>
          <w:rFonts w:ascii="Garamond" w:hAnsi="Garamond" w:cs="Garamond"/>
          <w:color w:val="000000"/>
          <w:sz w:val="20"/>
          <w:szCs w:val="20"/>
          <w:lang w:val="en-GB"/>
        </w:rPr>
        <w:t>B</w:t>
      </w:r>
    </w:p>
    <w:p w:rsidR="00E3564F" w:rsidRDefault="00E3564F" w:rsidP="00E3564F">
      <w:pPr>
        <w:pStyle w:val="Podnaslov"/>
        <w:spacing w:before="0"/>
        <w:ind w:left="0" w:firstLine="0"/>
      </w:pPr>
    </w:p>
    <w:p w:rsidR="00E3564F" w:rsidRDefault="00FB158B" w:rsidP="00E3564F">
      <w:pPr>
        <w:pStyle w:val="Podnaslov"/>
        <w:spacing w:before="0"/>
        <w:ind w:left="0" w:firstLine="0"/>
      </w:pPr>
      <w:r>
        <w:t>SAŽETAK</w:t>
      </w:r>
    </w:p>
    <w:p w:rsidR="00E3564F" w:rsidRDefault="00FB158B" w:rsidP="00FB158B">
      <w:pPr>
        <w:tabs>
          <w:tab w:val="right" w:pos="8280"/>
        </w:tabs>
        <w:autoSpaceDE w:val="0"/>
        <w:autoSpaceDN w:val="0"/>
        <w:adjustRightInd w:val="0"/>
        <w:spacing w:after="0" w:line="288" w:lineRule="auto"/>
        <w:ind w:right="283"/>
        <w:jc w:val="both"/>
        <w:textAlignment w:val="center"/>
      </w:pPr>
      <w:r w:rsidRPr="00FB158B">
        <w:rPr>
          <w:rFonts w:ascii="Garamond" w:hAnsi="Garamond" w:cs="Garamond"/>
          <w:color w:val="000000"/>
          <w:lang w:val="en-US"/>
        </w:rPr>
        <w:t xml:space="preserve">Analizirano je 15 utakmica Hrvatske muške rukometne reprezentacije </w:t>
      </w:r>
      <w:proofErr w:type="gramStart"/>
      <w:r w:rsidRPr="00FB158B">
        <w:rPr>
          <w:rFonts w:ascii="Garamond" w:hAnsi="Garamond" w:cs="Garamond"/>
          <w:color w:val="000000"/>
          <w:lang w:val="en-US"/>
        </w:rPr>
        <w:t>na</w:t>
      </w:r>
      <w:proofErr w:type="gramEnd"/>
      <w:r w:rsidRPr="00FB158B">
        <w:rPr>
          <w:rFonts w:ascii="Garamond" w:hAnsi="Garamond" w:cs="Garamond"/>
          <w:color w:val="000000"/>
          <w:lang w:val="en-US"/>
        </w:rPr>
        <w:t xml:space="preserve"> Svjetskom prvenstvu u Tunisu 2005. </w:t>
      </w:r>
      <w:proofErr w:type="gramStart"/>
      <w:r w:rsidRPr="00FB158B">
        <w:rPr>
          <w:rFonts w:ascii="Garamond" w:hAnsi="Garamond" w:cs="Garamond"/>
          <w:color w:val="000000"/>
          <w:lang w:val="en-US"/>
        </w:rPr>
        <w:t>godine</w:t>
      </w:r>
      <w:proofErr w:type="gramEnd"/>
      <w:r w:rsidRPr="00FB158B">
        <w:rPr>
          <w:rFonts w:ascii="Garamond" w:hAnsi="Garamond" w:cs="Garamond"/>
          <w:color w:val="000000"/>
          <w:lang w:val="en-US"/>
        </w:rPr>
        <w:t xml:space="preserve"> i Europskom prvenstvu u Austriji 2010. </w:t>
      </w:r>
      <w:proofErr w:type="gramStart"/>
      <w:r w:rsidRPr="00FB158B">
        <w:rPr>
          <w:rFonts w:ascii="Garamond" w:hAnsi="Garamond" w:cs="Garamond"/>
          <w:color w:val="000000"/>
          <w:lang w:val="en-US"/>
        </w:rPr>
        <w:t>godine</w:t>
      </w:r>
      <w:proofErr w:type="gramEnd"/>
      <w:r w:rsidRPr="00FB158B">
        <w:rPr>
          <w:rFonts w:ascii="Garamond" w:hAnsi="Garamond" w:cs="Garamond"/>
          <w:color w:val="000000"/>
          <w:lang w:val="en-US"/>
        </w:rPr>
        <w:t xml:space="preserve">. Istraživanje je provedeno </w:t>
      </w:r>
      <w:proofErr w:type="gramStart"/>
      <w:r w:rsidRPr="00FB158B">
        <w:rPr>
          <w:rFonts w:ascii="Garamond" w:hAnsi="Garamond" w:cs="Garamond"/>
          <w:color w:val="000000"/>
          <w:lang w:val="en-US"/>
        </w:rPr>
        <w:t>sa</w:t>
      </w:r>
      <w:proofErr w:type="gramEnd"/>
      <w:r w:rsidRPr="00FB158B">
        <w:rPr>
          <w:rFonts w:ascii="Garamond" w:hAnsi="Garamond" w:cs="Garamond"/>
          <w:color w:val="000000"/>
          <w:lang w:val="en-US"/>
        </w:rPr>
        <w:t xml:space="preserve"> ciljem utvrđivanja učestalosti šutiranja iz pojedinih zona odnosno napadačkih pozicija, učestalosti odbijanja lopti od strane golmana ili okvira gola, te utvrđivanja gdje i kome se upućene lopte odbijaju. Polje za pozicijsku igru podijeljeno je u 5 zona: lijevi krilni napadač, lijevi vanjski napadač, srednji vanjski napadač, desni vanjski napadač i desni krilni napadač. Navedene zone ujedno predstavljaju i zone odbijanja lopte. </w:t>
      </w:r>
      <w:proofErr w:type="gramStart"/>
      <w:r w:rsidRPr="00FB158B">
        <w:rPr>
          <w:rFonts w:ascii="Garamond" w:hAnsi="Garamond" w:cs="Garamond"/>
          <w:color w:val="000000"/>
          <w:lang w:val="en-US"/>
        </w:rPr>
        <w:t>Rezultati su pokazali da se najviše udaraca upućuje iz središnje zone, dok je frekventnost šutiranja iz ostalih zona uglavnom podjednaka.</w:t>
      </w:r>
      <w:proofErr w:type="gramEnd"/>
      <w:r w:rsidRPr="00FB158B">
        <w:rPr>
          <w:rFonts w:ascii="Garamond" w:hAnsi="Garamond" w:cs="Garamond"/>
          <w:color w:val="000000"/>
          <w:lang w:val="en-US"/>
        </w:rPr>
        <w:t xml:space="preserve"> Prosječan broj odbijenih lopti od golmana ili okvira gola iznosi 17</w:t>
      </w:r>
      <w:proofErr w:type="gramStart"/>
      <w:r w:rsidRPr="00FB158B">
        <w:rPr>
          <w:rFonts w:ascii="Garamond" w:hAnsi="Garamond" w:cs="Garamond"/>
          <w:color w:val="000000"/>
          <w:lang w:val="en-US"/>
        </w:rPr>
        <w:t>,6</w:t>
      </w:r>
      <w:proofErr w:type="gramEnd"/>
      <w:r w:rsidRPr="00FB158B">
        <w:rPr>
          <w:rFonts w:ascii="Garamond" w:hAnsi="Garamond" w:cs="Garamond"/>
          <w:color w:val="000000"/>
          <w:lang w:val="en-US"/>
        </w:rPr>
        <w:t xml:space="preserve"> lopti. U 71% slučajeva odbijena lopta završi u posjedu obrambenih igrača što je posljedica blizine odbranbenog igrača u odnosu </w:t>
      </w:r>
      <w:proofErr w:type="gramStart"/>
      <w:r w:rsidRPr="00FB158B">
        <w:rPr>
          <w:rFonts w:ascii="Garamond" w:hAnsi="Garamond" w:cs="Garamond"/>
          <w:color w:val="000000"/>
          <w:lang w:val="en-US"/>
        </w:rPr>
        <w:t>na</w:t>
      </w:r>
      <w:proofErr w:type="gramEnd"/>
      <w:r w:rsidRPr="00FB158B">
        <w:rPr>
          <w:rFonts w:ascii="Garamond" w:hAnsi="Garamond" w:cs="Garamond"/>
          <w:color w:val="000000"/>
          <w:lang w:val="en-US"/>
        </w:rPr>
        <w:t xml:space="preserve"> loptu. Najveći broj odbijenih lopti (40%) vraća se u središnju zonu. χ² testom je utvrđeno da se najveći broj upućenih lopti iz pojedine zone odbija u tu istu zonu </w:t>
      </w:r>
      <w:proofErr w:type="gramStart"/>
      <w:r w:rsidRPr="00FB158B">
        <w:rPr>
          <w:rFonts w:ascii="Garamond" w:hAnsi="Garamond" w:cs="Garamond"/>
          <w:color w:val="000000"/>
          <w:lang w:val="en-US"/>
        </w:rPr>
        <w:t>ili</w:t>
      </w:r>
      <w:proofErr w:type="gramEnd"/>
      <w:r w:rsidRPr="00FB158B">
        <w:rPr>
          <w:rFonts w:ascii="Garamond" w:hAnsi="Garamond" w:cs="Garamond"/>
          <w:color w:val="000000"/>
          <w:lang w:val="en-US"/>
        </w:rPr>
        <w:t xml:space="preserve"> nešto rjeđe u susjednu zonu. Tome najviše pridonosi ugao šutiranja, koji je uglavnom direktan u odnosu </w:t>
      </w:r>
      <w:proofErr w:type="gramStart"/>
      <w:r w:rsidRPr="00FB158B">
        <w:rPr>
          <w:rFonts w:ascii="Garamond" w:hAnsi="Garamond" w:cs="Garamond"/>
          <w:color w:val="000000"/>
          <w:lang w:val="en-US"/>
        </w:rPr>
        <w:t>na</w:t>
      </w:r>
      <w:proofErr w:type="gramEnd"/>
      <w:r w:rsidRPr="00FB158B">
        <w:rPr>
          <w:rFonts w:ascii="Garamond" w:hAnsi="Garamond" w:cs="Garamond"/>
          <w:color w:val="000000"/>
          <w:lang w:val="en-US"/>
        </w:rPr>
        <w:t xml:space="preserve"> gol, te postavljanje golmana u odnosu na loptu. </w:t>
      </w:r>
      <w:proofErr w:type="gramStart"/>
      <w:r w:rsidRPr="00FB158B">
        <w:rPr>
          <w:rFonts w:ascii="Garamond" w:hAnsi="Garamond" w:cs="Garamond"/>
          <w:color w:val="000000"/>
          <w:lang w:val="en-US"/>
        </w:rPr>
        <w:t>Istraživanje implicira potrebu za uvježbavanjem ovog segmenta igre u okviru rukometnog treninga pomoću specifični i situacionih trenažnih vježbi.</w:t>
      </w:r>
      <w:proofErr w:type="gramEnd"/>
      <w:r>
        <w:rPr>
          <w:rFonts w:ascii="Garamond" w:hAnsi="Garamond" w:cs="Garamond"/>
          <w:color w:val="000000"/>
          <w:lang w:val="en-US"/>
        </w:rPr>
        <w:t xml:space="preserve"> </w:t>
      </w:r>
    </w:p>
    <w:p w:rsidR="00FB158B" w:rsidRDefault="00FB158B" w:rsidP="00FB158B">
      <w:pPr>
        <w:pStyle w:val="Tekst"/>
        <w:tabs>
          <w:tab w:val="right" w:pos="8280"/>
        </w:tabs>
        <w:ind w:left="510" w:hanging="510"/>
        <w:jc w:val="left"/>
        <w:rPr>
          <w:b/>
          <w:bCs/>
        </w:rPr>
      </w:pPr>
    </w:p>
    <w:p w:rsidR="00E3564F" w:rsidRDefault="00FB158B" w:rsidP="00FB158B">
      <w:pPr>
        <w:pStyle w:val="Tekst"/>
        <w:tabs>
          <w:tab w:val="right" w:pos="8280"/>
        </w:tabs>
        <w:ind w:left="510" w:hanging="510"/>
        <w:jc w:val="left"/>
      </w:pPr>
      <w:r>
        <w:rPr>
          <w:b/>
          <w:bCs/>
        </w:rPr>
        <w:t>Ključne riječi</w:t>
      </w:r>
      <w:r w:rsidR="00E3564F">
        <w:rPr>
          <w:b/>
          <w:bCs/>
        </w:rPr>
        <w:t>:</w:t>
      </w:r>
      <w:r w:rsidR="00E3564F">
        <w:t xml:space="preserve"> </w:t>
      </w:r>
      <w:r w:rsidRPr="00FB158B">
        <w:t>odbijena lopta, rukometna utakmica, udarac na gol, golman</w:t>
      </w:r>
      <w:r w:rsidR="00E3564F">
        <w:t>.</w:t>
      </w:r>
    </w:p>
    <w:p w:rsidR="00FB158B" w:rsidRDefault="00FB158B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Apitzs, E., &amp; Liu, W. H. (1997). Correlation between field dependence-independance and handball shooting by Swedish national male players. </w:t>
      </w:r>
      <w:r>
        <w:rPr>
          <w:rFonts w:ascii="Garamond" w:hAnsi="Garamond" w:cs="Garamond"/>
          <w:i/>
          <w:iCs/>
          <w:sz w:val="22"/>
          <w:szCs w:val="22"/>
        </w:rPr>
        <w:t>Perceptual and Motor Skills</w:t>
      </w:r>
      <w:r>
        <w:rPr>
          <w:rFonts w:ascii="Garamond" w:hAnsi="Garamond" w:cs="Garamond"/>
          <w:sz w:val="22"/>
          <w:szCs w:val="22"/>
        </w:rPr>
        <w:t>, 84, 1395–1398. doi: 10.2466/pms.1997.84.3c.1395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Debanne, T. (2003). Perceptive and decisional activity of goalkeeper during his parade's action: Experts skills. </w:t>
      </w:r>
      <w:r>
        <w:rPr>
          <w:rFonts w:ascii="Garamond" w:hAnsi="Garamond" w:cs="Garamond"/>
          <w:i/>
          <w:iCs/>
          <w:sz w:val="22"/>
          <w:szCs w:val="22"/>
        </w:rPr>
        <w:t>STAPS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62</w:t>
      </w:r>
      <w:r>
        <w:rPr>
          <w:rFonts w:ascii="Garamond" w:hAnsi="Garamond" w:cs="Garamond"/>
          <w:sz w:val="22"/>
          <w:szCs w:val="22"/>
        </w:rPr>
        <w:t>(3), 43–58. doi: 10.3917/sta.062.0043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Delija, K., &amp; Šimenc, Z. (1994). Utjecaj nekih općih i situacijskih motoričkih sposobnosti i znanja na uspjeh u rukometu [Impact of the general and situational motor skills and knowledge to succeed in handball]. </w:t>
      </w:r>
      <w:r>
        <w:rPr>
          <w:rFonts w:ascii="Garamond" w:hAnsi="Garamond" w:cs="Garamond"/>
          <w:i/>
          <w:iCs/>
          <w:sz w:val="22"/>
          <w:szCs w:val="22"/>
        </w:rPr>
        <w:t>Kinezilogija</w:t>
      </w:r>
      <w:r>
        <w:rPr>
          <w:rFonts w:ascii="Garamond" w:hAnsi="Garamond" w:cs="Garamond"/>
          <w:sz w:val="22"/>
          <w:szCs w:val="22"/>
        </w:rPr>
        <w:t>, 26, 51–54.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Gajić, V. (1970). Analiza VII. prvenstva sveta u rukometu. </w:t>
      </w:r>
      <w:r>
        <w:rPr>
          <w:rFonts w:ascii="Garamond" w:hAnsi="Garamond" w:cs="Garamond"/>
          <w:i/>
          <w:iCs/>
          <w:sz w:val="22"/>
          <w:szCs w:val="22"/>
        </w:rPr>
        <w:t>Sportska praksa</w:t>
      </w:r>
      <w:r>
        <w:rPr>
          <w:rFonts w:ascii="Garamond" w:hAnsi="Garamond" w:cs="Garamond"/>
          <w:sz w:val="22"/>
          <w:szCs w:val="22"/>
        </w:rPr>
        <w:t>.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Gorostiaga, E. M., Granados, C., Ibáñez, J., &amp; Izquierdo, M. (2005). Differences in physical fitness and throwing velocity among elite and amateur male handball players. </w:t>
      </w:r>
      <w:r>
        <w:rPr>
          <w:rFonts w:ascii="Garamond" w:hAnsi="Garamond" w:cs="Garamond"/>
          <w:i/>
          <w:iCs/>
          <w:sz w:val="22"/>
          <w:szCs w:val="22"/>
        </w:rPr>
        <w:t>International Journal of Sports Medicine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26</w:t>
      </w:r>
      <w:r>
        <w:rPr>
          <w:rFonts w:ascii="Garamond" w:hAnsi="Garamond" w:cs="Garamond"/>
          <w:sz w:val="22"/>
          <w:szCs w:val="22"/>
        </w:rPr>
        <w:t>(3), 225–232. doi: 10.1055/s-2004-820974; PMid: 15776339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Gruić, I., Vuleta, D., &amp; Milanović, D. (2006): Performance indicators of teams at the 2003 men´s world handball championship in Portugal. </w:t>
      </w:r>
      <w:r>
        <w:rPr>
          <w:rFonts w:ascii="Garamond" w:hAnsi="Garamond" w:cs="Garamond"/>
          <w:i/>
          <w:iCs/>
          <w:sz w:val="22"/>
          <w:szCs w:val="22"/>
        </w:rPr>
        <w:t>Kinesiology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38</w:t>
      </w:r>
      <w:r>
        <w:rPr>
          <w:rFonts w:ascii="Garamond" w:hAnsi="Garamond" w:cs="Garamond"/>
          <w:sz w:val="22"/>
          <w:szCs w:val="22"/>
        </w:rPr>
        <w:t>(2), 164–175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Hermassi, S., Chelly, M. S., Fathloun, M., &amp; Shephard, R.J. (2010). The effect of heavy-vs. moderate-load training on the development of strength, power, and throwing ball velocity in male handball players. </w:t>
      </w:r>
      <w:r>
        <w:rPr>
          <w:rFonts w:ascii="Garamond" w:hAnsi="Garamond" w:cs="Garamond"/>
          <w:i/>
          <w:iCs/>
          <w:sz w:val="22"/>
          <w:szCs w:val="22"/>
        </w:rPr>
        <w:t>Journal of Strength and Conditioning Research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24</w:t>
      </w:r>
      <w:r>
        <w:rPr>
          <w:rFonts w:ascii="Garamond" w:hAnsi="Garamond" w:cs="Garamond"/>
          <w:sz w:val="22"/>
          <w:szCs w:val="22"/>
        </w:rPr>
        <w:t>(9), 2408–2418. doi: 10.1519/JSC.0b013e3181e58d7c; PMid: 20706155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Ivančević, T, Jovanović, B., Đukić, M., Marković, S., &amp; Đukić, N. (2008). Biomechanical analysis of shots and ball motion in tennis and the analogy with handball throws. </w:t>
      </w:r>
      <w:r>
        <w:rPr>
          <w:rFonts w:ascii="Garamond" w:hAnsi="Garamond" w:cs="Garamond"/>
          <w:i/>
          <w:iCs/>
          <w:sz w:val="22"/>
          <w:szCs w:val="22"/>
        </w:rPr>
        <w:t>Facta Universitatis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Physical Education and Sport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6</w:t>
      </w:r>
      <w:r>
        <w:rPr>
          <w:rFonts w:ascii="Garamond" w:hAnsi="Garamond" w:cs="Garamond"/>
          <w:sz w:val="22"/>
          <w:szCs w:val="22"/>
        </w:rPr>
        <w:t>(1), 51–66.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Ohnjec, K., Vuleta, D., Milanović, D., &amp; Gruić, I. (2008). Performance indicators of teams at the 2003 world handball championship for women in croatia. </w:t>
      </w:r>
      <w:r>
        <w:rPr>
          <w:rFonts w:ascii="Garamond" w:hAnsi="Garamond" w:cs="Garamond"/>
          <w:i/>
          <w:iCs/>
          <w:sz w:val="22"/>
          <w:szCs w:val="22"/>
        </w:rPr>
        <w:t>Kinesiology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40</w:t>
      </w:r>
      <w:r>
        <w:rPr>
          <w:rFonts w:ascii="Garamond" w:hAnsi="Garamond" w:cs="Garamond"/>
          <w:sz w:val="22"/>
          <w:szCs w:val="22"/>
        </w:rPr>
        <w:t>(1), 69–79.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Pokrajac, B. (2008). EHF Men’s Euro 2008 – Analysis, discussion, comparison, tendencies in modern handball. </w:t>
      </w:r>
      <w:r>
        <w:rPr>
          <w:rFonts w:ascii="Garamond" w:hAnsi="Garamond" w:cs="Garamond"/>
          <w:i/>
          <w:iCs/>
          <w:sz w:val="22"/>
          <w:szCs w:val="22"/>
        </w:rPr>
        <w:t>EHF Periodical</w:t>
      </w:r>
      <w:r>
        <w:rPr>
          <w:rFonts w:ascii="Garamond" w:hAnsi="Garamond" w:cs="Garamond"/>
          <w:sz w:val="22"/>
          <w:szCs w:val="22"/>
        </w:rPr>
        <w:t>. PMCid: 267037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lastRenderedPageBreak/>
        <w:t xml:space="preserve">Robertson, G., Caldwell, G., Hamill, J., Kamen, G., &amp; Whittlesey, S. (2004). </w:t>
      </w:r>
      <w:r>
        <w:rPr>
          <w:rFonts w:ascii="Garamond" w:hAnsi="Garamond" w:cs="Garamond"/>
          <w:i/>
          <w:iCs/>
          <w:sz w:val="22"/>
          <w:szCs w:val="22"/>
        </w:rPr>
        <w:t>Research Methods in Biomechanics</w:t>
      </w:r>
      <w:r>
        <w:rPr>
          <w:rFonts w:ascii="Garamond" w:hAnsi="Garamond" w:cs="Garamond"/>
          <w:sz w:val="22"/>
          <w:szCs w:val="22"/>
        </w:rPr>
        <w:t>. Champaign, IL: Human Kinetics.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Rogulj, N. (2000a). </w:t>
      </w:r>
      <w:r>
        <w:rPr>
          <w:rFonts w:ascii="Garamond" w:hAnsi="Garamond" w:cs="Garamond"/>
          <w:i/>
          <w:iCs/>
          <w:sz w:val="22"/>
          <w:szCs w:val="22"/>
        </w:rPr>
        <w:t>Tehnika, taktika i trening vratara u rukometu</w:t>
      </w:r>
      <w:r>
        <w:rPr>
          <w:rFonts w:ascii="Garamond" w:hAnsi="Garamond" w:cs="Garamond"/>
          <w:sz w:val="22"/>
          <w:szCs w:val="22"/>
        </w:rPr>
        <w:t xml:space="preserve"> [Technique, tactics and practice goalkeepers in handball]. Split, HR: Fakultet prirodoslovno-matematičkih znanosti i odgojnih područja u Splitu.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Rogulj, N. (2000b). Differences in situation-related indicators of handball game in relation to the achieved competitive results of the teams at 1999 World Championship in Egypt. </w:t>
      </w:r>
      <w:r>
        <w:rPr>
          <w:rFonts w:ascii="Garamond" w:hAnsi="Garamond" w:cs="Garamond"/>
          <w:i/>
          <w:iCs/>
          <w:sz w:val="22"/>
          <w:szCs w:val="22"/>
        </w:rPr>
        <w:t>Kinesiology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32</w:t>
      </w:r>
      <w:r>
        <w:rPr>
          <w:rFonts w:ascii="Garamond" w:hAnsi="Garamond" w:cs="Garamond"/>
          <w:sz w:val="22"/>
          <w:szCs w:val="22"/>
        </w:rPr>
        <w:t>(2), 63–74.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Rogulj, N. (2009). </w:t>
      </w:r>
      <w:r>
        <w:rPr>
          <w:rFonts w:ascii="Garamond" w:hAnsi="Garamond" w:cs="Garamond"/>
          <w:i/>
          <w:iCs/>
          <w:sz w:val="22"/>
          <w:szCs w:val="22"/>
        </w:rPr>
        <w:t>Modeli taktike u rukometu</w:t>
      </w:r>
      <w:r>
        <w:rPr>
          <w:rFonts w:ascii="Garamond" w:hAnsi="Garamond" w:cs="Garamond"/>
          <w:sz w:val="22"/>
          <w:szCs w:val="22"/>
        </w:rPr>
        <w:t xml:space="preserve"> [Models of handball tactics]. Split, HR: Znanstveno-sportsko društvo Grifon.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Rogulj, N., &amp; Srhoj, V. (2009). Influence of the collective attack tactics on handball match outcome. </w:t>
      </w:r>
      <w:r>
        <w:rPr>
          <w:rFonts w:ascii="Garamond" w:hAnsi="Garamond" w:cs="Garamond"/>
          <w:i/>
          <w:iCs/>
          <w:sz w:val="22"/>
          <w:szCs w:val="22"/>
        </w:rPr>
        <w:t>Fizička kultura</w:t>
      </w:r>
      <w:r>
        <w:rPr>
          <w:rFonts w:ascii="Garamond" w:hAnsi="Garamond" w:cs="Garamond"/>
          <w:sz w:val="22"/>
          <w:szCs w:val="22"/>
        </w:rPr>
        <w:t>, 37, 15–20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Rogulj, N., Srhoj, V., &amp; Srhoj, Lj., (2004). The contribution of collective attack tactics in differentiating handball score efficiency. </w:t>
      </w:r>
      <w:r>
        <w:rPr>
          <w:rFonts w:ascii="Garamond" w:hAnsi="Garamond" w:cs="Garamond"/>
          <w:i/>
          <w:iCs/>
          <w:sz w:val="22"/>
          <w:szCs w:val="22"/>
        </w:rPr>
        <w:t>Collegium Antropologicum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28</w:t>
      </w:r>
      <w:r>
        <w:rPr>
          <w:rFonts w:ascii="Garamond" w:hAnsi="Garamond" w:cs="Garamond"/>
          <w:sz w:val="22"/>
          <w:szCs w:val="22"/>
        </w:rPr>
        <w:t xml:space="preserve">(2), 739–746 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Srhoj, V., Rogulj, N., &amp; Katić, R. (2001). Influence of the attack end conduction on match result in handball. </w:t>
      </w:r>
      <w:r>
        <w:rPr>
          <w:rFonts w:ascii="Garamond" w:hAnsi="Garamond" w:cs="Garamond"/>
          <w:i/>
          <w:iCs/>
          <w:sz w:val="22"/>
          <w:szCs w:val="22"/>
        </w:rPr>
        <w:t>Collegium Antropologicum</w:t>
      </w:r>
      <w:r>
        <w:rPr>
          <w:rFonts w:ascii="Garamond" w:hAnsi="Garamond" w:cs="Garamond"/>
          <w:sz w:val="22"/>
          <w:szCs w:val="22"/>
        </w:rPr>
        <w:t xml:space="preserve">, 25(2), 611–617. </w:t>
      </w:r>
    </w:p>
    <w:p w:rsidR="00E3564F" w:rsidRDefault="00E3564F" w:rsidP="00E3564F">
      <w:pPr>
        <w:pStyle w:val="BasicParagraph"/>
        <w:suppressAutoHyphens/>
        <w:ind w:left="283" w:hanging="283"/>
        <w:jc w:val="lef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Taborsky, F. (2008). Cumulative indicators of team playing performance in handball (Olympic Games Tournaments 2008). Retrived from http//www.eurohandball.com.</w:t>
      </w:r>
    </w:p>
    <w:p w:rsidR="00E3564F" w:rsidRDefault="00E3564F" w:rsidP="00851A24">
      <w:pPr>
        <w:pStyle w:val="BasicParagraph"/>
        <w:suppressAutoHyphens/>
        <w:ind w:left="283" w:hanging="283"/>
        <w:jc w:val="left"/>
      </w:pPr>
      <w:r>
        <w:rPr>
          <w:rFonts w:ascii="Garamond" w:hAnsi="Garamond" w:cs="Garamond"/>
          <w:sz w:val="22"/>
          <w:szCs w:val="22"/>
        </w:rPr>
        <w:t xml:space="preserve"> Vuleta, D., Milanović, D., &amp; Sertić, H. (2003). Povezanost varijabli šutiranja na gol s konačnim rezultatom rukometnih utakmica Europskog prvenstva 2000. godine za muškarce [Relationship between variables shooting on goal with the final result handball match on the European Championship for men 2000]. </w:t>
      </w:r>
      <w:r>
        <w:rPr>
          <w:rFonts w:ascii="Garamond" w:hAnsi="Garamond" w:cs="Garamond"/>
          <w:i/>
          <w:iCs/>
          <w:sz w:val="22"/>
          <w:szCs w:val="22"/>
        </w:rPr>
        <w:t>Kinesiology</w:t>
      </w:r>
      <w:r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i/>
          <w:iCs/>
          <w:sz w:val="22"/>
          <w:szCs w:val="22"/>
        </w:rPr>
        <w:t>35</w:t>
      </w:r>
      <w:r>
        <w:rPr>
          <w:rFonts w:ascii="Garamond" w:hAnsi="Garamond" w:cs="Garamond"/>
          <w:sz w:val="22"/>
          <w:szCs w:val="22"/>
        </w:rPr>
        <w:t>(2), 168–183.</w:t>
      </w:r>
    </w:p>
    <w:p w:rsidR="00E3564F" w:rsidRDefault="00E3564F" w:rsidP="00E3564F">
      <w:pPr>
        <w:pStyle w:val="Tekst"/>
        <w:tabs>
          <w:tab w:val="right" w:pos="8280"/>
        </w:tabs>
        <w:spacing w:before="227"/>
        <w:ind w:firstLine="0"/>
        <w:jc w:val="left"/>
      </w:pPr>
    </w:p>
    <w:p w:rsidR="003E4955" w:rsidRDefault="003E4955" w:rsidP="003E4955">
      <w:pPr>
        <w:pStyle w:val="Tekst"/>
        <w:tabs>
          <w:tab w:val="right" w:pos="8280"/>
        </w:tabs>
        <w:spacing w:before="227"/>
        <w:ind w:firstLine="0"/>
        <w:jc w:val="left"/>
      </w:pPr>
    </w:p>
    <w:p w:rsidR="00021716" w:rsidRPr="00EB2AE8" w:rsidRDefault="00021716" w:rsidP="00021716">
      <w:pPr>
        <w:pStyle w:val="BasicParagraph"/>
        <w:suppressAutoHyphens/>
        <w:spacing w:line="240" w:lineRule="auto"/>
        <w:ind w:left="283" w:hanging="283"/>
        <w:jc w:val="left"/>
        <w:rPr>
          <w:sz w:val="20"/>
        </w:rPr>
      </w:pPr>
    </w:p>
    <w:sectPr w:rsidR="00021716" w:rsidRPr="00EB2AE8" w:rsidSect="002826A7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B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quare721 Cn BT">
    <w:panose1 w:val="020B040602020205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7C"/>
    <w:rsid w:val="00021716"/>
    <w:rsid w:val="00030A7C"/>
    <w:rsid w:val="000E4D2F"/>
    <w:rsid w:val="0019341C"/>
    <w:rsid w:val="00234178"/>
    <w:rsid w:val="00364A18"/>
    <w:rsid w:val="003E4955"/>
    <w:rsid w:val="003F440B"/>
    <w:rsid w:val="00450A83"/>
    <w:rsid w:val="004F2990"/>
    <w:rsid w:val="00517414"/>
    <w:rsid w:val="00851A24"/>
    <w:rsid w:val="008F5843"/>
    <w:rsid w:val="00936ED2"/>
    <w:rsid w:val="00B52FD8"/>
    <w:rsid w:val="00C529C7"/>
    <w:rsid w:val="00C76D82"/>
    <w:rsid w:val="00CE479F"/>
    <w:rsid w:val="00E3564F"/>
    <w:rsid w:val="00EB2AE8"/>
    <w:rsid w:val="00FB158B"/>
    <w:rsid w:val="00FD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rifunkcije">
    <w:name w:val="autori funkcije"/>
    <w:basedOn w:val="Normal"/>
    <w:uiPriority w:val="99"/>
    <w:rsid w:val="00450A83"/>
    <w:pPr>
      <w:tabs>
        <w:tab w:val="left" w:pos="0"/>
        <w:tab w:val="left" w:pos="2127"/>
        <w:tab w:val="right" w:pos="8940"/>
        <w:tab w:val="right" w:pos="9072"/>
      </w:tabs>
      <w:autoSpaceDE w:val="0"/>
      <w:autoSpaceDN w:val="0"/>
      <w:adjustRightInd w:val="0"/>
      <w:spacing w:after="0" w:line="288" w:lineRule="auto"/>
      <w:ind w:left="1984"/>
      <w:textAlignment w:val="center"/>
    </w:pPr>
    <w:rPr>
      <w:rFonts w:ascii="Garamond" w:hAnsi="Garamond" w:cs="Garamond"/>
      <w:color w:val="000000"/>
      <w:sz w:val="20"/>
      <w:szCs w:val="20"/>
      <w:lang w:val="en-GB"/>
    </w:rPr>
  </w:style>
  <w:style w:type="paragraph" w:customStyle="1" w:styleId="Tekst">
    <w:name w:val="Tekst"/>
    <w:basedOn w:val="Normal"/>
    <w:uiPriority w:val="99"/>
    <w:rsid w:val="00450A83"/>
    <w:pPr>
      <w:autoSpaceDE w:val="0"/>
      <w:autoSpaceDN w:val="0"/>
      <w:adjustRightInd w:val="0"/>
      <w:spacing w:after="0" w:line="288" w:lineRule="auto"/>
      <w:ind w:firstLine="283"/>
      <w:jc w:val="both"/>
      <w:textAlignment w:val="center"/>
    </w:pPr>
    <w:rPr>
      <w:rFonts w:ascii="Garamond" w:hAnsi="Garamond" w:cs="Garamond"/>
      <w:color w:val="000000"/>
      <w:lang w:val="en-US"/>
    </w:rPr>
  </w:style>
  <w:style w:type="paragraph" w:customStyle="1" w:styleId="Podnaslov">
    <w:name w:val="Podnaslov"/>
    <w:basedOn w:val="Tekst"/>
    <w:uiPriority w:val="99"/>
    <w:rsid w:val="00450A83"/>
    <w:pPr>
      <w:keepNext/>
      <w:tabs>
        <w:tab w:val="right" w:pos="8280"/>
      </w:tabs>
      <w:suppressAutoHyphens/>
      <w:spacing w:before="170" w:after="113"/>
      <w:ind w:left="850" w:hanging="850"/>
    </w:pPr>
    <w:rPr>
      <w:rFonts w:ascii="Square721 BT" w:hAnsi="Square721 BT" w:cs="Square721 BT"/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450A83"/>
    <w:pPr>
      <w:autoSpaceDE w:val="0"/>
      <w:autoSpaceDN w:val="0"/>
      <w:adjustRightInd w:val="0"/>
      <w:spacing w:after="0" w:line="288" w:lineRule="auto"/>
      <w:ind w:firstLine="283"/>
      <w:jc w:val="both"/>
      <w:textAlignment w:val="center"/>
    </w:pPr>
    <w:rPr>
      <w:rFonts w:ascii="Minion Pro" w:hAnsi="Minion Pro" w:cs="Minion Pro"/>
      <w:color w:val="000000"/>
      <w:sz w:val="24"/>
      <w:szCs w:val="24"/>
      <w:lang w:val="sl-SI"/>
    </w:rPr>
  </w:style>
  <w:style w:type="paragraph" w:customStyle="1" w:styleId="NoParagraphStyle">
    <w:name w:val="[No Paragraph Style]"/>
    <w:rsid w:val="00C76D82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rifunkcije">
    <w:name w:val="autori funkcije"/>
    <w:basedOn w:val="Normal"/>
    <w:uiPriority w:val="99"/>
    <w:rsid w:val="00450A83"/>
    <w:pPr>
      <w:tabs>
        <w:tab w:val="left" w:pos="0"/>
        <w:tab w:val="left" w:pos="2127"/>
        <w:tab w:val="right" w:pos="8940"/>
        <w:tab w:val="right" w:pos="9072"/>
      </w:tabs>
      <w:autoSpaceDE w:val="0"/>
      <w:autoSpaceDN w:val="0"/>
      <w:adjustRightInd w:val="0"/>
      <w:spacing w:after="0" w:line="288" w:lineRule="auto"/>
      <w:ind w:left="1984"/>
      <w:textAlignment w:val="center"/>
    </w:pPr>
    <w:rPr>
      <w:rFonts w:ascii="Garamond" w:hAnsi="Garamond" w:cs="Garamond"/>
      <w:color w:val="000000"/>
      <w:sz w:val="20"/>
      <w:szCs w:val="20"/>
      <w:lang w:val="en-GB"/>
    </w:rPr>
  </w:style>
  <w:style w:type="paragraph" w:customStyle="1" w:styleId="Tekst">
    <w:name w:val="Tekst"/>
    <w:basedOn w:val="Normal"/>
    <w:uiPriority w:val="99"/>
    <w:rsid w:val="00450A83"/>
    <w:pPr>
      <w:autoSpaceDE w:val="0"/>
      <w:autoSpaceDN w:val="0"/>
      <w:adjustRightInd w:val="0"/>
      <w:spacing w:after="0" w:line="288" w:lineRule="auto"/>
      <w:ind w:firstLine="283"/>
      <w:jc w:val="both"/>
      <w:textAlignment w:val="center"/>
    </w:pPr>
    <w:rPr>
      <w:rFonts w:ascii="Garamond" w:hAnsi="Garamond" w:cs="Garamond"/>
      <w:color w:val="000000"/>
      <w:lang w:val="en-US"/>
    </w:rPr>
  </w:style>
  <w:style w:type="paragraph" w:customStyle="1" w:styleId="Podnaslov">
    <w:name w:val="Podnaslov"/>
    <w:basedOn w:val="Tekst"/>
    <w:uiPriority w:val="99"/>
    <w:rsid w:val="00450A83"/>
    <w:pPr>
      <w:keepNext/>
      <w:tabs>
        <w:tab w:val="right" w:pos="8280"/>
      </w:tabs>
      <w:suppressAutoHyphens/>
      <w:spacing w:before="170" w:after="113"/>
      <w:ind w:left="850" w:hanging="850"/>
    </w:pPr>
    <w:rPr>
      <w:rFonts w:ascii="Square721 BT" w:hAnsi="Square721 BT" w:cs="Square721 BT"/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450A83"/>
    <w:pPr>
      <w:autoSpaceDE w:val="0"/>
      <w:autoSpaceDN w:val="0"/>
      <w:adjustRightInd w:val="0"/>
      <w:spacing w:after="0" w:line="288" w:lineRule="auto"/>
      <w:ind w:firstLine="283"/>
      <w:jc w:val="both"/>
      <w:textAlignment w:val="center"/>
    </w:pPr>
    <w:rPr>
      <w:rFonts w:ascii="Minion Pro" w:hAnsi="Minion Pro" w:cs="Minion Pro"/>
      <w:color w:val="000000"/>
      <w:sz w:val="24"/>
      <w:szCs w:val="24"/>
      <w:lang w:val="sl-SI"/>
    </w:rPr>
  </w:style>
  <w:style w:type="paragraph" w:customStyle="1" w:styleId="NoParagraphStyle">
    <w:name w:val="[No Paragraph Style]"/>
    <w:rsid w:val="00C76D82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16</Pages>
  <Words>7704</Words>
  <Characters>43919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24</cp:revision>
  <dcterms:created xsi:type="dcterms:W3CDTF">2013-06-30T11:42:00Z</dcterms:created>
  <dcterms:modified xsi:type="dcterms:W3CDTF">2013-07-09T13:06:00Z</dcterms:modified>
</cp:coreProperties>
</file>