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The Robbery Meter</w:t>
      </w:r>
    </w:p>
    <w:p>
      <w:r>
        <w:rPr>
          <w:b/>
          <w:bCs/>
          <w:color w:val="1B1B1B"/>
          <w:sz w:val="24"/>
          <w:szCs w:val="24"/>
        </w:rPr>
        <w:t xml:space="preserve">Turning Outfield Tracking Data into a Live Scoreboard Story</w:t>
      </w:r>
    </w:p>
    <w:p>
      <w:r>
        <w:rPr>
          <w:i/>
          <w:iCs/>
          <w:color w:val="555555"/>
          <w:sz w:val="20"/>
          <w:szCs w:val="20"/>
        </w:rPr>
        <w:t xml:space="preserve">SMT Data Challenge 2026 — “On the Big Screen!”  ·  Category: Defensive entertainment metric, visualization, and interactive fan experience</w:t>
      </w:r>
    </w:p>
    <w:p>
      <w:pPr>
        <w:pStyle w:val="Heading1"/>
      </w:pPr>
      <w:r>
        <w:t xml:space="preserve">Abstract</w:t>
      </w:r>
    </w:p>
    <w:p>
      <w:r>
        <w:t xml:space="preserve">Baseball is entertainment, and the most electric moment in any ballpark is a defender running down a ball that looked uncatchable. We turn that moment into a scoreboard product. Using 250 games of SMT player- and ball-tracking data from a full Minor League season, we identified 7,058 outfield catch opportunities and engineered three physically meaningful features from the raw 20 Hz positions: the fielder’s route distance to the ball, the ball’s hang time, and the required closing speed those two imply. A calibrated logistic model estimates the probability that any given ball is caught, achieving 95.4% classification accuracy and a Brier score of 0.039 against an 85.0% base catch rate.</w:t>
      </w:r>
    </w:p>
    <w:p>
      <w:r>
        <w:t xml:space="preserve">From this single model we derive three ready-to-air features. First, </w:t>
      </w:r>
      <w:r>
        <w:rPr>
          <w:b/>
          <w:bCs/>
        </w:rPr>
        <w:t xml:space="preserve">Outs Above Expected</w:t>
      </w:r>
      <w:r>
        <w:t xml:space="preserve"> ranks the league’s best defenders by catches made beyond what the model expected; the top outfielder was +9.2 outs above expected across 254 chances. Second, an automatically selected </w:t>
      </w:r>
      <w:r>
        <w:rPr>
          <w:b/>
          <w:bCs/>
        </w:rPr>
        <w:t xml:space="preserve">Web Gem of the Night</w:t>
      </w:r>
      <w:r>
        <w:t xml:space="preserve"> surfaces the most improbable completed catch — for example, a right fielder who covered 140 feet in 6.5 seconds to make a catch the model gave a 19% chance, a “Robbery Score” of 81 out of 100. Third, a </w:t>
      </w:r>
      <w:r>
        <w:rPr>
          <w:b/>
          <w:bCs/>
        </w:rPr>
        <w:t xml:space="preserve">“Catch or No Catch?”</w:t>
      </w:r>
      <w:r>
        <w:t xml:space="preserve"> crowd-vote game freezes the play at contact and lets fans predict the outcome before the model reveals the odds, converting the same math into live audience participation.</w:t>
      </w:r>
    </w:p>
    <w:p>
      <w:r>
        <w:t xml:space="preserve">The Robbery Meter bridges technical rigor and fan engagement: it is defensible to analysts as a calibrated tracking-data model, and instantly legible to a family in the stands as a number between 0 and 100. It requires only data the league already collects, and it scales from a single highlight graphic to a season-long leaderboard. We provide the full, reproducible pipeline and nine companion scoreboard concepts so a club could deploy an entire in-game analytics slate from one codebase.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color w:val="888888"/>
        <w:sz w:val="16"/>
        <w:szCs w:val="16"/>
      </w:rPr>
      <w:t xml:space="preserve">SMT Data Challenge 2026 — Abstract  |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B6B3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B1B1B"/>
      <w:sz w:val="23"/>
      <w:szCs w:val="23"/>
    </w:rPr>
  </w:style>
  <w:style w:type="paragraph" w:styleId="Title">
    <w:name w:val="Title"/>
    <w:basedOn w:val="Normal"/>
    <w:next w:val="Normal"/>
    <w:pPr>
      <w:spacing w:after="60"/>
    </w:pPr>
    <w:rPr>
      <w:rFonts w:ascii="Arial" w:cs="Arial" w:eastAsia="Arial" w:hAnsi="Arial"/>
      <w:b/>
      <w:bCs/>
      <w:color w:val="0B6B3A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2026-07-05T18:42:56.150Z</dcterms:created>
  <dcterms:modified xsi:type="dcterms:W3CDTF">2026-07-05T18:42:56.151Z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