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B4332"/>
          <w:sz w:val="56"/>
          <w:szCs w:val="56"/>
        </w:rPr>
        <w:t xml:space="preserve">KneeSchool.com</w:t>
      </w:r>
    </w:p>
    <w:p>
      <w:pPr>
        <w:spacing w:after="120"/>
        <w:jc w:val="center"/>
      </w:pPr>
      <w:r>
        <w:rPr>
          <w:b/>
          <w:bCs/>
          <w:color w:val="9C7A2F"/>
          <w:sz w:val="32"/>
          <w:szCs w:val="32"/>
        </w:rPr>
        <w:t xml:space="preserve">Junior Academy Architecture &amp; UK Surgical Curriculum Mapping</w:t>
      </w:r>
    </w:p>
    <w:p>
      <w:pPr>
        <w:spacing w:after="2000"/>
        <w:jc w:val="center"/>
      </w:pPr>
      <w:r>
        <w:rPr>
          <w:i/>
          <w:iCs/>
          <w:color w:val="58605E"/>
          <w:sz w:val="22"/>
          <w:szCs w:val="22"/>
        </w:rPr>
        <w:t xml:space="preserve">Extension to the Master Publishing Architecture: the missing pre-university spiral tier, and the alignment of MRCS and FRCS (Tr &amp; Orth) content with the Intercollegiate Surgical Curriculum Programme (ISCP) and JCIE examinations.</w:t>
      </w:r>
    </w:p>
    <w:p>
      <w:pPr>
        <w:jc w:val="center"/>
      </w:pPr>
      <w:r>
        <w:rPr>
          <w:color w:val="58605E"/>
          <w:sz w:val="20"/>
          <w:szCs w:val="20"/>
        </w:rPr>
        <w:t xml:space="preserve">Prepared for: Project lead, content team, medical writer and clinical reviewer</w:t>
      </w:r>
    </w:p>
    <w:p>
      <w:pPr>
        <w:jc w:val="center"/>
      </w:pPr>
      <w:r>
        <w:rPr>
          <w:color w:val="58605E"/>
          <w:sz w:val="20"/>
          <w:szCs w:val="20"/>
        </w:rPr>
        <w:t xml:space="preserve">Status: Draft for consultant review — verify all curriculum references against current ISCP and JCIE documents before publication</w:t>
      </w:r>
    </w:p>
    <w:p>
      <w:r>
        <w:br w:type="page"/>
      </w:r>
    </w:p>
    <w:p>
      <w:pPr>
        <w:pStyle w:val="Heading1"/>
        <w:spacing w:after="160" w:before="360"/>
      </w:pPr>
      <w:r>
        <w:rPr>
          <w:b/>
          <w:bCs/>
          <w:color w:val="1B4332"/>
        </w:rPr>
        <w:t xml:space="preserve">PART A — SECTION 0: KNEESCHOOL JUNIOR ACADEMY (PRE-UNIVERSITY TIER)</w:t>
      </w:r>
    </w:p>
    <w:p>
      <w:pPr>
        <w:pStyle w:val="Heading2"/>
        <w:spacing w:after="120" w:before="280"/>
      </w:pPr>
      <w:r>
        <w:rPr>
          <w:b/>
          <w:bCs/>
          <w:color w:val="2F6F6A"/>
        </w:rPr>
        <w:t xml:space="preserve">Overview</w:t>
      </w:r>
    </w:p>
    <w:p>
      <w:pPr>
        <w:spacing w:after="120"/>
      </w:pPr>
      <w:r>
        <w:t xml:space="preserve">The existing architecture begins the spiral at the Patient tier. This section inserts a tier below it, completing the spiral as originally conceived: School → Undergraduate → MRCS → FRCS → Fellowship. The Junior Academy serves school-age learners (approximately 13–18) who are curious about the knee through sport, biology or an ambition to work in medicine. No competitor platform offers this tier; it creates a lifelong learner pipeline and positions KneeSchool as the place a future knee surgeon first encounters the subject.</w:t>
      </w:r>
    </w:p>
    <w:p>
      <w:pPr>
        <w:spacing w:after="120"/>
      </w:pPr>
      <w:r>
        <w:t xml:space="preserve">Numbering follows the Master Publishing Architecture convention. As Section 0, it precedes Section 1 (Knee Fundamentals) and deliberately reuses the same topic spine so that a learner who progresses re-encounters familiar material at greater depth — the defining property of a spiral curriculum.</w:t>
      </w:r>
    </w:p>
    <w:p>
      <w:pPr>
        <w:pStyle w:val="Heading2"/>
        <w:spacing w:after="120" w:before="280"/>
      </w:pPr>
      <w:r>
        <w:rPr>
          <w:b/>
          <w:bCs/>
          <w:color w:val="2F6F6A"/>
        </w:rPr>
        <w:t xml:space="preserve">Target Audiences</w:t>
      </w:r>
    </w:p>
    <w:p>
      <w:pPr>
        <w:spacing w:after="120"/>
      </w:pPr>
      <w:r>
        <w:t xml:space="preserve">Secondary school students (GCSE and A-level or equivalent), young athletes, students of PE and sports science, aspiring medical and healthcare students, teachers, coaches and parents supporting a young person's interest.</w:t>
      </w:r>
    </w:p>
    <w:p>
      <w:pPr>
        <w:pStyle w:val="Heading2"/>
        <w:spacing w:after="120" w:before="280"/>
      </w:pPr>
      <w:r>
        <w:rPr>
          <w:b/>
          <w:bCs/>
          <w:color w:val="2F6F6A"/>
        </w:rPr>
        <w:t xml:space="preserve">Chapter 0.1 — Discover the Knee</w:t>
      </w:r>
    </w:p>
    <w:p>
      <w:pPr>
        <w:pStyle w:val="ListParagraph"/>
        <w:numPr>
          <w:ilvl w:val="0"/>
          <w:numId w:val="2"/>
        </w:numPr>
        <w:spacing w:after="60"/>
      </w:pPr>
      <w:r>
        <w:t xml:space="preserve">0.1.1 Meet Your Knee — an illustrated tour of the joint</w:t>
      </w:r>
    </w:p>
    <w:p>
      <w:pPr>
        <w:pStyle w:val="ListParagraph"/>
        <w:numPr>
          <w:ilvl w:val="0"/>
          <w:numId w:val="2"/>
        </w:numPr>
        <w:spacing w:after="60"/>
      </w:pPr>
      <w:r>
        <w:t xml:space="preserve">0.1.2 Bones, Ligaments, Menisci and Muscles — the four building blocks</w:t>
      </w:r>
    </w:p>
    <w:p>
      <w:pPr>
        <w:pStyle w:val="ListParagraph"/>
        <w:numPr>
          <w:ilvl w:val="0"/>
          <w:numId w:val="2"/>
        </w:numPr>
        <w:spacing w:after="60"/>
      </w:pPr>
      <w:r>
        <w:t xml:space="preserve">0.1.3 How the Knee Moves — hinges, rolling and gliding</w:t>
      </w:r>
    </w:p>
    <w:p>
      <w:pPr>
        <w:pStyle w:val="ListParagraph"/>
        <w:numPr>
          <w:ilvl w:val="0"/>
          <w:numId w:val="2"/>
        </w:numPr>
        <w:spacing w:after="60"/>
      </w:pPr>
      <w:r>
        <w:t xml:space="preserve">0.1.4 The Knee Under Load — forces in walking, running and jumping</w:t>
      </w:r>
    </w:p>
    <w:p>
      <w:pPr>
        <w:pStyle w:val="ListParagraph"/>
        <w:numPr>
          <w:ilvl w:val="0"/>
          <w:numId w:val="2"/>
        </w:numPr>
        <w:spacing w:after="60"/>
      </w:pPr>
      <w:r>
        <w:t xml:space="preserve">0.1.5 Growing Knees — growth plates and why young knees are different</w:t>
      </w:r>
    </w:p>
    <w:p>
      <w:pPr>
        <w:pStyle w:val="ListParagraph"/>
        <w:numPr>
          <w:ilvl w:val="0"/>
          <w:numId w:val="2"/>
        </w:numPr>
        <w:spacing w:after="60"/>
      </w:pPr>
      <w:r>
        <w:t xml:space="preserve">0.1.6 Curriculum Links — mapping to GCSE/A-level Biology (skeletal and muscular systems, levers) and GCSE/A-level PE (movement analysis, injury)</w:t>
      </w:r>
    </w:p>
    <w:p>
      <w:pPr>
        <w:pStyle w:val="Heading2"/>
        <w:spacing w:after="120" w:before="280"/>
      </w:pPr>
      <w:r>
        <w:rPr>
          <w:b/>
          <w:bCs/>
          <w:color w:val="2F6F6A"/>
        </w:rPr>
        <w:t xml:space="preserve">Chapter 0.2 — Sport and Your Knees</w:t>
      </w:r>
    </w:p>
    <w:p>
      <w:pPr>
        <w:pStyle w:val="ListParagraph"/>
        <w:numPr>
          <w:ilvl w:val="0"/>
          <w:numId w:val="2"/>
        </w:numPr>
        <w:spacing w:after="60"/>
      </w:pPr>
      <w:r>
        <w:t xml:space="preserve">0.2.1 Common Knee Injuries in Young Athletes — recognition, not self-diagnosis</w:t>
      </w:r>
    </w:p>
    <w:p>
      <w:pPr>
        <w:pStyle w:val="ListParagraph"/>
        <w:numPr>
          <w:ilvl w:val="0"/>
          <w:numId w:val="2"/>
        </w:numPr>
        <w:spacing w:after="60"/>
      </w:pPr>
      <w:r>
        <w:t xml:space="preserve">0.2.2 Osgood-Schlatter and Growing Pains — what they are and why they settle</w:t>
      </w:r>
    </w:p>
    <w:p>
      <w:pPr>
        <w:pStyle w:val="ListParagraph"/>
        <w:numPr>
          <w:ilvl w:val="0"/>
          <w:numId w:val="2"/>
        </w:numPr>
        <w:spacing w:after="60"/>
      </w:pPr>
      <w:r>
        <w:t xml:space="preserve">0.2.3 Warm-Ups That Work — evidence-based injury prevention (FIFA 11+ style programmes)</w:t>
      </w:r>
    </w:p>
    <w:p>
      <w:pPr>
        <w:pStyle w:val="ListParagraph"/>
        <w:numPr>
          <w:ilvl w:val="0"/>
          <w:numId w:val="2"/>
        </w:numPr>
        <w:spacing w:after="60"/>
      </w:pPr>
      <w:r>
        <w:t xml:space="preserve">0.2.4 Girls, Boys and Knees — why ACL risk differs, introduced simply (feeds Section 9)</w:t>
      </w:r>
    </w:p>
    <w:p>
      <w:pPr>
        <w:pStyle w:val="ListParagraph"/>
        <w:numPr>
          <w:ilvl w:val="0"/>
          <w:numId w:val="2"/>
        </w:numPr>
        <w:spacing w:after="60"/>
      </w:pPr>
      <w:r>
        <w:t xml:space="preserve">0.2.5 When to Tell an Adult — red flags, always framed as “see a professional”</w:t>
      </w:r>
    </w:p>
    <w:p>
      <w:pPr>
        <w:pStyle w:val="ListParagraph"/>
        <w:numPr>
          <w:ilvl w:val="0"/>
          <w:numId w:val="2"/>
        </w:numPr>
        <w:spacing w:after="60"/>
      </w:pPr>
      <w:r>
        <w:t xml:space="preserve">0.2.6 Athlete Stories — injury and recovery journeys</w:t>
      </w:r>
    </w:p>
    <w:p>
      <w:pPr>
        <w:pStyle w:val="Heading2"/>
        <w:spacing w:after="120" w:before="280"/>
      </w:pPr>
      <w:r>
        <w:rPr>
          <w:b/>
          <w:bCs/>
          <w:color w:val="2F6F6A"/>
        </w:rPr>
        <w:t xml:space="preserve">Chapter 0.3 — Careers in Knee Medicine</w:t>
      </w:r>
    </w:p>
    <w:p>
      <w:pPr>
        <w:pStyle w:val="ListParagraph"/>
        <w:numPr>
          <w:ilvl w:val="0"/>
          <w:numId w:val="2"/>
        </w:numPr>
        <w:spacing w:after="60"/>
      </w:pPr>
      <w:r>
        <w:t xml:space="preserve">0.3.1 The Road to Knee Surgeon — school → medical school → Foundation Programme → Core Surgical Training → ST3–8 in Trauma &amp; Orthopaedics → fellowship → consultant (an interactive pathway map)</w:t>
      </w:r>
    </w:p>
    <w:p>
      <w:pPr>
        <w:pStyle w:val="ListParagraph"/>
        <w:numPr>
          <w:ilvl w:val="0"/>
          <w:numId w:val="2"/>
        </w:numPr>
        <w:spacing w:after="60"/>
      </w:pPr>
      <w:r>
        <w:t xml:space="preserve">0.3.2 A Day in the Life — knee surgeon, physiotherapist, radiographer, sports physician, theatre nurse, researcher</w:t>
      </w:r>
    </w:p>
    <w:p>
      <w:pPr>
        <w:pStyle w:val="ListParagraph"/>
        <w:numPr>
          <w:ilvl w:val="0"/>
          <w:numId w:val="2"/>
        </w:numPr>
        <w:spacing w:after="60"/>
      </w:pPr>
      <w:r>
        <w:t xml:space="preserve">0.3.3 Beyond Surgery — physiotherapy, sports science, radiography, nursing, prosthetics, biomedical engineering</w:t>
      </w:r>
    </w:p>
    <w:p>
      <w:pPr>
        <w:pStyle w:val="ListParagraph"/>
        <w:numPr>
          <w:ilvl w:val="0"/>
          <w:numId w:val="2"/>
        </w:numPr>
        <w:spacing w:after="60"/>
      </w:pPr>
      <w:r>
        <w:t xml:space="preserve">0.3.4 What MRCS and FRCS Actually Are — demystifying the letters</w:t>
      </w:r>
    </w:p>
    <w:p>
      <w:pPr>
        <w:pStyle w:val="ListParagraph"/>
        <w:numPr>
          <w:ilvl w:val="0"/>
          <w:numId w:val="2"/>
        </w:numPr>
        <w:spacing w:after="60"/>
      </w:pPr>
      <w:r>
        <w:t xml:space="preserve">0.3.5 Women in Orthopaedics — role models and representation</w:t>
      </w:r>
    </w:p>
    <w:p>
      <w:pPr>
        <w:pStyle w:val="ListParagraph"/>
        <w:numPr>
          <w:ilvl w:val="0"/>
          <w:numId w:val="2"/>
        </w:numPr>
        <w:spacing w:after="60"/>
      </w:pPr>
      <w:r>
        <w:t xml:space="preserve">0.3.6 Ask a Surgeon — moderated Q&amp;A archive</w:t>
      </w:r>
    </w:p>
    <w:p>
      <w:pPr>
        <w:pStyle w:val="Heading2"/>
        <w:spacing w:after="120" w:before="280"/>
      </w:pPr>
      <w:r>
        <w:rPr>
          <w:b/>
          <w:bCs/>
          <w:color w:val="2F6F6A"/>
        </w:rPr>
        <w:t xml:space="preserve">Chapter 0.4 — Getting Into Medical School</w:t>
      </w:r>
    </w:p>
    <w:p>
      <w:pPr>
        <w:pStyle w:val="ListParagraph"/>
        <w:numPr>
          <w:ilvl w:val="0"/>
          <w:numId w:val="2"/>
        </w:numPr>
        <w:spacing w:after="60"/>
      </w:pPr>
      <w:r>
        <w:t xml:space="preserve">0.4.1 Choosing Subjects — A-level and equivalent requirements</w:t>
      </w:r>
    </w:p>
    <w:p>
      <w:pPr>
        <w:pStyle w:val="ListParagraph"/>
        <w:numPr>
          <w:ilvl w:val="0"/>
          <w:numId w:val="2"/>
        </w:numPr>
        <w:spacing w:after="60"/>
      </w:pPr>
      <w:r>
        <w:t xml:space="preserve">0.4.2 Work Experience and Volunteering — what counts and how to reflect on it</w:t>
      </w:r>
    </w:p>
    <w:p>
      <w:pPr>
        <w:pStyle w:val="ListParagraph"/>
        <w:numPr>
          <w:ilvl w:val="0"/>
          <w:numId w:val="2"/>
        </w:numPr>
        <w:spacing w:after="60"/>
      </w:pPr>
      <w:r>
        <w:t xml:space="preserve">0.4.3 UCAT and Admissions Tests — orientation only, signposting to official resources</w:t>
      </w:r>
    </w:p>
    <w:p>
      <w:pPr>
        <w:pStyle w:val="ListParagraph"/>
        <w:numPr>
          <w:ilvl w:val="0"/>
          <w:numId w:val="2"/>
        </w:numPr>
        <w:spacing w:after="60"/>
      </w:pPr>
      <w:r>
        <w:t xml:space="preserve">0.4.4 Personal Statements and Interviews — using an interest in orthopaedics well</w:t>
      </w:r>
    </w:p>
    <w:p>
      <w:pPr>
        <w:pStyle w:val="ListParagraph"/>
        <w:numPr>
          <w:ilvl w:val="0"/>
          <w:numId w:val="2"/>
        </w:numPr>
        <w:spacing w:after="60"/>
      </w:pPr>
      <w:r>
        <w:t xml:space="preserve">0.4.5 Widening Participation — routes, bursaries and support for under-represented students</w:t>
      </w:r>
    </w:p>
    <w:p>
      <w:pPr>
        <w:pStyle w:val="ListParagraph"/>
        <w:numPr>
          <w:ilvl w:val="0"/>
          <w:numId w:val="2"/>
        </w:numPr>
        <w:spacing w:after="60"/>
      </w:pPr>
      <w:r>
        <w:t xml:space="preserve">0.4.6 Gateway and Graduate-Entry Routes</w:t>
      </w:r>
    </w:p>
    <w:p>
      <w:pPr>
        <w:pStyle w:val="Heading2"/>
        <w:spacing w:after="120" w:before="280"/>
      </w:pPr>
      <w:r>
        <w:rPr>
          <w:b/>
          <w:bCs/>
          <w:color w:val="2F6F6A"/>
        </w:rPr>
        <w:t xml:space="preserve">Chapter 0.5 — Young Investigators</w:t>
      </w:r>
    </w:p>
    <w:p>
      <w:pPr>
        <w:pStyle w:val="ListParagraph"/>
        <w:numPr>
          <w:ilvl w:val="0"/>
          <w:numId w:val="2"/>
        </w:numPr>
        <w:spacing w:after="60"/>
      </w:pPr>
      <w:r>
        <w:t xml:space="preserve">0.5.1 How We Know What We Know — introduction to evidence in medicine</w:t>
      </w:r>
    </w:p>
    <w:p>
      <w:pPr>
        <w:pStyle w:val="ListParagraph"/>
        <w:numPr>
          <w:ilvl w:val="0"/>
          <w:numId w:val="2"/>
        </w:numPr>
        <w:spacing w:after="60"/>
      </w:pPr>
      <w:r>
        <w:t xml:space="preserve">0.5.2 EPQ and Science-Fair Project Ideas — knee-themed research questions with method guidance</w:t>
      </w:r>
    </w:p>
    <w:p>
      <w:pPr>
        <w:pStyle w:val="ListParagraph"/>
        <w:numPr>
          <w:ilvl w:val="0"/>
          <w:numId w:val="2"/>
        </w:numPr>
        <w:spacing w:after="60"/>
      </w:pPr>
      <w:r>
        <w:t xml:space="preserve">0.5.3 Reading a Science Paper for the First Time</w:t>
      </w:r>
    </w:p>
    <w:p>
      <w:pPr>
        <w:pStyle w:val="ListParagraph"/>
        <w:numPr>
          <w:ilvl w:val="0"/>
          <w:numId w:val="2"/>
        </w:numPr>
        <w:spacing w:after="60"/>
      </w:pPr>
      <w:r>
        <w:t xml:space="preserve">0.5.4 Simple Biomechanics Experiments — safe, home- and classroom-friendly</w:t>
      </w:r>
    </w:p>
    <w:p>
      <w:pPr>
        <w:pStyle w:val="ListParagraph"/>
        <w:numPr>
          <w:ilvl w:val="0"/>
          <w:numId w:val="2"/>
        </w:numPr>
        <w:spacing w:after="60"/>
      </w:pPr>
      <w:r>
        <w:t xml:space="preserve">0.5.5 Meet the Researchers — profiles linking forward to Section 12 (Research Academy)</w:t>
      </w:r>
    </w:p>
    <w:p>
      <w:pPr>
        <w:pStyle w:val="Heading2"/>
        <w:spacing w:after="120" w:before="280"/>
      </w:pPr>
      <w:r>
        <w:rPr>
          <w:b/>
          <w:bCs/>
          <w:color w:val="2F6F6A"/>
        </w:rPr>
        <w:t xml:space="preserve">Chapter 0.6 — Junior Certificates and Challenges</w:t>
      </w:r>
    </w:p>
    <w:p>
      <w:pPr>
        <w:pStyle w:val="ListParagraph"/>
        <w:numPr>
          <w:ilvl w:val="0"/>
          <w:numId w:val="2"/>
        </w:numPr>
        <w:spacing w:after="60"/>
      </w:pPr>
      <w:r>
        <w:t xml:space="preserve">0.6.1 Knee Explorer Certificate — gamified completion award for Chapters 0.1–0.2</w:t>
      </w:r>
    </w:p>
    <w:p>
      <w:pPr>
        <w:pStyle w:val="ListParagraph"/>
        <w:numPr>
          <w:ilvl w:val="0"/>
          <w:numId w:val="2"/>
        </w:numPr>
        <w:spacing w:after="60"/>
      </w:pPr>
      <w:r>
        <w:t xml:space="preserve">0.6.2 Future Surgeon Challenge — quiz ladder drawing on the adaptive question bank (Section 14) at beginner level</w:t>
      </w:r>
    </w:p>
    <w:p>
      <w:pPr>
        <w:pStyle w:val="ListParagraph"/>
        <w:numPr>
          <w:ilvl w:val="0"/>
          <w:numId w:val="2"/>
        </w:numPr>
        <w:spacing w:after="60"/>
      </w:pPr>
      <w:r>
        <w:t xml:space="preserve">0.6.3 School Leaderboards — class and school competitions</w:t>
      </w:r>
    </w:p>
    <w:p>
      <w:pPr>
        <w:pStyle w:val="ListParagraph"/>
        <w:numPr>
          <w:ilvl w:val="0"/>
          <w:numId w:val="2"/>
        </w:numPr>
        <w:spacing w:after="60"/>
      </w:pPr>
      <w:r>
        <w:t xml:space="preserve">0.6.4 Digital Badges — shareable, linking into the platform's progress-tracking system</w:t>
      </w:r>
    </w:p>
    <w:p>
      <w:pPr>
        <w:pStyle w:val="Heading2"/>
        <w:spacing w:after="120" w:before="280"/>
      </w:pPr>
      <w:r>
        <w:rPr>
          <w:b/>
          <w:bCs/>
          <w:color w:val="2F6F6A"/>
        </w:rPr>
        <w:t xml:space="preserve">Chapter 0.7 — For Teachers, Coaches and Parents</w:t>
      </w:r>
    </w:p>
    <w:p>
      <w:pPr>
        <w:pStyle w:val="ListParagraph"/>
        <w:numPr>
          <w:ilvl w:val="0"/>
          <w:numId w:val="2"/>
        </w:numPr>
        <w:spacing w:after="60"/>
      </w:pPr>
      <w:r>
        <w:t xml:space="preserve">0.7.1 Ready-Made Lesson Plans — biology and PE, mapped to curricula</w:t>
      </w:r>
    </w:p>
    <w:p>
      <w:pPr>
        <w:pStyle w:val="ListParagraph"/>
        <w:numPr>
          <w:ilvl w:val="0"/>
          <w:numId w:val="2"/>
        </w:numPr>
        <w:spacing w:after="60"/>
      </w:pPr>
      <w:r>
        <w:t xml:space="preserve">0.7.2 Classroom Slide Decks and Worksheets — downloadable</w:t>
      </w:r>
    </w:p>
    <w:p>
      <w:pPr>
        <w:pStyle w:val="ListParagraph"/>
        <w:numPr>
          <w:ilvl w:val="0"/>
          <w:numId w:val="2"/>
        </w:numPr>
        <w:spacing w:after="60"/>
      </w:pPr>
      <w:r>
        <w:t xml:space="preserve">0.7.3 Coaching Safely — load management and injury awareness for youth coaches</w:t>
      </w:r>
    </w:p>
    <w:p>
      <w:pPr>
        <w:pStyle w:val="ListParagraph"/>
        <w:numPr>
          <w:ilvl w:val="0"/>
          <w:numId w:val="2"/>
        </w:numPr>
        <w:spacing w:after="60"/>
      </w:pPr>
      <w:r>
        <w:t xml:space="preserve">0.7.4 Supporting an Injured Young Athlete — parent guidance</w:t>
      </w:r>
    </w:p>
    <w:p>
      <w:pPr>
        <w:pStyle w:val="ListParagraph"/>
        <w:numPr>
          <w:ilvl w:val="0"/>
          <w:numId w:val="2"/>
        </w:numPr>
        <w:spacing w:after="60"/>
      </w:pPr>
      <w:r>
        <w:t xml:space="preserve">0.7.5 School Outreach Programme — talks, virtual theatre tours and careers events</w:t>
      </w:r>
    </w:p>
    <w:p>
      <w:pPr>
        <w:pStyle w:val="Heading2"/>
        <w:spacing w:after="120" w:before="280"/>
      </w:pPr>
      <w:r>
        <w:rPr>
          <w:b/>
          <w:bCs/>
          <w:color w:val="2F6F6A"/>
        </w:rPr>
        <w:t xml:space="preserve">Governance Rules Specific to the Junior Tier</w:t>
      </w:r>
    </w:p>
    <w:p>
      <w:pPr>
        <w:spacing w:after="120"/>
      </w:pPr>
      <w:r>
        <w:rPr>
          <w:b/>
          <w:bCs/>
        </w:rPr>
        <w:t xml:space="preserve">These rules are additions to the existing QA Manual and are non-negotiable for this tier:</w:t>
      </w:r>
    </w:p>
    <w:p>
      <w:pPr>
        <w:pStyle w:val="ListParagraph"/>
        <w:numPr>
          <w:ilvl w:val="0"/>
          <w:numId w:val="2"/>
        </w:numPr>
        <w:spacing w:after="60"/>
      </w:pPr>
      <w:r>
        <w:t xml:space="preserve">No commercial content. No OmKneeHealth product placement, supplement content or Sportshealing service promotion anywhere in Section 0. Marketing to minors creates regulatory and reputational risk and undermines the educational brand.</w:t>
      </w:r>
    </w:p>
    <w:p>
      <w:pPr>
        <w:pStyle w:val="ListParagraph"/>
        <w:numPr>
          <w:ilvl w:val="0"/>
          <w:numId w:val="2"/>
        </w:numPr>
        <w:spacing w:after="60"/>
      </w:pPr>
      <w:r>
        <w:t xml:space="preserve">No clinical advice. Every symptom-related page ends with a consistent “speak to a parent, teacher, coach or doctor” message. No dosages, no self-treatment protocols, no rehabilitation prescriptions.</w:t>
      </w:r>
    </w:p>
    <w:p>
      <w:pPr>
        <w:pStyle w:val="ListParagraph"/>
        <w:numPr>
          <w:ilvl w:val="0"/>
          <w:numId w:val="2"/>
        </w:numPr>
        <w:spacing w:after="60"/>
      </w:pPr>
      <w:r>
        <w:t xml:space="preserve">Data protection by design. Comply with UK GDPR and the ICO Age Appropriate Design Code: minimal data collection, no behavioural advertising, parental consent flows where accounts are offered, and high-privacy defaults.</w:t>
      </w:r>
    </w:p>
    <w:p>
      <w:pPr>
        <w:pStyle w:val="ListParagraph"/>
        <w:numPr>
          <w:ilvl w:val="0"/>
          <w:numId w:val="2"/>
        </w:numPr>
        <w:spacing w:after="60"/>
      </w:pPr>
      <w:r>
        <w:t xml:space="preserve">Moderation. Any interactive feature (Q&amp;A, leaderboards) is pre-moderated; no open chat or direct messaging for under-18s.</w:t>
      </w:r>
    </w:p>
    <w:p>
      <w:pPr>
        <w:pStyle w:val="ListParagraph"/>
        <w:numPr>
          <w:ilvl w:val="0"/>
          <w:numId w:val="2"/>
        </w:numPr>
        <w:spacing w:after="60"/>
      </w:pPr>
      <w:r>
        <w:t xml:space="preserve">Readability. Target reading age 12–14 for Chapters 0.1–0.2; plain-English review is a mandatory QA step.</w:t>
      </w:r>
    </w:p>
    <w:p>
      <w:pPr>
        <w:pStyle w:val="ListParagraph"/>
        <w:numPr>
          <w:ilvl w:val="0"/>
          <w:numId w:val="2"/>
        </w:numPr>
        <w:spacing w:after="60"/>
      </w:pPr>
      <w:r>
        <w:t xml:space="preserve">Safeguarding review. A named safeguarding lead signs off outreach activity and any content featuring identifiable young people.</w:t>
      </w:r>
    </w:p>
    <w:p>
      <w:pPr>
        <w:pStyle w:val="Heading2"/>
        <w:spacing w:after="120" w:before="280"/>
      </w:pPr>
      <w:r>
        <w:rPr>
          <w:b/>
          <w:bCs/>
          <w:color w:val="2F6F6A"/>
        </w:rPr>
        <w:t xml:space="preserve">Spiral Linkage Map</w:t>
      </w:r>
    </w:p>
    <w:p>
      <w:pPr>
        <w:spacing w:after="120"/>
      </w:pPr>
      <w:r>
        <w:t xml:space="preserve">Each Junior chapter deliberately seeds a later tier, so progression feels like deepening rather than restarting: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800"/>
      </w:tblGrid>
      <w:tr>
        <w:trPr>
          <w:tblHeader/>
        </w:trPr>
        <w:tc>
          <w:tcPr>
            <w:tcW w:type="dxa" w:w="2600"/>
            <w:shd w:fill="1B4332" w:val="clear"/>
            <w:tcMar>
              <w:top w:type="dxa" w:w="80"/>
              <w:left w:type="dxa" w:w="120"/>
              <w:bottom w:type="dxa" w:w="80"/>
              <w:right w:type="dxa" w:w="120"/>
            </w:tcMar>
          </w:tcPr>
          <w:p>
            <w:r>
              <w:rPr>
                <w:b/>
                <w:bCs/>
                <w:color w:val="FFFFFF"/>
                <w:sz w:val="20"/>
                <w:szCs w:val="20"/>
              </w:rPr>
              <w:t xml:space="preserve">Junior chapter</w:t>
            </w:r>
          </w:p>
        </w:tc>
        <w:tc>
          <w:tcPr>
            <w:tcW w:type="dxa" w:w="3400"/>
            <w:shd w:fill="1B4332" w:val="clear"/>
            <w:tcMar>
              <w:top w:type="dxa" w:w="80"/>
              <w:left w:type="dxa" w:w="120"/>
              <w:bottom w:type="dxa" w:w="80"/>
              <w:right w:type="dxa" w:w="120"/>
            </w:tcMar>
          </w:tcPr>
          <w:p>
            <w:r>
              <w:rPr>
                <w:b/>
                <w:bCs/>
                <w:color w:val="FFFFFF"/>
                <w:sz w:val="20"/>
                <w:szCs w:val="20"/>
              </w:rPr>
              <w:t xml:space="preserve">Feeds into</w:t>
            </w:r>
          </w:p>
        </w:tc>
        <w:tc>
          <w:tcPr>
            <w:tcW w:type="dxa" w:w="3800"/>
            <w:shd w:fill="1B4332" w:val="clear"/>
            <w:tcMar>
              <w:top w:type="dxa" w:w="80"/>
              <w:left w:type="dxa" w:w="120"/>
              <w:bottom w:type="dxa" w:w="80"/>
              <w:right w:type="dxa" w:w="120"/>
            </w:tcMar>
          </w:tcPr>
          <w:p>
            <w:r>
              <w:rPr>
                <w:b/>
                <w:bCs/>
                <w:color w:val="FFFFFF"/>
                <w:sz w:val="20"/>
                <w:szCs w:val="20"/>
              </w:rPr>
              <w:t xml:space="preserve">Spiral progression</w:t>
            </w:r>
          </w:p>
        </w:tc>
      </w:tr>
      <w:tr>
        <w:tc>
          <w:tcPr>
            <w:tcW w:type="dxa" w:w="2600"/>
            <w:tcMar>
              <w:top w:type="dxa" w:w="80"/>
              <w:left w:type="dxa" w:w="120"/>
              <w:bottom w:type="dxa" w:w="80"/>
              <w:right w:type="dxa" w:w="120"/>
            </w:tcMar>
          </w:tcPr>
          <w:p>
            <w:r>
              <w:rPr>
                <w:b w:val="false"/>
                <w:bCs w:val="false"/>
                <w:color w:val="222222"/>
                <w:sz w:val="20"/>
                <w:szCs w:val="20"/>
              </w:rPr>
              <w:t xml:space="preserve">0.1 Discover the Knee</w:t>
            </w:r>
          </w:p>
        </w:tc>
        <w:tc>
          <w:tcPr>
            <w:tcW w:type="dxa" w:w="3400"/>
            <w:tcMar>
              <w:top w:type="dxa" w:w="80"/>
              <w:left w:type="dxa" w:w="120"/>
              <w:bottom w:type="dxa" w:w="80"/>
              <w:right w:type="dxa" w:w="120"/>
            </w:tcMar>
          </w:tcPr>
          <w:p>
            <w:r>
              <w:rPr>
                <w:b w:val="false"/>
                <w:bCs w:val="false"/>
                <w:color w:val="222222"/>
                <w:sz w:val="20"/>
                <w:szCs w:val="20"/>
              </w:rPr>
              <w:t xml:space="preserve">Section 1 Fundamentals; Section 2 Anatomy Academy</w:t>
            </w:r>
          </w:p>
        </w:tc>
        <w:tc>
          <w:tcPr>
            <w:tcW w:type="dxa" w:w="3800"/>
            <w:tcMar>
              <w:top w:type="dxa" w:w="80"/>
              <w:left w:type="dxa" w:w="120"/>
              <w:bottom w:type="dxa" w:w="80"/>
              <w:right w:type="dxa" w:w="120"/>
            </w:tcMar>
          </w:tcPr>
          <w:p>
            <w:r>
              <w:rPr>
                <w:b w:val="false"/>
                <w:bCs w:val="false"/>
                <w:color w:val="222222"/>
                <w:sz w:val="20"/>
                <w:szCs w:val="20"/>
              </w:rPr>
              <w:t xml:space="preserve">Illustrated tour → formal anatomy → surgical anatomy</w:t>
            </w:r>
          </w:p>
        </w:tc>
      </w:tr>
      <w:tr>
        <w:tc>
          <w:tcPr>
            <w:tcW w:type="dxa" w:w="2600"/>
            <w:tcMar>
              <w:top w:type="dxa" w:w="80"/>
              <w:left w:type="dxa" w:w="120"/>
              <w:bottom w:type="dxa" w:w="80"/>
              <w:right w:type="dxa" w:w="120"/>
            </w:tcMar>
          </w:tcPr>
          <w:p>
            <w:r>
              <w:rPr>
                <w:b w:val="false"/>
                <w:bCs w:val="false"/>
                <w:color w:val="222222"/>
                <w:sz w:val="20"/>
                <w:szCs w:val="20"/>
              </w:rPr>
              <w:t xml:space="preserve">0.2 Sport and Your Knees</w:t>
            </w:r>
          </w:p>
        </w:tc>
        <w:tc>
          <w:tcPr>
            <w:tcW w:type="dxa" w:w="3400"/>
            <w:tcMar>
              <w:top w:type="dxa" w:w="80"/>
              <w:left w:type="dxa" w:w="120"/>
              <w:bottom w:type="dxa" w:w="80"/>
              <w:right w:type="dxa" w:w="120"/>
            </w:tcMar>
          </w:tcPr>
          <w:p>
            <w:r>
              <w:rPr>
                <w:b w:val="false"/>
                <w:bCs w:val="false"/>
                <w:color w:val="222222"/>
                <w:sz w:val="20"/>
                <w:szCs w:val="20"/>
              </w:rPr>
              <w:t xml:space="preserve">Section 6 Conditions; Section 11 Performance &amp; Prevention</w:t>
            </w:r>
          </w:p>
        </w:tc>
        <w:tc>
          <w:tcPr>
            <w:tcW w:type="dxa" w:w="3800"/>
            <w:tcMar>
              <w:top w:type="dxa" w:w="80"/>
              <w:left w:type="dxa" w:w="120"/>
              <w:bottom w:type="dxa" w:w="80"/>
              <w:right w:type="dxa" w:w="120"/>
            </w:tcMar>
          </w:tcPr>
          <w:p>
            <w:r>
              <w:rPr>
                <w:b w:val="false"/>
                <w:bCs w:val="false"/>
                <w:color w:val="222222"/>
                <w:sz w:val="20"/>
                <w:szCs w:val="20"/>
              </w:rPr>
              <w:t xml:space="preserve">Recognition → pathology → prevention science</w:t>
            </w:r>
          </w:p>
        </w:tc>
      </w:tr>
      <w:tr>
        <w:tc>
          <w:tcPr>
            <w:tcW w:type="dxa" w:w="2600"/>
            <w:tcMar>
              <w:top w:type="dxa" w:w="80"/>
              <w:left w:type="dxa" w:w="120"/>
              <w:bottom w:type="dxa" w:w="80"/>
              <w:right w:type="dxa" w:w="120"/>
            </w:tcMar>
          </w:tcPr>
          <w:p>
            <w:r>
              <w:rPr>
                <w:b w:val="false"/>
                <w:bCs w:val="false"/>
                <w:color w:val="222222"/>
                <w:sz w:val="20"/>
                <w:szCs w:val="20"/>
              </w:rPr>
              <w:t xml:space="preserve">0.3 Careers</w:t>
            </w:r>
          </w:p>
        </w:tc>
        <w:tc>
          <w:tcPr>
            <w:tcW w:type="dxa" w:w="3400"/>
            <w:tcMar>
              <w:top w:type="dxa" w:w="80"/>
              <w:left w:type="dxa" w:w="120"/>
              <w:bottom w:type="dxa" w:w="80"/>
              <w:right w:type="dxa" w:w="120"/>
            </w:tcMar>
          </w:tcPr>
          <w:p>
            <w:r>
              <w:rPr>
                <w:b w:val="false"/>
                <w:bCs w:val="false"/>
                <w:color w:val="222222"/>
                <w:sz w:val="20"/>
                <w:szCs w:val="20"/>
              </w:rPr>
              <w:t xml:space="preserve">Section 14 Part Q Examination Masterclasses</w:t>
            </w:r>
          </w:p>
        </w:tc>
        <w:tc>
          <w:tcPr>
            <w:tcW w:type="dxa" w:w="3800"/>
            <w:tcMar>
              <w:top w:type="dxa" w:w="80"/>
              <w:left w:type="dxa" w:w="120"/>
              <w:bottom w:type="dxa" w:w="80"/>
              <w:right w:type="dxa" w:w="120"/>
            </w:tcMar>
          </w:tcPr>
          <w:p>
            <w:r>
              <w:rPr>
                <w:b w:val="false"/>
                <w:bCs w:val="false"/>
                <w:color w:val="222222"/>
                <w:sz w:val="20"/>
                <w:szCs w:val="20"/>
              </w:rPr>
              <w:t xml:space="preserve">Pathway map → How to Pass MRCS/FRCS → How to Become a Knee Consultant</w:t>
            </w:r>
          </w:p>
        </w:tc>
      </w:tr>
      <w:tr>
        <w:tc>
          <w:tcPr>
            <w:tcW w:type="dxa" w:w="2600"/>
            <w:tcMar>
              <w:top w:type="dxa" w:w="80"/>
              <w:left w:type="dxa" w:w="120"/>
              <w:bottom w:type="dxa" w:w="80"/>
              <w:right w:type="dxa" w:w="120"/>
            </w:tcMar>
          </w:tcPr>
          <w:p>
            <w:r>
              <w:rPr>
                <w:b w:val="false"/>
                <w:bCs w:val="false"/>
                <w:color w:val="222222"/>
                <w:sz w:val="20"/>
                <w:szCs w:val="20"/>
              </w:rPr>
              <w:t xml:space="preserve">0.4 Medical School Entry</w:t>
            </w:r>
          </w:p>
        </w:tc>
        <w:tc>
          <w:tcPr>
            <w:tcW w:type="dxa" w:w="3400"/>
            <w:tcMar>
              <w:top w:type="dxa" w:w="80"/>
              <w:left w:type="dxa" w:w="120"/>
              <w:bottom w:type="dxa" w:w="80"/>
              <w:right w:type="dxa" w:w="120"/>
            </w:tcMar>
          </w:tcPr>
          <w:p>
            <w:r>
              <w:rPr>
                <w:b w:val="false"/>
                <w:bCs w:val="false"/>
                <w:color w:val="222222"/>
                <w:sz w:val="20"/>
                <w:szCs w:val="20"/>
              </w:rPr>
              <w:t xml:space="preserve">Medical Student Academy</w:t>
            </w:r>
          </w:p>
        </w:tc>
        <w:tc>
          <w:tcPr>
            <w:tcW w:type="dxa" w:w="3800"/>
            <w:tcMar>
              <w:top w:type="dxa" w:w="80"/>
              <w:left w:type="dxa" w:w="120"/>
              <w:bottom w:type="dxa" w:w="80"/>
              <w:right w:type="dxa" w:w="120"/>
            </w:tcMar>
          </w:tcPr>
          <w:p>
            <w:r>
              <w:rPr>
                <w:b w:val="false"/>
                <w:bCs w:val="false"/>
                <w:color w:val="222222"/>
                <w:sz w:val="20"/>
                <w:szCs w:val="20"/>
              </w:rPr>
              <w:t xml:space="preserve">Aspiration → undergraduate curriculum</w:t>
            </w:r>
          </w:p>
        </w:tc>
      </w:tr>
      <w:tr>
        <w:tc>
          <w:tcPr>
            <w:tcW w:type="dxa" w:w="2600"/>
            <w:tcMar>
              <w:top w:type="dxa" w:w="80"/>
              <w:left w:type="dxa" w:w="120"/>
              <w:bottom w:type="dxa" w:w="80"/>
              <w:right w:type="dxa" w:w="120"/>
            </w:tcMar>
          </w:tcPr>
          <w:p>
            <w:r>
              <w:rPr>
                <w:b w:val="false"/>
                <w:bCs w:val="false"/>
                <w:color w:val="222222"/>
                <w:sz w:val="20"/>
                <w:szCs w:val="20"/>
              </w:rPr>
              <w:t xml:space="preserve">0.5 Young Investigators</w:t>
            </w:r>
          </w:p>
        </w:tc>
        <w:tc>
          <w:tcPr>
            <w:tcW w:type="dxa" w:w="3400"/>
            <w:tcMar>
              <w:top w:type="dxa" w:w="80"/>
              <w:left w:type="dxa" w:w="120"/>
              <w:bottom w:type="dxa" w:w="80"/>
              <w:right w:type="dxa" w:w="120"/>
            </w:tcMar>
          </w:tcPr>
          <w:p>
            <w:r>
              <w:rPr>
                <w:b w:val="false"/>
                <w:bCs w:val="false"/>
                <w:color w:val="222222"/>
                <w:sz w:val="20"/>
                <w:szCs w:val="20"/>
              </w:rPr>
              <w:t xml:space="preserve">Section 12 Research Academy</w:t>
            </w:r>
          </w:p>
        </w:tc>
        <w:tc>
          <w:tcPr>
            <w:tcW w:type="dxa" w:w="3800"/>
            <w:tcMar>
              <w:top w:type="dxa" w:w="80"/>
              <w:left w:type="dxa" w:w="120"/>
              <w:bottom w:type="dxa" w:w="80"/>
              <w:right w:type="dxa" w:w="120"/>
            </w:tcMar>
          </w:tcPr>
          <w:p>
            <w:r>
              <w:rPr>
                <w:b w:val="false"/>
                <w:bCs w:val="false"/>
                <w:color w:val="222222"/>
                <w:sz w:val="20"/>
                <w:szCs w:val="20"/>
              </w:rPr>
              <w:t xml:space="preserve">Curiosity → methodology → landmark papers</w:t>
            </w:r>
          </w:p>
        </w:tc>
      </w:tr>
      <w:tr>
        <w:tc>
          <w:tcPr>
            <w:tcW w:type="dxa" w:w="2600"/>
            <w:tcMar>
              <w:top w:type="dxa" w:w="80"/>
              <w:left w:type="dxa" w:w="120"/>
              <w:bottom w:type="dxa" w:w="80"/>
              <w:right w:type="dxa" w:w="120"/>
            </w:tcMar>
          </w:tcPr>
          <w:p>
            <w:r>
              <w:rPr>
                <w:b w:val="false"/>
                <w:bCs w:val="false"/>
                <w:color w:val="222222"/>
                <w:sz w:val="20"/>
                <w:szCs w:val="20"/>
              </w:rPr>
              <w:t xml:space="preserve">0.6 Certificates</w:t>
            </w:r>
          </w:p>
        </w:tc>
        <w:tc>
          <w:tcPr>
            <w:tcW w:type="dxa" w:w="3400"/>
            <w:tcMar>
              <w:top w:type="dxa" w:w="80"/>
              <w:left w:type="dxa" w:w="120"/>
              <w:bottom w:type="dxa" w:w="80"/>
              <w:right w:type="dxa" w:w="120"/>
            </w:tcMar>
          </w:tcPr>
          <w:p>
            <w:r>
              <w:rPr>
                <w:b w:val="false"/>
                <w:bCs w:val="false"/>
                <w:color w:val="222222"/>
                <w:sz w:val="20"/>
                <w:szCs w:val="20"/>
              </w:rPr>
              <w:t xml:space="preserve">Section 14 Parts O–P Certification &amp; Diplomas</w:t>
            </w:r>
          </w:p>
        </w:tc>
        <w:tc>
          <w:tcPr>
            <w:tcW w:type="dxa" w:w="3800"/>
            <w:tcMar>
              <w:top w:type="dxa" w:w="80"/>
              <w:left w:type="dxa" w:w="120"/>
              <w:bottom w:type="dxa" w:w="80"/>
              <w:right w:type="dxa" w:w="120"/>
            </w:tcMar>
          </w:tcPr>
          <w:p>
            <w:r>
              <w:rPr>
                <w:b w:val="false"/>
                <w:bCs w:val="false"/>
                <w:color w:val="222222"/>
                <w:sz w:val="20"/>
                <w:szCs w:val="20"/>
              </w:rPr>
              <w:t xml:space="preserve">Badges → certificates → diplomas</w:t>
            </w:r>
          </w:p>
        </w:tc>
      </w:tr>
    </w:tbl>
    <w:p>
      <w:pPr>
        <w:spacing w:after="120"/>
      </w:pPr>
      <w:r>
        <w:t xml:space="preserve"/>
      </w:r>
    </w:p>
    <w:p>
      <w:pPr>
        <w:pStyle w:val="Heading2"/>
        <w:spacing w:after="120" w:before="280"/>
      </w:pPr>
      <w:r>
        <w:rPr>
          <w:b/>
          <w:bCs/>
          <w:color w:val="2F6F6A"/>
        </w:rPr>
        <w:t xml:space="preserve">Strategic Importance</w:t>
      </w:r>
    </w:p>
    <w:p>
      <w:pPr>
        <w:spacing w:after="120"/>
      </w:pPr>
      <w:r>
        <w:t xml:space="preserve">Estimated 60–100 pages plus downloadable teacher assets. Low clinical-review burden per page (most content is careers, curriculum-linked biology and study skills), making it an efficient early build. Its value is strategic rather than directly monetisable: brand differentiation, SEO capture of high-volume student queries, school partnerships, and a decade-long funnel of future professional subscribers. Recommended build slot: Months 4–6 alongside the core encyclopaedia, since it reuses assets being created for Section 1.</w:t>
      </w:r>
    </w:p>
    <w:p>
      <w:r>
        <w:br w:type="page"/>
      </w:r>
    </w:p>
    <w:p>
      <w:pPr>
        <w:pStyle w:val="Heading1"/>
        <w:spacing w:after="160" w:before="360"/>
      </w:pPr>
      <w:r>
        <w:rPr>
          <w:b/>
          <w:bCs/>
          <w:color w:val="1B4332"/>
        </w:rPr>
        <w:t xml:space="preserve">PART B — MAPPING KNEESCHOOL TO THE UK SURGICAL TRAINING PATHWAY</w:t>
      </w:r>
    </w:p>
    <w:p>
      <w:pPr>
        <w:pStyle w:val="Heading2"/>
        <w:spacing w:after="120" w:before="280"/>
      </w:pPr>
      <w:r>
        <w:rPr>
          <w:b/>
          <w:bCs/>
          <w:color w:val="2F6F6A"/>
        </w:rPr>
        <w:t xml:space="preserve">Why This Mapping Matters</w:t>
      </w:r>
    </w:p>
    <w:p>
      <w:pPr>
        <w:spacing w:after="120"/>
      </w:pPr>
      <w:r>
        <w:t xml:space="preserve">MRCS and FRCS candidates will only commit time (and subscription fees) to a platform whose content demonstrably tracks their examinable curriculum. Mapping every professional-tier page to a curriculum element also creates the evidence base for future endorsement conversations (BOA, BASK, CPD accreditation) and lets trainees cite KneeSchool learning in their ISCP portfolios.</w:t>
      </w:r>
    </w:p>
    <w:p>
      <w:pPr>
        <w:spacing w:after="120"/>
      </w:pPr>
      <w:r>
        <w:rPr>
          <w:i/>
          <w:iCs/>
        </w:rPr>
        <w:t xml:space="preserve">Important caveat: the tables below are a working framework. The ISCP Trauma &amp; Orthopaedic Surgery Curriculum (2021, as amended) and the JCIE/Intercollegiate examination regulations are the authoritative sources, and the content team must verify each mapping against the current published versions — including the critical conditions list and the index procedures appendix — before any alignment claim is published.</w:t>
      </w:r>
    </w:p>
    <w:p>
      <w:pPr>
        <w:pStyle w:val="Heading2"/>
        <w:spacing w:after="120" w:before="280"/>
      </w:pPr>
      <w:r>
        <w:rPr>
          <w:b/>
          <w:bCs/>
          <w:color w:val="2F6F6A"/>
        </w:rPr>
        <w:t xml:space="preserve">B.1 — The Pathway at a Glance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3000"/>
      </w:tblGrid>
      <w:tr>
        <w:trPr>
          <w:tblHeader/>
        </w:trPr>
        <w:tc>
          <w:tcPr>
            <w:tcW w:type="dxa" w:w="3000"/>
            <w:shd w:fill="1B4332" w:val="clear"/>
            <w:tcMar>
              <w:top w:type="dxa" w:w="80"/>
              <w:left w:type="dxa" w:w="120"/>
              <w:bottom w:type="dxa" w:w="80"/>
              <w:right w:type="dxa" w:w="120"/>
            </w:tcMar>
          </w:tcPr>
          <w:p>
            <w:r>
              <w:rPr>
                <w:b/>
                <w:bCs/>
                <w:color w:val="FFFFFF"/>
                <w:sz w:val="20"/>
                <w:szCs w:val="20"/>
              </w:rPr>
              <w:t xml:space="preserve">Stage</w:t>
            </w:r>
          </w:p>
        </w:tc>
        <w:tc>
          <w:tcPr>
            <w:tcW w:type="dxa" w:w="3800"/>
            <w:shd w:fill="1B4332" w:val="clear"/>
            <w:tcMar>
              <w:top w:type="dxa" w:w="80"/>
              <w:left w:type="dxa" w:w="120"/>
              <w:bottom w:type="dxa" w:w="80"/>
              <w:right w:type="dxa" w:w="120"/>
            </w:tcMar>
          </w:tcPr>
          <w:p>
            <w:r>
              <w:rPr>
                <w:b/>
                <w:bCs/>
                <w:color w:val="FFFFFF"/>
                <w:sz w:val="20"/>
                <w:szCs w:val="20"/>
              </w:rPr>
              <w:t xml:space="preserve">Examination / framework</w:t>
            </w:r>
          </w:p>
        </w:tc>
        <w:tc>
          <w:tcPr>
            <w:tcW w:type="dxa" w:w="3000"/>
            <w:shd w:fill="1B4332" w:val="clear"/>
            <w:tcMar>
              <w:top w:type="dxa" w:w="80"/>
              <w:left w:type="dxa" w:w="120"/>
              <w:bottom w:type="dxa" w:w="80"/>
              <w:right w:type="dxa" w:w="120"/>
            </w:tcMar>
          </w:tcPr>
          <w:p>
            <w:r>
              <w:rPr>
                <w:b/>
                <w:bCs/>
                <w:color w:val="FFFFFF"/>
                <w:sz w:val="20"/>
                <w:szCs w:val="20"/>
              </w:rPr>
              <w:t xml:space="preserve">KneeSchool tier</w:t>
            </w:r>
          </w:p>
        </w:tc>
      </w:tr>
      <w:tr>
        <w:tc>
          <w:tcPr>
            <w:tcW w:type="dxa" w:w="3000"/>
            <w:tcMar>
              <w:top w:type="dxa" w:w="80"/>
              <w:left w:type="dxa" w:w="120"/>
              <w:bottom w:type="dxa" w:w="80"/>
              <w:right w:type="dxa" w:w="120"/>
            </w:tcMar>
          </w:tcPr>
          <w:p>
            <w:r>
              <w:rPr>
                <w:b w:val="false"/>
                <w:bCs w:val="false"/>
                <w:color w:val="222222"/>
                <w:sz w:val="20"/>
                <w:szCs w:val="20"/>
              </w:rPr>
              <w:t xml:space="preserve">Medical school</w:t>
            </w:r>
          </w:p>
        </w:tc>
        <w:tc>
          <w:tcPr>
            <w:tcW w:type="dxa" w:w="3800"/>
            <w:tcMar>
              <w:top w:type="dxa" w:w="80"/>
              <w:left w:type="dxa" w:w="120"/>
              <w:bottom w:type="dxa" w:w="80"/>
              <w:right w:type="dxa" w:w="120"/>
            </w:tcMar>
          </w:tcPr>
          <w:p>
            <w:r>
              <w:rPr>
                <w:b w:val="false"/>
                <w:bCs w:val="false"/>
                <w:color w:val="222222"/>
                <w:sz w:val="20"/>
                <w:szCs w:val="20"/>
              </w:rPr>
              <w:t xml:space="preserve">Medical Licensing Assessment; university finals</w:t>
            </w:r>
          </w:p>
        </w:tc>
        <w:tc>
          <w:tcPr>
            <w:tcW w:type="dxa" w:w="3000"/>
            <w:tcMar>
              <w:top w:type="dxa" w:w="80"/>
              <w:left w:type="dxa" w:w="120"/>
              <w:bottom w:type="dxa" w:w="80"/>
              <w:right w:type="dxa" w:w="120"/>
            </w:tcMar>
          </w:tcPr>
          <w:p>
            <w:r>
              <w:rPr>
                <w:b w:val="false"/>
                <w:bCs w:val="false"/>
                <w:color w:val="222222"/>
                <w:sz w:val="20"/>
                <w:szCs w:val="20"/>
              </w:rPr>
              <w:t xml:space="preserve">Medical Student Academy</w:t>
            </w:r>
          </w:p>
        </w:tc>
      </w:tr>
      <w:tr>
        <w:tc>
          <w:tcPr>
            <w:tcW w:type="dxa" w:w="3000"/>
            <w:tcMar>
              <w:top w:type="dxa" w:w="80"/>
              <w:left w:type="dxa" w:w="120"/>
              <w:bottom w:type="dxa" w:w="80"/>
              <w:right w:type="dxa" w:w="120"/>
            </w:tcMar>
          </w:tcPr>
          <w:p>
            <w:r>
              <w:rPr>
                <w:b w:val="false"/>
                <w:bCs w:val="false"/>
                <w:color w:val="222222"/>
                <w:sz w:val="20"/>
                <w:szCs w:val="20"/>
              </w:rPr>
              <w:t xml:space="preserve">Core Surgical Training (CT1–2)</w:t>
            </w:r>
          </w:p>
        </w:tc>
        <w:tc>
          <w:tcPr>
            <w:tcW w:type="dxa" w:w="3800"/>
            <w:tcMar>
              <w:top w:type="dxa" w:w="80"/>
              <w:left w:type="dxa" w:w="120"/>
              <w:bottom w:type="dxa" w:w="80"/>
              <w:right w:type="dxa" w:w="120"/>
            </w:tcMar>
          </w:tcPr>
          <w:p>
            <w:r>
              <w:rPr>
                <w:b w:val="false"/>
                <w:bCs w:val="false"/>
                <w:color w:val="222222"/>
                <w:sz w:val="20"/>
                <w:szCs w:val="20"/>
              </w:rPr>
              <w:t xml:space="preserve">Intercollegiate MRCS Part A and Part B</w:t>
            </w:r>
          </w:p>
        </w:tc>
        <w:tc>
          <w:tcPr>
            <w:tcW w:type="dxa" w:w="3000"/>
            <w:tcMar>
              <w:top w:type="dxa" w:w="80"/>
              <w:left w:type="dxa" w:w="120"/>
              <w:bottom w:type="dxa" w:w="80"/>
              <w:right w:type="dxa" w:w="120"/>
            </w:tcMar>
          </w:tcPr>
          <w:p>
            <w:r>
              <w:rPr>
                <w:b w:val="false"/>
                <w:bCs w:val="false"/>
                <w:color w:val="222222"/>
                <w:sz w:val="20"/>
                <w:szCs w:val="20"/>
              </w:rPr>
              <w:t xml:space="preserve">MRCS Academy</w:t>
            </w:r>
          </w:p>
        </w:tc>
      </w:tr>
      <w:tr>
        <w:tc>
          <w:tcPr>
            <w:tcW w:type="dxa" w:w="3000"/>
            <w:tcMar>
              <w:top w:type="dxa" w:w="80"/>
              <w:left w:type="dxa" w:w="120"/>
              <w:bottom w:type="dxa" w:w="80"/>
              <w:right w:type="dxa" w:w="120"/>
            </w:tcMar>
          </w:tcPr>
          <w:p>
            <w:r>
              <w:rPr>
                <w:b w:val="false"/>
                <w:bCs w:val="false"/>
                <w:color w:val="222222"/>
                <w:sz w:val="20"/>
                <w:szCs w:val="20"/>
              </w:rPr>
              <w:t xml:space="preserve">Higher Specialty Training ST3–8 (T&amp;O)</w:t>
            </w:r>
          </w:p>
        </w:tc>
        <w:tc>
          <w:tcPr>
            <w:tcW w:type="dxa" w:w="3800"/>
            <w:tcMar>
              <w:top w:type="dxa" w:w="80"/>
              <w:left w:type="dxa" w:w="120"/>
              <w:bottom w:type="dxa" w:w="80"/>
              <w:right w:type="dxa" w:w="120"/>
            </w:tcMar>
          </w:tcPr>
          <w:p>
            <w:r>
              <w:rPr>
                <w:b w:val="false"/>
                <w:bCs w:val="false"/>
                <w:color w:val="222222"/>
                <w:sz w:val="20"/>
                <w:szCs w:val="20"/>
              </w:rPr>
              <w:t xml:space="preserve">ISCP 2021 curriculum; FRCS (Tr &amp; Orth) Section 1 and Section 2 via JCIE</w:t>
            </w:r>
          </w:p>
        </w:tc>
        <w:tc>
          <w:tcPr>
            <w:tcW w:type="dxa" w:w="3000"/>
            <w:tcMar>
              <w:top w:type="dxa" w:w="80"/>
              <w:left w:type="dxa" w:w="120"/>
              <w:bottom w:type="dxa" w:w="80"/>
              <w:right w:type="dxa" w:w="120"/>
            </w:tcMar>
          </w:tcPr>
          <w:p>
            <w:r>
              <w:rPr>
                <w:b w:val="false"/>
                <w:bCs w:val="false"/>
                <w:color w:val="222222"/>
                <w:sz w:val="20"/>
                <w:szCs w:val="20"/>
              </w:rPr>
              <w:t xml:space="preserve">FRCS Academy</w:t>
            </w:r>
          </w:p>
        </w:tc>
      </w:tr>
      <w:tr>
        <w:tc>
          <w:tcPr>
            <w:tcW w:type="dxa" w:w="3000"/>
            <w:tcMar>
              <w:top w:type="dxa" w:w="80"/>
              <w:left w:type="dxa" w:w="120"/>
              <w:bottom w:type="dxa" w:w="80"/>
              <w:right w:type="dxa" w:w="120"/>
            </w:tcMar>
          </w:tcPr>
          <w:p>
            <w:r>
              <w:rPr>
                <w:b w:val="false"/>
                <w:bCs w:val="false"/>
                <w:color w:val="222222"/>
                <w:sz w:val="20"/>
                <w:szCs w:val="20"/>
              </w:rPr>
              <w:t xml:space="preserve">Post-CCT fellowship</w:t>
            </w:r>
          </w:p>
        </w:tc>
        <w:tc>
          <w:tcPr>
            <w:tcW w:type="dxa" w:w="3800"/>
            <w:tcMar>
              <w:top w:type="dxa" w:w="80"/>
              <w:left w:type="dxa" w:w="120"/>
              <w:bottom w:type="dxa" w:w="80"/>
              <w:right w:type="dxa" w:w="120"/>
            </w:tcMar>
          </w:tcPr>
          <w:p>
            <w:r>
              <w:rPr>
                <w:b w:val="false"/>
                <w:bCs w:val="false"/>
                <w:color w:val="222222"/>
                <w:sz w:val="20"/>
                <w:szCs w:val="20"/>
              </w:rPr>
              <w:t xml:space="preserve">Fellowship-specific goals; subspecialty societies</w:t>
            </w:r>
          </w:p>
        </w:tc>
        <w:tc>
          <w:tcPr>
            <w:tcW w:type="dxa" w:w="3000"/>
            <w:tcMar>
              <w:top w:type="dxa" w:w="80"/>
              <w:left w:type="dxa" w:w="120"/>
              <w:bottom w:type="dxa" w:w="80"/>
              <w:right w:type="dxa" w:w="120"/>
            </w:tcMar>
          </w:tcPr>
          <w:p>
            <w:r>
              <w:rPr>
                <w:b w:val="false"/>
                <w:bCs w:val="false"/>
                <w:color w:val="222222"/>
                <w:sz w:val="20"/>
                <w:szCs w:val="20"/>
              </w:rPr>
              <w:t xml:space="preserve">Fellowship Academy</w:t>
            </w:r>
          </w:p>
        </w:tc>
      </w:tr>
      <w:tr>
        <w:tc>
          <w:tcPr>
            <w:tcW w:type="dxa" w:w="3000"/>
            <w:tcMar>
              <w:top w:type="dxa" w:w="80"/>
              <w:left w:type="dxa" w:w="120"/>
              <w:bottom w:type="dxa" w:w="80"/>
              <w:right w:type="dxa" w:w="120"/>
            </w:tcMar>
          </w:tcPr>
          <w:p>
            <w:r>
              <w:rPr>
                <w:b w:val="false"/>
                <w:bCs w:val="false"/>
                <w:color w:val="222222"/>
                <w:sz w:val="20"/>
                <w:szCs w:val="20"/>
              </w:rPr>
              <w:t xml:space="preserve">Consultant practice</w:t>
            </w:r>
          </w:p>
        </w:tc>
        <w:tc>
          <w:tcPr>
            <w:tcW w:type="dxa" w:w="3800"/>
            <w:tcMar>
              <w:top w:type="dxa" w:w="80"/>
              <w:left w:type="dxa" w:w="120"/>
              <w:bottom w:type="dxa" w:w="80"/>
              <w:right w:type="dxa" w:w="120"/>
            </w:tcMar>
          </w:tcPr>
          <w:p>
            <w:r>
              <w:rPr>
                <w:b w:val="false"/>
                <w:bCs w:val="false"/>
                <w:color w:val="222222"/>
                <w:sz w:val="20"/>
                <w:szCs w:val="20"/>
              </w:rPr>
              <w:t xml:space="preserve">CPD, appraisal and revalidation</w:t>
            </w:r>
          </w:p>
        </w:tc>
        <w:tc>
          <w:tcPr>
            <w:tcW w:type="dxa" w:w="3000"/>
            <w:tcMar>
              <w:top w:type="dxa" w:w="80"/>
              <w:left w:type="dxa" w:w="120"/>
              <w:bottom w:type="dxa" w:w="80"/>
              <w:right w:type="dxa" w:w="120"/>
            </w:tcMar>
          </w:tcPr>
          <w:p>
            <w:r>
              <w:rPr>
                <w:b w:val="false"/>
                <w:bCs w:val="false"/>
                <w:color w:val="222222"/>
                <w:sz w:val="20"/>
                <w:szCs w:val="20"/>
              </w:rPr>
              <w:t xml:space="preserve">Consultant Masterclass</w:t>
            </w:r>
          </w:p>
        </w:tc>
      </w:tr>
    </w:tbl>
    <w:p>
      <w:pPr>
        <w:spacing w:after="120"/>
      </w:pPr>
      <w:r>
        <w:t xml:space="preserve"/>
      </w:r>
    </w:p>
    <w:p>
      <w:pPr>
        <w:pStyle w:val="Heading2"/>
        <w:spacing w:after="120" w:before="280"/>
      </w:pPr>
      <w:r>
        <w:rPr>
          <w:b/>
          <w:bCs/>
          <w:color w:val="2F6F6A"/>
        </w:rPr>
        <w:t xml:space="preserve">B.2 — MRCS Mapping</w:t>
      </w:r>
    </w:p>
    <w:p>
      <w:pPr>
        <w:spacing w:after="120"/>
      </w:pPr>
      <w:r>
        <w:t xml:space="preserve">The MRCS examines the generality of surgery; the knee appears principally through applied basic science, clinical examination and trauma principles. KneeSchool's MRCS tier should therefore present the knee as the worked example through which generic surgical science is mastered.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400"/>
      </w:tblGrid>
      <w:tr>
        <w:trPr>
          <w:tblHeader/>
        </w:trPr>
        <w:tc>
          <w:tcPr>
            <w:tcW w:type="dxa" w:w="2800"/>
            <w:shd w:fill="1B4332" w:val="clear"/>
            <w:tcMar>
              <w:top w:type="dxa" w:w="80"/>
              <w:left w:type="dxa" w:w="120"/>
              <w:bottom w:type="dxa" w:w="80"/>
              <w:right w:type="dxa" w:w="120"/>
            </w:tcMar>
          </w:tcPr>
          <w:p>
            <w:r>
              <w:rPr>
                <w:b/>
                <w:bCs/>
                <w:color w:val="FFFFFF"/>
                <w:sz w:val="20"/>
                <w:szCs w:val="20"/>
              </w:rPr>
              <w:t xml:space="preserve">MRCS examinable domain</w:t>
            </w:r>
          </w:p>
        </w:tc>
        <w:tc>
          <w:tcPr>
            <w:tcW w:type="dxa" w:w="3600"/>
            <w:shd w:fill="1B4332" w:val="clear"/>
            <w:tcMar>
              <w:top w:type="dxa" w:w="80"/>
              <w:left w:type="dxa" w:w="120"/>
              <w:bottom w:type="dxa" w:w="80"/>
              <w:right w:type="dxa" w:w="120"/>
            </w:tcMar>
          </w:tcPr>
          <w:p>
            <w:r>
              <w:rPr>
                <w:b/>
                <w:bCs/>
                <w:color w:val="FFFFFF"/>
                <w:sz w:val="20"/>
                <w:szCs w:val="20"/>
              </w:rPr>
              <w:t xml:space="preserve">Knee expression of that domain</w:t>
            </w:r>
          </w:p>
        </w:tc>
        <w:tc>
          <w:tcPr>
            <w:tcW w:type="dxa" w:w="3400"/>
            <w:shd w:fill="1B4332" w:val="clear"/>
            <w:tcMar>
              <w:top w:type="dxa" w:w="80"/>
              <w:left w:type="dxa" w:w="120"/>
              <w:bottom w:type="dxa" w:w="80"/>
              <w:right w:type="dxa" w:w="120"/>
            </w:tcMar>
          </w:tcPr>
          <w:p>
            <w:r>
              <w:rPr>
                <w:b/>
                <w:bCs/>
                <w:color w:val="FFFFFF"/>
                <w:sz w:val="20"/>
                <w:szCs w:val="20"/>
              </w:rPr>
              <w:t xml:space="preserve">KneeSchool source sections</w:t>
            </w:r>
          </w:p>
        </w:tc>
      </w:tr>
      <w:tr>
        <w:tc>
          <w:tcPr>
            <w:tcW w:type="dxa" w:w="2800"/>
            <w:tcMar>
              <w:top w:type="dxa" w:w="80"/>
              <w:left w:type="dxa" w:w="120"/>
              <w:bottom w:type="dxa" w:w="80"/>
              <w:right w:type="dxa" w:w="120"/>
            </w:tcMar>
          </w:tcPr>
          <w:p>
            <w:r>
              <w:rPr>
                <w:b w:val="false"/>
                <w:bCs w:val="false"/>
                <w:color w:val="222222"/>
                <w:sz w:val="20"/>
                <w:szCs w:val="20"/>
              </w:rPr>
              <w:t xml:space="preserve">Applied anatomy</w:t>
            </w:r>
          </w:p>
        </w:tc>
        <w:tc>
          <w:tcPr>
            <w:tcW w:type="dxa" w:w="3600"/>
            <w:tcMar>
              <w:top w:type="dxa" w:w="80"/>
              <w:left w:type="dxa" w:w="120"/>
              <w:bottom w:type="dxa" w:w="80"/>
              <w:right w:type="dxa" w:w="120"/>
            </w:tcMar>
          </w:tcPr>
          <w:p>
            <w:r>
              <w:rPr>
                <w:b w:val="false"/>
                <w:bCs w:val="false"/>
                <w:color w:val="222222"/>
                <w:sz w:val="20"/>
                <w:szCs w:val="20"/>
              </w:rPr>
              <w:t xml:space="preserve">Osteology, ligament attachments, menisci, neurovascular relations, surgical approaches</w:t>
            </w:r>
          </w:p>
        </w:tc>
        <w:tc>
          <w:tcPr>
            <w:tcW w:type="dxa" w:w="3400"/>
            <w:tcMar>
              <w:top w:type="dxa" w:w="80"/>
              <w:left w:type="dxa" w:w="120"/>
              <w:bottom w:type="dxa" w:w="80"/>
              <w:right w:type="dxa" w:w="120"/>
            </w:tcMar>
          </w:tcPr>
          <w:p>
            <w:r>
              <w:rPr>
                <w:b w:val="false"/>
                <w:bCs w:val="false"/>
                <w:color w:val="222222"/>
                <w:sz w:val="20"/>
                <w:szCs w:val="20"/>
              </w:rPr>
              <w:t xml:space="preserve">Section 2 Anatomy Academy (MRCS layer)</w:t>
            </w:r>
          </w:p>
        </w:tc>
      </w:tr>
      <w:tr>
        <w:tc>
          <w:tcPr>
            <w:tcW w:type="dxa" w:w="2800"/>
            <w:tcMar>
              <w:top w:type="dxa" w:w="80"/>
              <w:left w:type="dxa" w:w="120"/>
              <w:bottom w:type="dxa" w:w="80"/>
              <w:right w:type="dxa" w:w="120"/>
            </w:tcMar>
          </w:tcPr>
          <w:p>
            <w:r>
              <w:rPr>
                <w:b w:val="false"/>
                <w:bCs w:val="false"/>
                <w:color w:val="222222"/>
                <w:sz w:val="20"/>
                <w:szCs w:val="20"/>
              </w:rPr>
              <w:t xml:space="preserve">Physiology &amp; basic science</w:t>
            </w:r>
          </w:p>
        </w:tc>
        <w:tc>
          <w:tcPr>
            <w:tcW w:type="dxa" w:w="3600"/>
            <w:tcMar>
              <w:top w:type="dxa" w:w="80"/>
              <w:left w:type="dxa" w:w="120"/>
              <w:bottom w:type="dxa" w:w="80"/>
              <w:right w:type="dxa" w:w="120"/>
            </w:tcMar>
          </w:tcPr>
          <w:p>
            <w:r>
              <w:rPr>
                <w:b w:val="false"/>
                <w:bCs w:val="false"/>
                <w:color w:val="222222"/>
                <w:sz w:val="20"/>
                <w:szCs w:val="20"/>
              </w:rPr>
              <w:t xml:space="preserve">Cartilage biology, bone healing, graft biology, inflammation</w:t>
            </w:r>
          </w:p>
        </w:tc>
        <w:tc>
          <w:tcPr>
            <w:tcW w:type="dxa" w:w="3400"/>
            <w:tcMar>
              <w:top w:type="dxa" w:w="80"/>
              <w:left w:type="dxa" w:w="120"/>
              <w:bottom w:type="dxa" w:w="80"/>
              <w:right w:type="dxa" w:w="120"/>
            </w:tcMar>
          </w:tcPr>
          <w:p>
            <w:r>
              <w:rPr>
                <w:b w:val="false"/>
                <w:bCs w:val="false"/>
                <w:color w:val="222222"/>
                <w:sz w:val="20"/>
                <w:szCs w:val="20"/>
              </w:rPr>
              <w:t xml:space="preserve">Sections 1–3 (MRCS layer)</w:t>
            </w:r>
          </w:p>
        </w:tc>
      </w:tr>
      <w:tr>
        <w:tc>
          <w:tcPr>
            <w:tcW w:type="dxa" w:w="2800"/>
            <w:tcMar>
              <w:top w:type="dxa" w:w="80"/>
              <w:left w:type="dxa" w:w="120"/>
              <w:bottom w:type="dxa" w:w="80"/>
              <w:right w:type="dxa" w:w="120"/>
            </w:tcMar>
          </w:tcPr>
          <w:p>
            <w:r>
              <w:rPr>
                <w:b w:val="false"/>
                <w:bCs w:val="false"/>
                <w:color w:val="222222"/>
                <w:sz w:val="20"/>
                <w:szCs w:val="20"/>
              </w:rPr>
              <w:t xml:space="preserve">Pathology</w:t>
            </w:r>
          </w:p>
        </w:tc>
        <w:tc>
          <w:tcPr>
            <w:tcW w:type="dxa" w:w="3600"/>
            <w:tcMar>
              <w:top w:type="dxa" w:w="80"/>
              <w:left w:type="dxa" w:w="120"/>
              <w:bottom w:type="dxa" w:w="80"/>
              <w:right w:type="dxa" w:w="120"/>
            </w:tcMar>
          </w:tcPr>
          <w:p>
            <w:r>
              <w:rPr>
                <w:b w:val="false"/>
                <w:bCs w:val="false"/>
                <w:color w:val="222222"/>
                <w:sz w:val="20"/>
                <w:szCs w:val="20"/>
              </w:rPr>
              <w:t xml:space="preserve">Osteoarthritis, septic arthritis, meniscal and ligament injury patterns</w:t>
            </w:r>
          </w:p>
        </w:tc>
        <w:tc>
          <w:tcPr>
            <w:tcW w:type="dxa" w:w="3400"/>
            <w:tcMar>
              <w:top w:type="dxa" w:w="80"/>
              <w:left w:type="dxa" w:w="120"/>
              <w:bottom w:type="dxa" w:w="80"/>
              <w:right w:type="dxa" w:w="120"/>
            </w:tcMar>
          </w:tcPr>
          <w:p>
            <w:r>
              <w:rPr>
                <w:b w:val="false"/>
                <w:bCs w:val="false"/>
                <w:color w:val="222222"/>
                <w:sz w:val="20"/>
                <w:szCs w:val="20"/>
              </w:rPr>
              <w:t xml:space="preserve">Section 6 Conditions</w:t>
            </w:r>
          </w:p>
        </w:tc>
      </w:tr>
      <w:tr>
        <w:tc>
          <w:tcPr>
            <w:tcW w:type="dxa" w:w="2800"/>
            <w:tcMar>
              <w:top w:type="dxa" w:w="80"/>
              <w:left w:type="dxa" w:w="120"/>
              <w:bottom w:type="dxa" w:w="80"/>
              <w:right w:type="dxa" w:w="120"/>
            </w:tcMar>
          </w:tcPr>
          <w:p>
            <w:r>
              <w:rPr>
                <w:b w:val="false"/>
                <w:bCs w:val="false"/>
                <w:color w:val="222222"/>
                <w:sz w:val="20"/>
                <w:szCs w:val="20"/>
              </w:rPr>
              <w:t xml:space="preserve">Clinical examination (OSCE)</w:t>
            </w:r>
          </w:p>
        </w:tc>
        <w:tc>
          <w:tcPr>
            <w:tcW w:type="dxa" w:w="3600"/>
            <w:tcMar>
              <w:top w:type="dxa" w:w="80"/>
              <w:left w:type="dxa" w:w="120"/>
              <w:bottom w:type="dxa" w:w="80"/>
              <w:right w:type="dxa" w:w="120"/>
            </w:tcMar>
          </w:tcPr>
          <w:p>
            <w:r>
              <w:rPr>
                <w:b w:val="false"/>
                <w:bCs w:val="false"/>
                <w:color w:val="222222"/>
                <w:sz w:val="20"/>
                <w:szCs w:val="20"/>
              </w:rPr>
              <w:t xml:space="preserve">Structured knee examination, special tests, communication stations</w:t>
            </w:r>
          </w:p>
        </w:tc>
        <w:tc>
          <w:tcPr>
            <w:tcW w:type="dxa" w:w="3400"/>
            <w:tcMar>
              <w:top w:type="dxa" w:w="80"/>
              <w:left w:type="dxa" w:w="120"/>
              <w:bottom w:type="dxa" w:w="80"/>
              <w:right w:type="dxa" w:w="120"/>
            </w:tcMar>
          </w:tcPr>
          <w:p>
            <w:r>
              <w:rPr>
                <w:b w:val="false"/>
                <w:bCs w:val="false"/>
                <w:color w:val="222222"/>
                <w:sz w:val="20"/>
                <w:szCs w:val="20"/>
              </w:rPr>
              <w:t xml:space="preserve">Section 4 Clinical Examination; Section 15 Video Academy</w:t>
            </w:r>
          </w:p>
        </w:tc>
      </w:tr>
      <w:tr>
        <w:tc>
          <w:tcPr>
            <w:tcW w:type="dxa" w:w="2800"/>
            <w:tcMar>
              <w:top w:type="dxa" w:w="80"/>
              <w:left w:type="dxa" w:w="120"/>
              <w:bottom w:type="dxa" w:w="80"/>
              <w:right w:type="dxa" w:w="120"/>
            </w:tcMar>
          </w:tcPr>
          <w:p>
            <w:r>
              <w:rPr>
                <w:b w:val="false"/>
                <w:bCs w:val="false"/>
                <w:color w:val="222222"/>
                <w:sz w:val="20"/>
                <w:szCs w:val="20"/>
              </w:rPr>
              <w:t xml:space="preserve">Trauma principles</w:t>
            </w:r>
          </w:p>
        </w:tc>
        <w:tc>
          <w:tcPr>
            <w:tcW w:type="dxa" w:w="3600"/>
            <w:tcMar>
              <w:top w:type="dxa" w:w="80"/>
              <w:left w:type="dxa" w:w="120"/>
              <w:bottom w:type="dxa" w:w="80"/>
              <w:right w:type="dxa" w:w="120"/>
            </w:tcMar>
          </w:tcPr>
          <w:p>
            <w:r>
              <w:rPr>
                <w:b w:val="false"/>
                <w:bCs w:val="false"/>
                <w:color w:val="222222"/>
                <w:sz w:val="20"/>
                <w:szCs w:val="20"/>
              </w:rPr>
              <w:t xml:space="preserve">Knee dislocation, tibial plateau fracture, extensor mechanism rupture, compartment syndrome</w:t>
            </w:r>
          </w:p>
        </w:tc>
        <w:tc>
          <w:tcPr>
            <w:tcW w:type="dxa" w:w="3400"/>
            <w:tcMar>
              <w:top w:type="dxa" w:w="80"/>
              <w:left w:type="dxa" w:w="120"/>
              <w:bottom w:type="dxa" w:w="80"/>
              <w:right w:type="dxa" w:w="120"/>
            </w:tcMar>
          </w:tcPr>
          <w:p>
            <w:r>
              <w:rPr>
                <w:b w:val="false"/>
                <w:bCs w:val="false"/>
                <w:color w:val="222222"/>
                <w:sz w:val="20"/>
                <w:szCs w:val="20"/>
              </w:rPr>
              <w:t xml:space="preserve">Section 6; Section 7 Surgery Academy (principles layer)</w:t>
            </w:r>
          </w:p>
        </w:tc>
      </w:tr>
      <w:tr>
        <w:tc>
          <w:tcPr>
            <w:tcW w:type="dxa" w:w="2800"/>
            <w:tcMar>
              <w:top w:type="dxa" w:w="80"/>
              <w:left w:type="dxa" w:w="120"/>
              <w:bottom w:type="dxa" w:w="80"/>
              <w:right w:type="dxa" w:w="120"/>
            </w:tcMar>
          </w:tcPr>
          <w:p>
            <w:r>
              <w:rPr>
                <w:b w:val="false"/>
                <w:bCs w:val="false"/>
                <w:color w:val="222222"/>
                <w:sz w:val="20"/>
                <w:szCs w:val="20"/>
              </w:rPr>
              <w:t xml:space="preserve">Imaging interpretation</w:t>
            </w:r>
          </w:p>
        </w:tc>
        <w:tc>
          <w:tcPr>
            <w:tcW w:type="dxa" w:w="3600"/>
            <w:tcMar>
              <w:top w:type="dxa" w:w="80"/>
              <w:left w:type="dxa" w:w="120"/>
              <w:bottom w:type="dxa" w:w="80"/>
              <w:right w:type="dxa" w:w="120"/>
            </w:tcMar>
          </w:tcPr>
          <w:p>
            <w:r>
              <w:rPr>
                <w:b w:val="false"/>
                <w:bCs w:val="false"/>
                <w:color w:val="222222"/>
                <w:sz w:val="20"/>
                <w:szCs w:val="20"/>
              </w:rPr>
              <w:t xml:space="preserve">Radiograph and MRI fundamentals of the knee</w:t>
            </w:r>
          </w:p>
        </w:tc>
        <w:tc>
          <w:tcPr>
            <w:tcW w:type="dxa" w:w="3400"/>
            <w:tcMar>
              <w:top w:type="dxa" w:w="80"/>
              <w:left w:type="dxa" w:w="120"/>
              <w:bottom w:type="dxa" w:w="80"/>
              <w:right w:type="dxa" w:w="120"/>
            </w:tcMar>
          </w:tcPr>
          <w:p>
            <w:r>
              <w:rPr>
                <w:b w:val="false"/>
                <w:bCs w:val="false"/>
                <w:color w:val="222222"/>
                <w:sz w:val="20"/>
                <w:szCs w:val="20"/>
              </w:rPr>
              <w:t xml:space="preserve">Section 5 Imaging</w:t>
            </w:r>
          </w:p>
        </w:tc>
      </w:tr>
      <w:tr>
        <w:tc>
          <w:tcPr>
            <w:tcW w:type="dxa" w:w="2800"/>
            <w:tcMar>
              <w:top w:type="dxa" w:w="80"/>
              <w:left w:type="dxa" w:w="120"/>
              <w:bottom w:type="dxa" w:w="80"/>
              <w:right w:type="dxa" w:w="120"/>
            </w:tcMar>
          </w:tcPr>
          <w:p>
            <w:r>
              <w:rPr>
                <w:b w:val="false"/>
                <w:bCs w:val="false"/>
                <w:color w:val="222222"/>
                <w:sz w:val="20"/>
                <w:szCs w:val="20"/>
              </w:rPr>
              <w:t xml:space="preserve">Question practice</w:t>
            </w:r>
          </w:p>
        </w:tc>
        <w:tc>
          <w:tcPr>
            <w:tcW w:type="dxa" w:w="3600"/>
            <w:tcMar>
              <w:top w:type="dxa" w:w="80"/>
              <w:left w:type="dxa" w:w="120"/>
              <w:bottom w:type="dxa" w:w="80"/>
              <w:right w:type="dxa" w:w="120"/>
            </w:tcMar>
          </w:tcPr>
          <w:p>
            <w:r>
              <w:rPr>
                <w:b w:val="false"/>
                <w:bCs w:val="false"/>
                <w:color w:val="222222"/>
                <w:sz w:val="20"/>
                <w:szCs w:val="20"/>
              </w:rPr>
              <w:t xml:space="preserve">SBA banks and mock papers at MRCS standard</w:t>
            </w:r>
          </w:p>
        </w:tc>
        <w:tc>
          <w:tcPr>
            <w:tcW w:type="dxa" w:w="3400"/>
            <w:tcMar>
              <w:top w:type="dxa" w:w="80"/>
              <w:left w:type="dxa" w:w="120"/>
              <w:bottom w:type="dxa" w:w="80"/>
              <w:right w:type="dxa" w:w="120"/>
            </w:tcMar>
          </w:tcPr>
          <w:p>
            <w:r>
              <w:rPr>
                <w:b w:val="false"/>
                <w:bCs w:val="false"/>
                <w:color w:val="222222"/>
                <w:sz w:val="20"/>
                <w:szCs w:val="20"/>
              </w:rPr>
              <w:t xml:space="preserve">Section 14 Parts A–M; Chapter 14.48 MRCS Revision Course; Chapter 14.70</w:t>
            </w:r>
          </w:p>
        </w:tc>
      </w:tr>
    </w:tbl>
    <w:p>
      <w:pPr>
        <w:spacing w:after="120"/>
      </w:pPr>
      <w:r>
        <w:t xml:space="preserve"/>
      </w:r>
    </w:p>
    <w:p>
      <w:pPr>
        <w:pStyle w:val="Heading2"/>
        <w:spacing w:after="120" w:before="280"/>
      </w:pPr>
      <w:r>
        <w:rPr>
          <w:b/>
          <w:bCs/>
          <w:color w:val="2F6F6A"/>
        </w:rPr>
        <w:t xml:space="preserve">B.3 — FRCS (Tr &amp; Orth) and ISCP Mapping</w:t>
      </w:r>
    </w:p>
    <w:p>
      <w:pPr>
        <w:spacing w:after="120"/>
      </w:pPr>
      <w:r>
        <w:t xml:space="preserve">The 2021 ISCP curriculum is outcomes-based, built on Generic Professional Capabilities and specialty Capabilities in Practice, with knowledge, critical conditions and index procedures specified in its appendices. FRCS (Tr &amp; Orth) Section 1 is a written SBA examination; Section 2 comprises clinical and oral (viva) components, set at the standard of a day-one consultant. The knee-relevant mapping: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200"/>
      </w:tblGrid>
      <w:tr>
        <w:trPr>
          <w:tblHeader/>
        </w:trPr>
        <w:tc>
          <w:tcPr>
            <w:tcW w:type="dxa" w:w="3000"/>
            <w:shd w:fill="1B4332" w:val="clear"/>
            <w:tcMar>
              <w:top w:type="dxa" w:w="80"/>
              <w:left w:type="dxa" w:w="120"/>
              <w:bottom w:type="dxa" w:w="80"/>
              <w:right w:type="dxa" w:w="120"/>
            </w:tcMar>
          </w:tcPr>
          <w:p>
            <w:r>
              <w:rPr>
                <w:b/>
                <w:bCs/>
                <w:color w:val="FFFFFF"/>
                <w:sz w:val="20"/>
                <w:szCs w:val="20"/>
              </w:rPr>
              <w:t xml:space="preserve">Curriculum element</w:t>
            </w:r>
          </w:p>
        </w:tc>
        <w:tc>
          <w:tcPr>
            <w:tcW w:type="dxa" w:w="3600"/>
            <w:shd w:fill="1B4332" w:val="clear"/>
            <w:tcMar>
              <w:top w:type="dxa" w:w="80"/>
              <w:left w:type="dxa" w:w="120"/>
              <w:bottom w:type="dxa" w:w="80"/>
              <w:right w:type="dxa" w:w="120"/>
            </w:tcMar>
          </w:tcPr>
          <w:p>
            <w:r>
              <w:rPr>
                <w:b/>
                <w:bCs/>
                <w:color w:val="FFFFFF"/>
                <w:sz w:val="20"/>
                <w:szCs w:val="20"/>
              </w:rPr>
              <w:t xml:space="preserve">Knee-relevant requirement</w:t>
            </w:r>
          </w:p>
        </w:tc>
        <w:tc>
          <w:tcPr>
            <w:tcW w:type="dxa" w:w="3200"/>
            <w:shd w:fill="1B4332" w:val="clear"/>
            <w:tcMar>
              <w:top w:type="dxa" w:w="80"/>
              <w:left w:type="dxa" w:w="120"/>
              <w:bottom w:type="dxa" w:w="80"/>
              <w:right w:type="dxa" w:w="120"/>
            </w:tcMar>
          </w:tcPr>
          <w:p>
            <w:r>
              <w:rPr>
                <w:b/>
                <w:bCs/>
                <w:color w:val="FFFFFF"/>
                <w:sz w:val="20"/>
                <w:szCs w:val="20"/>
              </w:rPr>
              <w:t xml:space="preserve">KneeSchool source sections</w:t>
            </w:r>
          </w:p>
        </w:tc>
      </w:tr>
      <w:tr>
        <w:tc>
          <w:tcPr>
            <w:tcW w:type="dxa" w:w="3000"/>
            <w:tcMar>
              <w:top w:type="dxa" w:w="80"/>
              <w:left w:type="dxa" w:w="120"/>
              <w:bottom w:type="dxa" w:w="80"/>
              <w:right w:type="dxa" w:w="120"/>
            </w:tcMar>
          </w:tcPr>
          <w:p>
            <w:r>
              <w:rPr>
                <w:b w:val="false"/>
                <w:bCs w:val="false"/>
                <w:color w:val="222222"/>
                <w:sz w:val="20"/>
                <w:szCs w:val="20"/>
              </w:rPr>
              <w:t xml:space="preserve">Specialty knowledge syllabus</w:t>
            </w:r>
          </w:p>
        </w:tc>
        <w:tc>
          <w:tcPr>
            <w:tcW w:type="dxa" w:w="3600"/>
            <w:tcMar>
              <w:top w:type="dxa" w:w="80"/>
              <w:left w:type="dxa" w:w="120"/>
              <w:bottom w:type="dxa" w:w="80"/>
              <w:right w:type="dxa" w:w="120"/>
            </w:tcMar>
          </w:tcPr>
          <w:p>
            <w:r>
              <w:rPr>
                <w:b w:val="false"/>
                <w:bCs w:val="false"/>
                <w:color w:val="222222"/>
                <w:sz w:val="20"/>
                <w:szCs w:val="20"/>
              </w:rPr>
              <w:t xml:space="preserve">Advanced anatomy, biomechanics, elective and trauma knee pathology, evidence base</w:t>
            </w:r>
          </w:p>
        </w:tc>
        <w:tc>
          <w:tcPr>
            <w:tcW w:type="dxa" w:w="3200"/>
            <w:tcMar>
              <w:top w:type="dxa" w:w="80"/>
              <w:left w:type="dxa" w:w="120"/>
              <w:bottom w:type="dxa" w:w="80"/>
              <w:right w:type="dxa" w:w="120"/>
            </w:tcMar>
          </w:tcPr>
          <w:p>
            <w:r>
              <w:rPr>
                <w:b w:val="false"/>
                <w:bCs w:val="false"/>
                <w:color w:val="222222"/>
                <w:sz w:val="20"/>
                <w:szCs w:val="20"/>
              </w:rPr>
              <w:t xml:space="preserve">Sections 2–7 (FRCS layer throughout)</w:t>
            </w:r>
          </w:p>
        </w:tc>
      </w:tr>
      <w:tr>
        <w:tc>
          <w:tcPr>
            <w:tcW w:type="dxa" w:w="3000"/>
            <w:tcMar>
              <w:top w:type="dxa" w:w="80"/>
              <w:left w:type="dxa" w:w="120"/>
              <w:bottom w:type="dxa" w:w="80"/>
              <w:right w:type="dxa" w:w="120"/>
            </w:tcMar>
          </w:tcPr>
          <w:p>
            <w:r>
              <w:rPr>
                <w:b w:val="false"/>
                <w:bCs w:val="false"/>
                <w:color w:val="222222"/>
                <w:sz w:val="20"/>
                <w:szCs w:val="20"/>
              </w:rPr>
              <w:t xml:space="preserve">Critical conditions (Appendix 3)</w:t>
            </w:r>
          </w:p>
        </w:tc>
        <w:tc>
          <w:tcPr>
            <w:tcW w:type="dxa" w:w="3600"/>
            <w:tcMar>
              <w:top w:type="dxa" w:w="80"/>
              <w:left w:type="dxa" w:w="120"/>
              <w:bottom w:type="dxa" w:w="80"/>
              <w:right w:type="dxa" w:w="120"/>
            </w:tcMar>
          </w:tcPr>
          <w:p>
            <w:r>
              <w:rPr>
                <w:b w:val="false"/>
                <w:bCs w:val="false"/>
                <w:color w:val="222222"/>
                <w:sz w:val="20"/>
                <w:szCs w:val="20"/>
              </w:rPr>
              <w:t xml:space="preserve">Knee-relevant emergencies, e.g. knee dislocation with vascular injury, septic arthritis, compartment syndrome, open fractures — verify full list against the current appendix</w:t>
            </w:r>
          </w:p>
        </w:tc>
        <w:tc>
          <w:tcPr>
            <w:tcW w:type="dxa" w:w="3200"/>
            <w:tcMar>
              <w:top w:type="dxa" w:w="80"/>
              <w:left w:type="dxa" w:w="120"/>
              <w:bottom w:type="dxa" w:w="80"/>
              <w:right w:type="dxa" w:w="120"/>
            </w:tcMar>
          </w:tcPr>
          <w:p>
            <w:r>
              <w:rPr>
                <w:b w:val="false"/>
                <w:bCs w:val="false"/>
                <w:color w:val="222222"/>
                <w:sz w:val="20"/>
                <w:szCs w:val="20"/>
              </w:rPr>
              <w:t xml:space="preserve">Section 6 Conditions; Section 7 Parts M and O</w:t>
            </w:r>
          </w:p>
        </w:tc>
      </w:tr>
      <w:tr>
        <w:tc>
          <w:tcPr>
            <w:tcW w:type="dxa" w:w="3000"/>
            <w:tcMar>
              <w:top w:type="dxa" w:w="80"/>
              <w:left w:type="dxa" w:w="120"/>
              <w:bottom w:type="dxa" w:w="80"/>
              <w:right w:type="dxa" w:w="120"/>
            </w:tcMar>
          </w:tcPr>
          <w:p>
            <w:r>
              <w:rPr>
                <w:b w:val="false"/>
                <w:bCs w:val="false"/>
                <w:color w:val="222222"/>
                <w:sz w:val="20"/>
                <w:szCs w:val="20"/>
              </w:rPr>
              <w:t xml:space="preserve">Index procedures (Appendix 4)</w:t>
            </w:r>
          </w:p>
        </w:tc>
        <w:tc>
          <w:tcPr>
            <w:tcW w:type="dxa" w:w="3600"/>
            <w:tcMar>
              <w:top w:type="dxa" w:w="80"/>
              <w:left w:type="dxa" w:w="120"/>
              <w:bottom w:type="dxa" w:w="80"/>
              <w:right w:type="dxa" w:w="120"/>
            </w:tcMar>
          </w:tcPr>
          <w:p>
            <w:r>
              <w:rPr>
                <w:b w:val="false"/>
                <w:bCs w:val="false"/>
                <w:color w:val="222222"/>
                <w:sz w:val="20"/>
                <w:szCs w:val="20"/>
              </w:rPr>
              <w:t xml:space="preserve">Knee-relevant index procedures, notably total knee replacement and knee arthroscopy — verify indicative numbers against the current appendix</w:t>
            </w:r>
          </w:p>
        </w:tc>
        <w:tc>
          <w:tcPr>
            <w:tcW w:type="dxa" w:w="3200"/>
            <w:tcMar>
              <w:top w:type="dxa" w:w="80"/>
              <w:left w:type="dxa" w:w="120"/>
              <w:bottom w:type="dxa" w:w="80"/>
              <w:right w:type="dxa" w:w="120"/>
            </w:tcMar>
          </w:tcPr>
          <w:p>
            <w:r>
              <w:rPr>
                <w:b w:val="false"/>
                <w:bCs w:val="false"/>
                <w:color w:val="222222"/>
                <w:sz w:val="20"/>
                <w:szCs w:val="20"/>
              </w:rPr>
              <w:t xml:space="preserve">Section 7 Surgery Academy procedure pages, each carrying an ISCP tag</w:t>
            </w:r>
          </w:p>
        </w:tc>
      </w:tr>
      <w:tr>
        <w:tc>
          <w:tcPr>
            <w:tcW w:type="dxa" w:w="3000"/>
            <w:tcMar>
              <w:top w:type="dxa" w:w="80"/>
              <w:left w:type="dxa" w:w="120"/>
              <w:bottom w:type="dxa" w:w="80"/>
              <w:right w:type="dxa" w:w="120"/>
            </w:tcMar>
          </w:tcPr>
          <w:p>
            <w:r>
              <w:rPr>
                <w:b w:val="false"/>
                <w:bCs w:val="false"/>
                <w:color w:val="222222"/>
                <w:sz w:val="20"/>
                <w:szCs w:val="20"/>
              </w:rPr>
              <w:t xml:space="preserve">Evidence and research capability</w:t>
            </w:r>
          </w:p>
        </w:tc>
        <w:tc>
          <w:tcPr>
            <w:tcW w:type="dxa" w:w="3600"/>
            <w:tcMar>
              <w:top w:type="dxa" w:w="80"/>
              <w:left w:type="dxa" w:w="120"/>
              <w:bottom w:type="dxa" w:w="80"/>
              <w:right w:type="dxa" w:w="120"/>
            </w:tcMar>
          </w:tcPr>
          <w:p>
            <w:r>
              <w:rPr>
                <w:b w:val="false"/>
                <w:bCs w:val="false"/>
                <w:color w:val="222222"/>
                <w:sz w:val="20"/>
                <w:szCs w:val="20"/>
              </w:rPr>
              <w:t xml:space="preserve">Critical appraisal, landmark trials, statistics</w:t>
            </w:r>
          </w:p>
        </w:tc>
        <w:tc>
          <w:tcPr>
            <w:tcW w:type="dxa" w:w="3200"/>
            <w:tcMar>
              <w:top w:type="dxa" w:w="80"/>
              <w:left w:type="dxa" w:w="120"/>
              <w:bottom w:type="dxa" w:w="80"/>
              <w:right w:type="dxa" w:w="120"/>
            </w:tcMar>
          </w:tcPr>
          <w:p>
            <w:r>
              <w:rPr>
                <w:b w:val="false"/>
                <w:bCs w:val="false"/>
                <w:color w:val="222222"/>
                <w:sz w:val="20"/>
                <w:szCs w:val="20"/>
              </w:rPr>
              <w:t xml:space="preserve">Section 12 Research Academy; Section 7 Part R Landmark Papers</w:t>
            </w:r>
          </w:p>
        </w:tc>
      </w:tr>
      <w:tr>
        <w:tc>
          <w:tcPr>
            <w:tcW w:type="dxa" w:w="3000"/>
            <w:tcMar>
              <w:top w:type="dxa" w:w="80"/>
              <w:left w:type="dxa" w:w="120"/>
              <w:bottom w:type="dxa" w:w="80"/>
              <w:right w:type="dxa" w:w="120"/>
            </w:tcMar>
          </w:tcPr>
          <w:p>
            <w:r>
              <w:rPr>
                <w:b w:val="false"/>
                <w:bCs w:val="false"/>
                <w:color w:val="222222"/>
                <w:sz w:val="20"/>
                <w:szCs w:val="20"/>
              </w:rPr>
              <w:t xml:space="preserve">Section 1 SBA preparation</w:t>
            </w:r>
          </w:p>
        </w:tc>
        <w:tc>
          <w:tcPr>
            <w:tcW w:type="dxa" w:w="3600"/>
            <w:tcMar>
              <w:top w:type="dxa" w:w="80"/>
              <w:left w:type="dxa" w:w="120"/>
              <w:bottom w:type="dxa" w:w="80"/>
              <w:right w:type="dxa" w:w="120"/>
            </w:tcMar>
          </w:tcPr>
          <w:p>
            <w:r>
              <w:rPr>
                <w:b w:val="false"/>
                <w:bCs w:val="false"/>
                <w:color w:val="222222"/>
                <w:sz w:val="20"/>
                <w:szCs w:val="20"/>
              </w:rPr>
              <w:t xml:space="preserve">High-volume SBA practice with explanations at FRCS standard</w:t>
            </w:r>
          </w:p>
        </w:tc>
        <w:tc>
          <w:tcPr>
            <w:tcW w:type="dxa" w:w="3200"/>
            <w:tcMar>
              <w:top w:type="dxa" w:w="80"/>
              <w:left w:type="dxa" w:w="120"/>
              <w:bottom w:type="dxa" w:w="80"/>
              <w:right w:type="dxa" w:w="120"/>
            </w:tcMar>
          </w:tcPr>
          <w:p>
            <w:r>
              <w:rPr>
                <w:b w:val="false"/>
                <w:bCs w:val="false"/>
                <w:color w:val="222222"/>
                <w:sz w:val="20"/>
                <w:szCs w:val="20"/>
              </w:rPr>
              <w:t xml:space="preserve">Section 14 Parts F–K; Chapter 14.46 FRCS Knee Revision Course</w:t>
            </w:r>
          </w:p>
        </w:tc>
      </w:tr>
      <w:tr>
        <w:tc>
          <w:tcPr>
            <w:tcW w:type="dxa" w:w="3000"/>
            <w:tcMar>
              <w:top w:type="dxa" w:w="80"/>
              <w:left w:type="dxa" w:w="120"/>
              <w:bottom w:type="dxa" w:w="80"/>
              <w:right w:type="dxa" w:w="120"/>
            </w:tcMar>
          </w:tcPr>
          <w:p>
            <w:r>
              <w:rPr>
                <w:b w:val="false"/>
                <w:bCs w:val="false"/>
                <w:color w:val="222222"/>
                <w:sz w:val="20"/>
                <w:szCs w:val="20"/>
              </w:rPr>
              <w:t xml:space="preserve">Section 2 clinical &amp; viva</w:t>
            </w:r>
          </w:p>
        </w:tc>
        <w:tc>
          <w:tcPr>
            <w:tcW w:type="dxa" w:w="3600"/>
            <w:tcMar>
              <w:top w:type="dxa" w:w="80"/>
              <w:left w:type="dxa" w:w="120"/>
              <w:bottom w:type="dxa" w:w="80"/>
              <w:right w:type="dxa" w:w="120"/>
            </w:tcMar>
          </w:tcPr>
          <w:p>
            <w:r>
              <w:rPr>
                <w:b w:val="false"/>
                <w:bCs w:val="false"/>
                <w:color w:val="222222"/>
                <w:sz w:val="20"/>
                <w:szCs w:val="20"/>
              </w:rPr>
              <w:t xml:space="preserve">Short/long cases, viva reasoning frameworks, guideline fluency (NICE, BOAST)</w:t>
            </w:r>
          </w:p>
        </w:tc>
        <w:tc>
          <w:tcPr>
            <w:tcW w:type="dxa" w:w="3200"/>
            <w:tcMar>
              <w:top w:type="dxa" w:w="80"/>
              <w:left w:type="dxa" w:w="120"/>
              <w:bottom w:type="dxa" w:w="80"/>
              <w:right w:type="dxa" w:w="120"/>
            </w:tcMar>
          </w:tcPr>
          <w:p>
            <w:r>
              <w:rPr>
                <w:b w:val="false"/>
                <w:bCs w:val="false"/>
                <w:color w:val="222222"/>
                <w:sz w:val="20"/>
                <w:szCs w:val="20"/>
              </w:rPr>
              <w:t xml:space="preserve">Section 13 Case Library (FRCS cases); Section 14 Part J Viva Academy; Section 4</w:t>
            </w:r>
          </w:p>
        </w:tc>
      </w:tr>
      <w:tr>
        <w:tc>
          <w:tcPr>
            <w:tcW w:type="dxa" w:w="3000"/>
            <w:tcMar>
              <w:top w:type="dxa" w:w="80"/>
              <w:left w:type="dxa" w:w="120"/>
              <w:bottom w:type="dxa" w:w="80"/>
              <w:right w:type="dxa" w:w="120"/>
            </w:tcMar>
          </w:tcPr>
          <w:p>
            <w:r>
              <w:rPr>
                <w:b w:val="false"/>
                <w:bCs w:val="false"/>
                <w:color w:val="222222"/>
                <w:sz w:val="20"/>
                <w:szCs w:val="20"/>
              </w:rPr>
              <w:t xml:space="preserve">Professional capabilities</w:t>
            </w:r>
          </w:p>
        </w:tc>
        <w:tc>
          <w:tcPr>
            <w:tcW w:type="dxa" w:w="3600"/>
            <w:tcMar>
              <w:top w:type="dxa" w:w="80"/>
              <w:left w:type="dxa" w:w="120"/>
              <w:bottom w:type="dxa" w:w="80"/>
              <w:right w:type="dxa" w:w="120"/>
            </w:tcMar>
          </w:tcPr>
          <w:p>
            <w:r>
              <w:rPr>
                <w:b w:val="false"/>
                <w:bCs w:val="false"/>
                <w:color w:val="222222"/>
                <w:sz w:val="20"/>
                <w:szCs w:val="20"/>
              </w:rPr>
              <w:t xml:space="preserve">Consent, shared decision-making, MDT working, complication disclosure</w:t>
            </w:r>
          </w:p>
        </w:tc>
        <w:tc>
          <w:tcPr>
            <w:tcW w:type="dxa" w:w="3200"/>
            <w:tcMar>
              <w:top w:type="dxa" w:w="80"/>
              <w:left w:type="dxa" w:w="120"/>
              <w:bottom w:type="dxa" w:w="80"/>
              <w:right w:type="dxa" w:w="120"/>
            </w:tcMar>
          </w:tcPr>
          <w:p>
            <w:r>
              <w:rPr>
                <w:b w:val="false"/>
                <w:bCs w:val="false"/>
                <w:color w:val="222222"/>
                <w:sz w:val="20"/>
                <w:szCs w:val="20"/>
              </w:rPr>
              <w:t xml:space="preserve">Woven into procedure and complication pages; Section 14.71</w:t>
            </w:r>
          </w:p>
        </w:tc>
      </w:tr>
    </w:tbl>
    <w:p>
      <w:pPr>
        <w:spacing w:after="120"/>
      </w:pPr>
      <w:r>
        <w:t xml:space="preserve"/>
      </w:r>
    </w:p>
    <w:p>
      <w:pPr>
        <w:pStyle w:val="Heading2"/>
        <w:spacing w:after="120" w:before="280"/>
      </w:pPr>
      <w:r>
        <w:rPr>
          <w:b/>
          <w:bCs/>
          <w:color w:val="2F6F6A"/>
        </w:rPr>
        <w:t xml:space="preserve">B.4 — Implementation Actions</w:t>
      </w:r>
    </w:p>
    <w:p>
      <w:pPr>
        <w:pStyle w:val="ListParagraph"/>
        <w:numPr>
          <w:ilvl w:val="0"/>
          <w:numId w:val="2"/>
        </w:numPr>
        <w:spacing w:after="60"/>
      </w:pPr>
      <w:r>
        <w:t xml:space="preserve">Tag every professional-tier page with curriculum metadata (e.g. “ISCP T&amp;O 2021 — Knee — elective”; “FRCS S1”; “MRCS Part A”) in the CMS so trainees can filter by examination and stage.</w:t>
      </w:r>
    </w:p>
    <w:p>
      <w:pPr>
        <w:pStyle w:val="ListParagraph"/>
        <w:numPr>
          <w:ilvl w:val="0"/>
          <w:numId w:val="2"/>
        </w:numPr>
        <w:spacing w:after="60"/>
      </w:pPr>
      <w:r>
        <w:t xml:space="preserve">Build the article tracker with a curriculum-coverage view: percentage of knee-relevant ISCP knowledge topics covered at each tier, reported monthly alongside page-count KPIs.</w:t>
      </w:r>
    </w:p>
    <w:p>
      <w:pPr>
        <w:pStyle w:val="ListParagraph"/>
        <w:numPr>
          <w:ilvl w:val="0"/>
          <w:numId w:val="2"/>
        </w:numPr>
        <w:spacing w:after="60"/>
      </w:pPr>
      <w:r>
        <w:t xml:space="preserve">Commission a formal cross-check of the critical conditions and index procedures appendices against Sections 6–7 before the Surgery Academy build (Months 10–12), so gaps are filled in sequence.</w:t>
      </w:r>
    </w:p>
    <w:p>
      <w:pPr>
        <w:pStyle w:val="ListParagraph"/>
        <w:numPr>
          <w:ilvl w:val="0"/>
          <w:numId w:val="2"/>
        </w:numPr>
        <w:spacing w:after="60"/>
      </w:pPr>
      <w:r>
        <w:t xml:space="preserve">Add guideline anchors: every FRCS-tier management page cites the relevant NICE guideline or BOAST standard with a last-verified date, reviewed annually.</w:t>
      </w:r>
    </w:p>
    <w:p>
      <w:pPr>
        <w:pStyle w:val="ListParagraph"/>
        <w:numPr>
          <w:ilvl w:val="0"/>
          <w:numId w:val="2"/>
        </w:numPr>
        <w:spacing w:after="60"/>
      </w:pPr>
      <w:r>
        <w:t xml:space="preserve">Sequence endorsement: first publish transparent self-mapping tables, then seek CPD accreditation for consultant content, then approach BASK/BOA for educational partnership once volume and QA maturity justify it.</w:t>
      </w:r>
    </w:p>
    <w:p>
      <w:pPr>
        <w:pStyle w:val="ListParagraph"/>
        <w:numPr>
          <w:ilvl w:val="0"/>
          <w:numId w:val="2"/>
        </w:numPr>
        <w:spacing w:after="60"/>
      </w:pPr>
      <w:r>
        <w:t xml:space="preserve">Recruit trainee reviewers: pair each MRCS/FRCS module with a current trainee reviewer in addition to consultant sign-off, ensuring examination realism.</w:t>
      </w:r>
    </w:p>
    <w:p>
      <w:pPr>
        <w:pStyle w:val="Heading2"/>
        <w:spacing w:after="120" w:before="280"/>
      </w:pPr>
      <w:r>
        <w:rPr>
          <w:b/>
          <w:bCs/>
          <w:color w:val="2F6F6A"/>
        </w:rPr>
        <w:t xml:space="preserve">B.5 — Risks and Mitigations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4800"/>
      </w:tblGrid>
      <w:tr>
        <w:trPr>
          <w:tblHeader/>
        </w:trPr>
        <w:tc>
          <w:tcPr>
            <w:tcW w:type="dxa" w:w="4600"/>
            <w:shd w:fill="1B4332" w:val="clear"/>
            <w:tcMar>
              <w:top w:type="dxa" w:w="80"/>
              <w:left w:type="dxa" w:w="120"/>
              <w:bottom w:type="dxa" w:w="80"/>
              <w:right w:type="dxa" w:w="120"/>
            </w:tcMar>
          </w:tcPr>
          <w:p>
            <w:r>
              <w:rPr>
                <w:b/>
                <w:bCs/>
                <w:color w:val="FFFFFF"/>
                <w:sz w:val="20"/>
                <w:szCs w:val="20"/>
              </w:rPr>
              <w:t xml:space="preserve">Risk</w:t>
            </w:r>
          </w:p>
        </w:tc>
        <w:tc>
          <w:tcPr>
            <w:tcW w:type="dxa" w:w="4800"/>
            <w:shd w:fill="1B4332" w:val="clear"/>
            <w:tcMar>
              <w:top w:type="dxa" w:w="80"/>
              <w:left w:type="dxa" w:w="120"/>
              <w:bottom w:type="dxa" w:w="80"/>
              <w:right w:type="dxa" w:w="120"/>
            </w:tcMar>
          </w:tcPr>
          <w:p>
            <w:r>
              <w:rPr>
                <w:b/>
                <w:bCs/>
                <w:color w:val="FFFFFF"/>
                <w:sz w:val="20"/>
                <w:szCs w:val="20"/>
              </w:rPr>
              <w:t xml:space="preserve">Mitigation</w:t>
            </w:r>
          </w:p>
        </w:tc>
      </w:tr>
      <w:tr>
        <w:tc>
          <w:tcPr>
            <w:tcW w:type="dxa" w:w="4600"/>
            <w:tcMar>
              <w:top w:type="dxa" w:w="80"/>
              <w:left w:type="dxa" w:w="120"/>
              <w:bottom w:type="dxa" w:w="80"/>
              <w:right w:type="dxa" w:w="120"/>
            </w:tcMar>
          </w:tcPr>
          <w:p>
            <w:r>
              <w:rPr>
                <w:b w:val="false"/>
                <w:bCs w:val="false"/>
                <w:color w:val="222222"/>
                <w:sz w:val="20"/>
                <w:szCs w:val="20"/>
              </w:rPr>
              <w:t xml:space="preserve">Curriculum or examination format changes after publication</w:t>
            </w:r>
          </w:p>
        </w:tc>
        <w:tc>
          <w:tcPr>
            <w:tcW w:type="dxa" w:w="4800"/>
            <w:tcMar>
              <w:top w:type="dxa" w:w="80"/>
              <w:left w:type="dxa" w:w="120"/>
              <w:bottom w:type="dxa" w:w="80"/>
              <w:right w:type="dxa" w:w="120"/>
            </w:tcMar>
          </w:tcPr>
          <w:p>
            <w:r>
              <w:rPr>
                <w:b w:val="false"/>
                <w:bCs w:val="false"/>
                <w:color w:val="222222"/>
                <w:sz w:val="20"/>
                <w:szCs w:val="20"/>
              </w:rPr>
              <w:t xml:space="preserve">Annual curriculum-watch task in the operations calendar; version-stamp all mapping claims</w:t>
            </w:r>
          </w:p>
        </w:tc>
      </w:tr>
      <w:tr>
        <w:tc>
          <w:tcPr>
            <w:tcW w:type="dxa" w:w="4600"/>
            <w:tcMar>
              <w:top w:type="dxa" w:w="80"/>
              <w:left w:type="dxa" w:w="120"/>
              <w:bottom w:type="dxa" w:w="80"/>
              <w:right w:type="dxa" w:w="120"/>
            </w:tcMar>
          </w:tcPr>
          <w:p>
            <w:r>
              <w:rPr>
                <w:b w:val="false"/>
                <w:bCs w:val="false"/>
                <w:color w:val="222222"/>
                <w:sz w:val="20"/>
                <w:szCs w:val="20"/>
              </w:rPr>
              <w:t xml:space="preserve">Over-claiming alignment or implying official endorsement</w:t>
            </w:r>
          </w:p>
        </w:tc>
        <w:tc>
          <w:tcPr>
            <w:tcW w:type="dxa" w:w="4800"/>
            <w:tcMar>
              <w:top w:type="dxa" w:w="80"/>
              <w:left w:type="dxa" w:w="120"/>
              <w:bottom w:type="dxa" w:w="80"/>
              <w:right w:type="dxa" w:w="120"/>
            </w:tcMar>
          </w:tcPr>
          <w:p>
            <w:r>
              <w:rPr>
                <w:b w:val="false"/>
                <w:bCs w:val="false"/>
                <w:color w:val="222222"/>
                <w:sz w:val="20"/>
                <w:szCs w:val="20"/>
              </w:rPr>
              <w:t xml:space="preserve">Use “mapped to” language only; no logos or endorsement claims without written agreement</w:t>
            </w:r>
          </w:p>
        </w:tc>
      </w:tr>
      <w:tr>
        <w:tc>
          <w:tcPr>
            <w:tcW w:type="dxa" w:w="4600"/>
            <w:tcMar>
              <w:top w:type="dxa" w:w="80"/>
              <w:left w:type="dxa" w:w="120"/>
              <w:bottom w:type="dxa" w:w="80"/>
              <w:right w:type="dxa" w:w="120"/>
            </w:tcMar>
          </w:tcPr>
          <w:p>
            <w:r>
              <w:rPr>
                <w:b w:val="false"/>
                <w:bCs w:val="false"/>
                <w:color w:val="222222"/>
                <w:sz w:val="20"/>
                <w:szCs w:val="20"/>
              </w:rPr>
              <w:t xml:space="preserve">Knee-only scope oversold for whole-curriculum exams</w:t>
            </w:r>
          </w:p>
        </w:tc>
        <w:tc>
          <w:tcPr>
            <w:tcW w:type="dxa" w:w="4800"/>
            <w:tcMar>
              <w:top w:type="dxa" w:w="80"/>
              <w:left w:type="dxa" w:w="120"/>
              <w:bottom w:type="dxa" w:w="80"/>
              <w:right w:type="dxa" w:w="120"/>
            </w:tcMar>
          </w:tcPr>
          <w:p>
            <w:r>
              <w:rPr>
                <w:b w:val="false"/>
                <w:bCs w:val="false"/>
                <w:color w:val="222222"/>
                <w:sz w:val="20"/>
                <w:szCs w:val="20"/>
              </w:rPr>
              <w:t xml:space="preserve">State clearly that KneeSchool covers the knee component of MRCS/FRCS preparation, complementing general resources</w:t>
            </w:r>
          </w:p>
        </w:tc>
      </w:tr>
      <w:tr>
        <w:tc>
          <w:tcPr>
            <w:tcW w:type="dxa" w:w="4600"/>
            <w:tcMar>
              <w:top w:type="dxa" w:w="80"/>
              <w:left w:type="dxa" w:w="120"/>
              <w:bottom w:type="dxa" w:w="80"/>
              <w:right w:type="dxa" w:w="120"/>
            </w:tcMar>
          </w:tcPr>
          <w:p>
            <w:r>
              <w:rPr>
                <w:b w:val="false"/>
                <w:bCs w:val="false"/>
                <w:color w:val="222222"/>
                <w:sz w:val="20"/>
                <w:szCs w:val="20"/>
              </w:rPr>
              <w:t xml:space="preserve">Consultant review bottleneck at professional tiers</w:t>
            </w:r>
          </w:p>
        </w:tc>
        <w:tc>
          <w:tcPr>
            <w:tcW w:type="dxa" w:w="4800"/>
            <w:tcMar>
              <w:top w:type="dxa" w:w="80"/>
              <w:left w:type="dxa" w:w="120"/>
              <w:bottom w:type="dxa" w:w="80"/>
              <w:right w:type="dxa" w:w="120"/>
            </w:tcMar>
          </w:tcPr>
          <w:p>
            <w:r>
              <w:rPr>
                <w:b w:val="false"/>
                <w:bCs w:val="false"/>
                <w:color w:val="222222"/>
                <w:sz w:val="20"/>
                <w:szCs w:val="20"/>
              </w:rPr>
              <w:t xml:space="preserve">Trainee pre-review layer plus prioritisation of examination-weighted topics first</w:t>
            </w:r>
          </w:p>
        </w:tc>
      </w:tr>
    </w:tbl>
    <w:p>
      <w:pPr>
        <w:spacing w:after="120"/>
      </w:pPr>
      <w:r>
        <w:t xml:space="preserve"/>
      </w:r>
    </w:p>
    <w:p>
      <w:pPr>
        <w:spacing w:after="120"/>
      </w:pPr>
      <w:r>
        <w:rPr>
          <w:i/>
          <w:iCs/>
          <w:color w:val="58605E"/>
        </w:rPr>
        <w:t xml:space="preserve">End of document. Next recommended step: consultant review of Part A tone and governance rules, then commissioning the ISCP appendix cross-check described in B.4.</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2026-08-28T20:47:33.261Z</dcterms:created>
  <dcterms:modified xsi:type="dcterms:W3CDTF">2026-08-28T20:47:33.278Z</dcterms:modified>
</cp:coreProperties>
</file>

<file path=docProps/custom.xml><?xml version="1.0" encoding="utf-8"?>
<Properties xmlns="http://schemas.openxmlformats.org/officeDocument/2006/custom-properties" xmlns:vt="http://schemas.openxmlformats.org/officeDocument/2006/docPropsVTypes"/>
</file>