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09A4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Análise Pericial Técnico-Científica de Cédulas de Crédito Bancário (CCB) sob a Égide do FGI PEAC: Assimetria Informacional e Onerosidade Excessiva</w:t>
      </w:r>
    </w:p>
    <w:p w14:paraId="79588396" w14:textId="77777777" w:rsidR="00981A5F" w:rsidRPr="00981A5F" w:rsidRDefault="00981A5F" w:rsidP="00981A5F">
      <w:r w:rsidRPr="00981A5F">
        <w:rPr>
          <w:b/>
          <w:bCs/>
        </w:rPr>
        <w:t>Por: Dr. Lincoln Sposito</w:t>
      </w:r>
    </w:p>
    <w:p w14:paraId="53BD0C60" w14:textId="77777777" w:rsidR="00981A5F" w:rsidRPr="00981A5F" w:rsidRDefault="00981A5F" w:rsidP="00981A5F">
      <w:r w:rsidRPr="00981A5F">
        <w:rPr>
          <w:i/>
          <w:iCs/>
        </w:rPr>
        <w:t>Doutor em Administração, Perito Judicial Especialista em Finanças e Ciência de Dados.</w:t>
      </w:r>
    </w:p>
    <w:p w14:paraId="16909485" w14:textId="77777777" w:rsidR="00981A5F" w:rsidRPr="00981A5F" w:rsidRDefault="00000000" w:rsidP="00981A5F">
      <w:r>
        <w:pict w14:anchorId="1454838A">
          <v:rect id="_x0000_i1025" style="width:0;height:1.5pt" o:hralign="center" o:hrstd="t" o:hrnoshade="t" o:hr="t" fillcolor="gray" stroked="f"/>
        </w:pict>
      </w:r>
    </w:p>
    <w:p w14:paraId="439E7D65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Resumo</w:t>
      </w:r>
    </w:p>
    <w:p w14:paraId="323D65AE" w14:textId="77777777" w:rsidR="00981A5F" w:rsidRPr="00981A5F" w:rsidRDefault="00981A5F" w:rsidP="00981A5F">
      <w:r w:rsidRPr="00981A5F">
        <w:t xml:space="preserve">O presente artigo técnico-científico propõe uma dissecação analítica da Cédula de Crédito Bancário (CCB) nº 0000042554-7, emitida sob as diretrizes do Programa Emergencial de Acesso a Crédito (FGI PEAC). Através de uma metodologia pautada no rigor matemático-financeiro e na hermenêutica jurídica contemporânea, o trabalho identifica e quantifica distorções operacionais que transmutam um instrumento de fomento em um mecanismo de asfixia financeira. São abordados temas como a "falácia da liquidez", o custo efetivo camuflado, a </w:t>
      </w:r>
      <w:proofErr w:type="spellStart"/>
      <w:r w:rsidRPr="00981A5F">
        <w:t>sobreasseguração</w:t>
      </w:r>
      <w:proofErr w:type="spellEnd"/>
      <w:r w:rsidRPr="00981A5F">
        <w:t xml:space="preserve"> (</w:t>
      </w:r>
      <w:r w:rsidRPr="00981A5F">
        <w:rPr>
          <w:i/>
          <w:iCs/>
        </w:rPr>
        <w:t>over-collateralization</w:t>
      </w:r>
      <w:r w:rsidRPr="00981A5F">
        <w:t>) e o desvio de finalidade normativa frente aos balizadores do Banco Central e do BNDES em dezembro de 2024. A perícia conclui pela necessidade de retificação do saldo devedor, restaurando o equilíbrio sinalagmático e a função social do contrato.</w:t>
      </w:r>
    </w:p>
    <w:p w14:paraId="7872A3D1" w14:textId="77777777" w:rsidR="00981A5F" w:rsidRPr="00981A5F" w:rsidRDefault="00000000" w:rsidP="00981A5F">
      <w:r>
        <w:pict w14:anchorId="0946F192">
          <v:rect id="_x0000_i1026" style="width:0;height:1.5pt" o:hralign="center" o:hrstd="t" o:hrnoshade="t" o:hr="t" fillcolor="gray" stroked="f"/>
        </w:pict>
      </w:r>
    </w:p>
    <w:p w14:paraId="6103806F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1. Introdução e Contextualização do Produto</w:t>
      </w:r>
    </w:p>
    <w:p w14:paraId="5E6317BC" w14:textId="77777777" w:rsidR="00981A5F" w:rsidRPr="00981A5F" w:rsidRDefault="00981A5F" w:rsidP="00981A5F">
      <w:r w:rsidRPr="00981A5F">
        <w:t xml:space="preserve">A Cédula de Crédito Bancário (CCB), instituída pela </w:t>
      </w:r>
      <w:r w:rsidRPr="00981A5F">
        <w:rPr>
          <w:b/>
          <w:bCs/>
        </w:rPr>
        <w:t>Lei nº 10.931/2004</w:t>
      </w:r>
      <w:r w:rsidRPr="00981A5F">
        <w:t>, consolidou-se como um dos pilares do sistema de crédito brasileiro. Sua natureza de título executivo extrajudicial, representando dívida em dinheiro, certa, líquida e exigível, confere às instituições financeiras uma celeridade processual agressiva. Todavia, essa agilidade executiva pressupõe a transparência absoluta dos encargos, o que raramente se observa em operações complexas.</w:t>
      </w:r>
    </w:p>
    <w:p w14:paraId="1A927957" w14:textId="77777777" w:rsidR="00981A5F" w:rsidRPr="00981A5F" w:rsidRDefault="00981A5F" w:rsidP="00981A5F">
      <w:r w:rsidRPr="00981A5F">
        <w:t xml:space="preserve">No cenário pós-pandêmico, o fomento à pequena e média empresa ganhou relevo através do </w:t>
      </w:r>
      <w:r w:rsidRPr="00981A5F">
        <w:rPr>
          <w:b/>
          <w:bCs/>
        </w:rPr>
        <w:t>FGI PEAC (Fundo Garantidor de Investimentos - Programa Emergencial de Acesso a Crédito)</w:t>
      </w:r>
      <w:r w:rsidRPr="00981A5F">
        <w:t>, gerido pelo BNDES. O objetivo precípuo do fundo é mitigar o risco de crédito para as instituições financeiras, permitindo que estas ofereçam taxas reduzidas e prazos alongados. Contudo, a prática pericial revela um fenômeno de "captura do benefício público": o banco utiliza a garantia estatal para reduzir seu risco sistêmico, mas mantém — ou até eleva — a onerosidade para o tomador final, através de retenções de capital e taxas acima da média de mercado.</w:t>
      </w:r>
    </w:p>
    <w:p w14:paraId="0045C39E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2. Definição do Produto e Objeto da Perícia</w:t>
      </w:r>
    </w:p>
    <w:p w14:paraId="0F6E430B" w14:textId="77777777" w:rsidR="00981A5F" w:rsidRPr="00981A5F" w:rsidRDefault="00981A5F" w:rsidP="00981A5F">
      <w:r w:rsidRPr="00981A5F">
        <w:t xml:space="preserve">O objeto desta análise é a </w:t>
      </w:r>
      <w:r w:rsidRPr="00981A5F">
        <w:rPr>
          <w:b/>
          <w:bCs/>
        </w:rPr>
        <w:t>CCB nº 0000042554-7</w:t>
      </w:r>
      <w:r w:rsidRPr="00981A5F">
        <w:t xml:space="preserve">, um contrato de capital de giro com valor nominal de </w:t>
      </w:r>
      <w:r w:rsidRPr="00981A5F">
        <w:rPr>
          <w:b/>
          <w:bCs/>
        </w:rPr>
        <w:t>R$ 550.127,52</w:t>
      </w:r>
      <w:r w:rsidRPr="00981A5F">
        <w:t xml:space="preserve">. A operação possui prazo total de 1095 dias (36 meses), com taxa nominal de </w:t>
      </w:r>
      <w:r w:rsidRPr="00981A5F">
        <w:rPr>
          <w:b/>
          <w:bCs/>
        </w:rPr>
        <w:t>1,80% a.m. (23,87% a.a.)</w:t>
      </w:r>
      <w:r w:rsidRPr="00981A5F">
        <w:t>, estruturada no regime de capitalização composta sob o Sistema de Amortização Constante (SAC).</w:t>
      </w:r>
    </w:p>
    <w:p w14:paraId="140EAAC8" w14:textId="77777777" w:rsidR="00981A5F" w:rsidRPr="00981A5F" w:rsidRDefault="00981A5F" w:rsidP="00981A5F">
      <w:r w:rsidRPr="00981A5F">
        <w:t xml:space="preserve">O cerne da investigação pericial reside na verificação da </w:t>
      </w:r>
      <w:r w:rsidRPr="00981A5F">
        <w:rPr>
          <w:b/>
          <w:bCs/>
        </w:rPr>
        <w:t>liquidez real operacional</w:t>
      </w:r>
      <w:r w:rsidRPr="00981A5F">
        <w:t>. Enquanto o banco projeta uma dívida sobre o montante integral, a empresa recebe uma fração significativamente menor, gerando uma desconexão entre o passivo contábil e o ativo financeiro disponível.</w:t>
      </w:r>
    </w:p>
    <w:p w14:paraId="11BA7BD4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3. Metodologia Pericial e Fundamentação Científica</w:t>
      </w:r>
    </w:p>
    <w:p w14:paraId="3A2D3064" w14:textId="77777777" w:rsidR="00981A5F" w:rsidRPr="00981A5F" w:rsidRDefault="00981A5F" w:rsidP="00981A5F">
      <w:r w:rsidRPr="00981A5F">
        <w:lastRenderedPageBreak/>
        <w:t xml:space="preserve">A perícia financeira moderna não se limita ao cálculo aritmético; ela exige o que a doutrina denomina de </w:t>
      </w:r>
      <w:r w:rsidRPr="00981A5F">
        <w:rPr>
          <w:b/>
          <w:bCs/>
        </w:rPr>
        <w:t>"Análise de Substância sobre a Forma"</w:t>
      </w:r>
      <w:r w:rsidRPr="00981A5F">
        <w:t>. Foram aplicados três pilares metodológicos:</w:t>
      </w:r>
    </w:p>
    <w:p w14:paraId="72A63716" w14:textId="77777777" w:rsidR="00981A5F" w:rsidRPr="00981A5F" w:rsidRDefault="00981A5F" w:rsidP="00981A5F">
      <w:pPr>
        <w:numPr>
          <w:ilvl w:val="0"/>
          <w:numId w:val="5"/>
        </w:numPr>
      </w:pPr>
      <w:r w:rsidRPr="00981A5F">
        <w:rPr>
          <w:b/>
          <w:bCs/>
        </w:rPr>
        <w:t>Reconstrução Dinâmica de Fluxo de Caixa:</w:t>
      </w:r>
      <w:r w:rsidRPr="00981A5F">
        <w:t xml:space="preserve"> Identificação do Valor Líquido Efetivo (VLE), descontando-se retenções acessórias que não revertem em favor do mutuário.</w:t>
      </w:r>
    </w:p>
    <w:p w14:paraId="6D9C3356" w14:textId="77777777" w:rsidR="00981A5F" w:rsidRPr="00981A5F" w:rsidRDefault="00981A5F" w:rsidP="00981A5F">
      <w:pPr>
        <w:numPr>
          <w:ilvl w:val="0"/>
          <w:numId w:val="5"/>
        </w:numPr>
      </w:pPr>
      <w:r w:rsidRPr="00981A5F">
        <w:rPr>
          <w:b/>
          <w:bCs/>
        </w:rPr>
        <w:t>Cálculo da Taxa Interna de Retorno (TIR):</w:t>
      </w:r>
      <w:r w:rsidRPr="00981A5F">
        <w:t xml:space="preserve"> Utilizada para aferir o Custo Efetivo Total (CET), que é o verdadeiro indexador de onerosidade do contrato.</w:t>
      </w:r>
    </w:p>
    <w:p w14:paraId="1C6A5D42" w14:textId="77777777" w:rsidR="00981A5F" w:rsidRPr="00981A5F" w:rsidRDefault="00981A5F" w:rsidP="00981A5F">
      <w:pPr>
        <w:numPr>
          <w:ilvl w:val="0"/>
          <w:numId w:val="5"/>
        </w:numPr>
      </w:pPr>
      <w:r w:rsidRPr="00981A5F">
        <w:rPr>
          <w:b/>
          <w:bCs/>
        </w:rPr>
        <w:t>Avaliação de Eficiência de Garantias:</w:t>
      </w:r>
      <w:r w:rsidRPr="00981A5F">
        <w:t xml:space="preserve"> Análise da proporcionalidade entre o risco assumido pelo banco e as garantias exigidas (FGI + CDB + Aval).</w:t>
      </w:r>
    </w:p>
    <w:p w14:paraId="37887FEC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Fundamentação Matemática: O Sistema SAC</w:t>
      </w:r>
    </w:p>
    <w:p w14:paraId="0AA05D80" w14:textId="77777777" w:rsidR="00981A5F" w:rsidRPr="00981A5F" w:rsidRDefault="00981A5F" w:rsidP="00981A5F">
      <w:r w:rsidRPr="00981A5F">
        <w:t>No SAC, a quota de amortização ($A$) é constante, enquanto os juros ($</w:t>
      </w:r>
      <w:proofErr w:type="spellStart"/>
      <w:r w:rsidRPr="00981A5F">
        <w:t>J_k</w:t>
      </w:r>
      <w:proofErr w:type="spellEnd"/>
      <w:r w:rsidRPr="00981A5F">
        <w:t>$) decrescem conforme o saldo devedor ($SD$). As fórmulas aplicadas são:</w:t>
      </w:r>
    </w:p>
    <w:p w14:paraId="452FA608" w14:textId="77777777" w:rsidR="00981A5F" w:rsidRPr="00981A5F" w:rsidRDefault="00981A5F" w:rsidP="00981A5F">
      <w:r w:rsidRPr="00981A5F">
        <w:t>$$A = \</w:t>
      </w:r>
      <w:proofErr w:type="spellStart"/>
      <w:r w:rsidRPr="00981A5F">
        <w:t>frac</w:t>
      </w:r>
      <w:proofErr w:type="spellEnd"/>
      <w:proofErr w:type="gramStart"/>
      <w:r w:rsidRPr="00981A5F">
        <w:t>{Principal</w:t>
      </w:r>
      <w:proofErr w:type="gramEnd"/>
      <w:r w:rsidRPr="00981A5F">
        <w:t>}{n}$$</w:t>
      </w:r>
    </w:p>
    <w:p w14:paraId="50015307" w14:textId="77777777" w:rsidR="00981A5F" w:rsidRPr="00981A5F" w:rsidRDefault="00981A5F" w:rsidP="00981A5F">
      <w:r w:rsidRPr="00981A5F">
        <w:t>$$</w:t>
      </w:r>
      <w:proofErr w:type="spellStart"/>
      <w:r w:rsidRPr="00981A5F">
        <w:t>J_k</w:t>
      </w:r>
      <w:proofErr w:type="spellEnd"/>
      <w:r w:rsidRPr="00981A5F">
        <w:t xml:space="preserve"> = SD_{k-1} \times i$$</w:t>
      </w:r>
    </w:p>
    <w:p w14:paraId="5DDB1061" w14:textId="77777777" w:rsidR="00981A5F" w:rsidRPr="00981A5F" w:rsidRDefault="00981A5F" w:rsidP="00981A5F">
      <w:r w:rsidRPr="00981A5F">
        <w:t>$$</w:t>
      </w:r>
      <w:proofErr w:type="spellStart"/>
      <w:r w:rsidRPr="00981A5F">
        <w:t>PMT_k</w:t>
      </w:r>
      <w:proofErr w:type="spellEnd"/>
      <w:r w:rsidRPr="00981A5F">
        <w:t xml:space="preserve"> = A + </w:t>
      </w:r>
      <w:proofErr w:type="spellStart"/>
      <w:r w:rsidRPr="00981A5F">
        <w:t>J_k</w:t>
      </w:r>
      <w:proofErr w:type="spellEnd"/>
      <w:r w:rsidRPr="00981A5F">
        <w:t>$$</w:t>
      </w:r>
    </w:p>
    <w:p w14:paraId="3810351A" w14:textId="77777777" w:rsidR="00981A5F" w:rsidRPr="00981A5F" w:rsidRDefault="00981A5F" w:rsidP="00981A5F">
      <w:r w:rsidRPr="00981A5F">
        <w:t xml:space="preserve">A irregularidade detectada em perícia ocorre quando o </w:t>
      </w:r>
      <w:proofErr w:type="gramStart"/>
      <w:r w:rsidRPr="00981A5F">
        <w:t>$Principal</w:t>
      </w:r>
      <w:proofErr w:type="gramEnd"/>
      <w:r w:rsidRPr="00981A5F">
        <w:t>$ utilizado no cálculo de $</w:t>
      </w:r>
      <w:proofErr w:type="spellStart"/>
      <w:r w:rsidRPr="00981A5F">
        <w:t>J_k</w:t>
      </w:r>
      <w:proofErr w:type="spellEnd"/>
      <w:r w:rsidRPr="00981A5F">
        <w:t>$ é artificialmente inflado por despesas que deveriam ser diluídas ou que configuram venda casada.</w:t>
      </w:r>
    </w:p>
    <w:p w14:paraId="60D1F472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4. Análise Crítica: A Falácia da Liquidez e Retenções Iniciais</w:t>
      </w:r>
    </w:p>
    <w:p w14:paraId="719B969F" w14:textId="77777777" w:rsidR="00981A5F" w:rsidRPr="00981A5F" w:rsidRDefault="00981A5F" w:rsidP="00981A5F">
      <w:r w:rsidRPr="00981A5F">
        <w:t>Um dos pontos mais críticos é a discrepância entre o capital nominal e o operacional. Do montante de R$ 550.127,52, apenas R$ 530.000,00 foram objeto de movimentação inicial, sofrendo retenções imediatas de natureza tributária e administrativa.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5"/>
        <w:gridCol w:w="1410"/>
        <w:gridCol w:w="4250"/>
      </w:tblGrid>
      <w:tr w:rsidR="00981A5F" w:rsidRPr="00981A5F" w14:paraId="31C5D3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E5076" w14:textId="77777777" w:rsidR="00981A5F" w:rsidRPr="00981A5F" w:rsidRDefault="00981A5F" w:rsidP="00981A5F">
            <w:r w:rsidRPr="00981A5F">
              <w:rPr>
                <w:b/>
                <w:bCs/>
              </w:rPr>
              <w:t>Descrição do Encargo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1C510" w14:textId="77777777" w:rsidR="00981A5F" w:rsidRPr="00981A5F" w:rsidRDefault="00981A5F" w:rsidP="00981A5F">
            <w:r w:rsidRPr="00981A5F">
              <w:rPr>
                <w:b/>
                <w:bCs/>
              </w:rPr>
              <w:t>Valor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41DCF1" w14:textId="77777777" w:rsidR="00981A5F" w:rsidRPr="00981A5F" w:rsidRDefault="00981A5F" w:rsidP="00981A5F">
            <w:r w:rsidRPr="00981A5F">
              <w:rPr>
                <w:b/>
                <w:bCs/>
              </w:rPr>
              <w:t>Natureza Jurídico-Financeira</w:t>
            </w:r>
          </w:p>
        </w:tc>
      </w:tr>
      <w:tr w:rsidR="00981A5F" w:rsidRPr="00981A5F" w14:paraId="4189A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18111" w14:textId="77777777" w:rsidR="00981A5F" w:rsidRPr="00981A5F" w:rsidRDefault="00981A5F" w:rsidP="00981A5F">
            <w:r w:rsidRPr="00981A5F">
              <w:rPr>
                <w:b/>
                <w:bCs/>
              </w:rPr>
              <w:t>Valor Nominal da CCB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1281E" w14:textId="77777777" w:rsidR="00981A5F" w:rsidRPr="00981A5F" w:rsidRDefault="00981A5F" w:rsidP="00981A5F">
            <w:r w:rsidRPr="00981A5F">
              <w:rPr>
                <w:b/>
                <w:bCs/>
              </w:rPr>
              <w:t>550.127,52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6CD08E" w14:textId="77777777" w:rsidR="00981A5F" w:rsidRPr="00981A5F" w:rsidRDefault="00981A5F" w:rsidP="00981A5F">
            <w:r w:rsidRPr="00981A5F">
              <w:rPr>
                <w:b/>
                <w:bCs/>
              </w:rPr>
              <w:t>Base de Cálculo (Passivo)</w:t>
            </w:r>
          </w:p>
        </w:tc>
      </w:tr>
      <w:tr w:rsidR="00981A5F" w:rsidRPr="00981A5F" w14:paraId="36605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631E2" w14:textId="77777777" w:rsidR="00981A5F" w:rsidRPr="00981A5F" w:rsidRDefault="00981A5F" w:rsidP="00981A5F">
            <w:r w:rsidRPr="00981A5F">
              <w:t>IOF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49B7E" w14:textId="77777777" w:rsidR="00981A5F" w:rsidRPr="00981A5F" w:rsidRDefault="00981A5F" w:rsidP="00981A5F">
            <w:r w:rsidRPr="00981A5F">
              <w:t>10.004,31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0E1C4C" w14:textId="77777777" w:rsidR="00981A5F" w:rsidRPr="00981A5F" w:rsidRDefault="00981A5F" w:rsidP="00981A5F">
            <w:r w:rsidRPr="00981A5F">
              <w:t>Retenção Tributária Obrigatória</w:t>
            </w:r>
          </w:p>
        </w:tc>
      </w:tr>
      <w:tr w:rsidR="00981A5F" w:rsidRPr="00981A5F" w14:paraId="6A22C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D6957" w14:textId="77777777" w:rsidR="00981A5F" w:rsidRPr="00981A5F" w:rsidRDefault="00981A5F" w:rsidP="00981A5F">
            <w:r w:rsidRPr="00981A5F">
              <w:t>Tarifa de Cadastro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F0885" w14:textId="77777777" w:rsidR="00981A5F" w:rsidRPr="00981A5F" w:rsidRDefault="00981A5F" w:rsidP="00981A5F">
            <w:r w:rsidRPr="00981A5F">
              <w:t>5.200,00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76AEF5" w14:textId="77777777" w:rsidR="00981A5F" w:rsidRPr="00981A5F" w:rsidRDefault="00981A5F" w:rsidP="00981A5F">
            <w:r w:rsidRPr="00981A5F">
              <w:t>Encargo Administrativo</w:t>
            </w:r>
          </w:p>
        </w:tc>
      </w:tr>
      <w:tr w:rsidR="00981A5F" w:rsidRPr="00981A5F" w14:paraId="37663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3C607" w14:textId="77777777" w:rsidR="00981A5F" w:rsidRPr="00981A5F" w:rsidRDefault="00981A5F" w:rsidP="00981A5F">
            <w:r w:rsidRPr="00981A5F">
              <w:t>ECG (Garantia FGI PEAC)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0E924" w14:textId="77777777" w:rsidR="00981A5F" w:rsidRPr="00981A5F" w:rsidRDefault="00981A5F" w:rsidP="00981A5F">
            <w:r w:rsidRPr="00981A5F">
              <w:t>4.923,21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0CC173" w14:textId="77777777" w:rsidR="00981A5F" w:rsidRPr="00981A5F" w:rsidRDefault="00981A5F" w:rsidP="00981A5F">
            <w:r w:rsidRPr="00981A5F">
              <w:t>Custo da Mitigação de Risco</w:t>
            </w:r>
          </w:p>
        </w:tc>
      </w:tr>
      <w:tr w:rsidR="00981A5F" w:rsidRPr="00981A5F" w14:paraId="00A55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6B9AE" w14:textId="77777777" w:rsidR="00981A5F" w:rsidRPr="00981A5F" w:rsidRDefault="00981A5F" w:rsidP="00981A5F">
            <w:r w:rsidRPr="00981A5F">
              <w:t>Seguro Prestamista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E29EA" w14:textId="77777777" w:rsidR="00981A5F" w:rsidRPr="00981A5F" w:rsidRDefault="00981A5F" w:rsidP="00981A5F">
            <w:r w:rsidRPr="00981A5F">
              <w:t>10.000,00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6AF0D0" w14:textId="77777777" w:rsidR="00981A5F" w:rsidRPr="00981A5F" w:rsidRDefault="00981A5F" w:rsidP="00981A5F">
            <w:r w:rsidRPr="00981A5F">
              <w:t>Venda Casada (Discussão Tema 972 STJ)</w:t>
            </w:r>
          </w:p>
        </w:tc>
      </w:tr>
      <w:tr w:rsidR="00981A5F" w:rsidRPr="00981A5F" w14:paraId="16732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1F34B" w14:textId="77777777" w:rsidR="00981A5F" w:rsidRPr="00981A5F" w:rsidRDefault="00981A5F" w:rsidP="00981A5F">
            <w:r w:rsidRPr="00981A5F">
              <w:lastRenderedPageBreak/>
              <w:t>CDB (Garantia Fiduciária)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F6BCD" w14:textId="77777777" w:rsidR="00981A5F" w:rsidRPr="00981A5F" w:rsidRDefault="00981A5F" w:rsidP="00981A5F">
            <w:r w:rsidRPr="00981A5F">
              <w:t>110.025,50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C75776" w14:textId="77777777" w:rsidR="00981A5F" w:rsidRPr="00981A5F" w:rsidRDefault="00981A5F" w:rsidP="00981A5F">
            <w:r w:rsidRPr="00981A5F">
              <w:t>Ativo Imobilizado ("Trava Bancária")</w:t>
            </w:r>
          </w:p>
        </w:tc>
      </w:tr>
      <w:tr w:rsidR="00981A5F" w:rsidRPr="00981A5F" w14:paraId="2BC67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DFE068" w14:textId="77777777" w:rsidR="00981A5F" w:rsidRPr="00981A5F" w:rsidRDefault="00981A5F" w:rsidP="00981A5F">
            <w:r w:rsidRPr="00981A5F">
              <w:rPr>
                <w:b/>
                <w:bCs/>
              </w:rPr>
              <w:t>Capital Efetivamente 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B0DC35" w14:textId="77777777" w:rsidR="00981A5F" w:rsidRPr="00981A5F" w:rsidRDefault="00981A5F" w:rsidP="00981A5F">
            <w:r w:rsidRPr="00981A5F">
              <w:rPr>
                <w:b/>
                <w:bCs/>
              </w:rPr>
              <w:t>409.974,50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FCC2B4" w14:textId="77777777" w:rsidR="00981A5F" w:rsidRPr="00981A5F" w:rsidRDefault="00981A5F" w:rsidP="00981A5F">
            <w:r w:rsidRPr="00981A5F">
              <w:rPr>
                <w:b/>
                <w:bCs/>
              </w:rPr>
              <w:t>Liquidez Real Operacional (Ativo)</w:t>
            </w:r>
          </w:p>
        </w:tc>
      </w:tr>
    </w:tbl>
    <w:p w14:paraId="76F723D8" w14:textId="77777777" w:rsidR="00981A5F" w:rsidRPr="00981A5F" w:rsidRDefault="00981A5F" w:rsidP="00981A5F">
      <w:r w:rsidRPr="00981A5F">
        <w:t xml:space="preserve">A análise revela que o mutuário paga juros sobre R$ 550 mil, mas utiliza apenas R$ 409 mil. Isso representa uma </w:t>
      </w:r>
      <w:r w:rsidRPr="00981A5F">
        <w:rPr>
          <w:b/>
          <w:bCs/>
        </w:rPr>
        <w:t>ociosidade forçada de capital de 25,4%</w:t>
      </w:r>
      <w:r w:rsidRPr="00981A5F">
        <w:t>, sobre a qual incide a taxa de 1,80% a.m., elevando exponencialmente o custo real.</w:t>
      </w:r>
    </w:p>
    <w:p w14:paraId="0226FE5F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5. Onerosidade Excessiva e "Over-collateralization"</w:t>
      </w:r>
    </w:p>
    <w:p w14:paraId="2CF94161" w14:textId="77777777" w:rsidR="00981A5F" w:rsidRPr="00981A5F" w:rsidRDefault="00981A5F" w:rsidP="00981A5F">
      <w:r w:rsidRPr="00981A5F">
        <w:t xml:space="preserve">A atuação da instituição financeira revela um mecanismo de </w:t>
      </w:r>
      <w:proofErr w:type="spellStart"/>
      <w:r w:rsidRPr="00981A5F">
        <w:t>sobreasseguração</w:t>
      </w:r>
      <w:proofErr w:type="spellEnd"/>
      <w:r w:rsidRPr="00981A5F">
        <w:t xml:space="preserve"> que fere o </w:t>
      </w:r>
      <w:r w:rsidRPr="00981A5F">
        <w:rPr>
          <w:b/>
          <w:bCs/>
        </w:rPr>
        <w:t>equilíbrio sinalagmático</w:t>
      </w:r>
      <w:r w:rsidRPr="00981A5F">
        <w:t xml:space="preserve"> (Art. 422 do Código Civil). O banco estruturou uma tripla camada de proteção que anula o risco de inadimplência:</w:t>
      </w:r>
    </w:p>
    <w:p w14:paraId="714DE8ED" w14:textId="77777777" w:rsidR="00981A5F" w:rsidRPr="00981A5F" w:rsidRDefault="00981A5F" w:rsidP="00981A5F">
      <w:pPr>
        <w:numPr>
          <w:ilvl w:val="0"/>
          <w:numId w:val="6"/>
        </w:numPr>
      </w:pPr>
      <w:r w:rsidRPr="00981A5F">
        <w:rPr>
          <w:b/>
          <w:bCs/>
        </w:rPr>
        <w:t>Garantia Real Líquida:</w:t>
      </w:r>
      <w:r w:rsidRPr="00981A5F">
        <w:t xml:space="preserve"> A cessão fiduciária de CDB (R$ 110.025,50) permite ao banco a execução imediata e o autopagamento em caso de mora.</w:t>
      </w:r>
    </w:p>
    <w:p w14:paraId="54EDAFE7" w14:textId="77777777" w:rsidR="00981A5F" w:rsidRPr="00981A5F" w:rsidRDefault="00981A5F" w:rsidP="00981A5F">
      <w:pPr>
        <w:numPr>
          <w:ilvl w:val="0"/>
          <w:numId w:val="6"/>
        </w:numPr>
      </w:pPr>
      <w:r w:rsidRPr="00981A5F">
        <w:rPr>
          <w:b/>
          <w:bCs/>
        </w:rPr>
        <w:t>Garantia Pessoal (Aval):</w:t>
      </w:r>
      <w:r w:rsidRPr="00981A5F">
        <w:t xml:space="preserve"> Responsabilidade solidária e ilimitada dos sócios, com renúncia ao benefício de ordem.</w:t>
      </w:r>
    </w:p>
    <w:p w14:paraId="3D8208A9" w14:textId="77777777" w:rsidR="00981A5F" w:rsidRPr="00981A5F" w:rsidRDefault="00981A5F" w:rsidP="00981A5F">
      <w:pPr>
        <w:numPr>
          <w:ilvl w:val="0"/>
          <w:numId w:val="6"/>
        </w:numPr>
      </w:pPr>
      <w:r w:rsidRPr="00981A5F">
        <w:rPr>
          <w:b/>
          <w:bCs/>
        </w:rPr>
        <w:t>Garantia Soberana (FGI PEAC):</w:t>
      </w:r>
      <w:r w:rsidRPr="00981A5F">
        <w:t xml:space="preserve"> Proteção pública gerida pelo BNDES que cobre até 80% do principal.</w:t>
      </w:r>
    </w:p>
    <w:p w14:paraId="409309C5" w14:textId="77777777" w:rsidR="00981A5F" w:rsidRPr="00981A5F" w:rsidRDefault="00981A5F" w:rsidP="00981A5F">
      <w:r w:rsidRPr="00981A5F">
        <w:t>Essa estratégia mitiga a totalidade do risco bancário. Entretanto, a taxa de juros de 1,80% a.m. é condizente com crédito sem garantia (</w:t>
      </w:r>
      <w:proofErr w:type="spellStart"/>
      <w:r w:rsidRPr="00981A5F">
        <w:rPr>
          <w:i/>
          <w:iCs/>
        </w:rPr>
        <w:t>unsecured</w:t>
      </w:r>
      <w:proofErr w:type="spellEnd"/>
      <w:r w:rsidRPr="00981A5F">
        <w:rPr>
          <w:i/>
          <w:iCs/>
        </w:rPr>
        <w:t xml:space="preserve"> </w:t>
      </w:r>
      <w:proofErr w:type="spellStart"/>
      <w:r w:rsidRPr="00981A5F">
        <w:rPr>
          <w:i/>
          <w:iCs/>
        </w:rPr>
        <w:t>loan</w:t>
      </w:r>
      <w:proofErr w:type="spellEnd"/>
      <w:r w:rsidRPr="00981A5F">
        <w:t xml:space="preserve">). Segundo a doutrina de finanças, a taxa de juros é o preço do risco; se o risco é zero (ou próximo disso), a manutenção de taxas elevadas configura </w:t>
      </w:r>
      <w:r w:rsidRPr="00981A5F">
        <w:rPr>
          <w:b/>
          <w:bCs/>
        </w:rPr>
        <w:t>enriquecimento sem causa</w:t>
      </w:r>
      <w:r w:rsidRPr="00981A5F">
        <w:t xml:space="preserve"> (Art. 884, CC).</w:t>
      </w:r>
    </w:p>
    <w:p w14:paraId="63EAA441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6. Dissecação Matemática: O Custo Efetivo Real (CET)</w:t>
      </w:r>
    </w:p>
    <w:p w14:paraId="3BAC3BB6" w14:textId="77777777" w:rsidR="00981A5F" w:rsidRPr="00981A5F" w:rsidRDefault="00981A5F" w:rsidP="00981A5F">
      <w:r w:rsidRPr="00981A5F">
        <w:t xml:space="preserve">A omissão do CET real retira a liquidez e a certeza do título executivo. Ao projetar o fluxo de 36 parcelas contra o valor líquido real (R$ 409.974,50), a </w:t>
      </w:r>
      <w:r w:rsidRPr="00981A5F">
        <w:rPr>
          <w:b/>
          <w:bCs/>
        </w:rPr>
        <w:t>Taxa Interna de Retorno (TIR)</w:t>
      </w:r>
      <w:r w:rsidRPr="00981A5F">
        <w:t xml:space="preserve"> converge para </w:t>
      </w:r>
      <w:r w:rsidRPr="00981A5F">
        <w:rPr>
          <w:b/>
          <w:bCs/>
        </w:rPr>
        <w:t>3,6266% a.m.</w:t>
      </w:r>
    </w:p>
    <w:p w14:paraId="597B96BF" w14:textId="77777777" w:rsidR="00981A5F" w:rsidRPr="00981A5F" w:rsidRDefault="00981A5F" w:rsidP="00981A5F">
      <w:r w:rsidRPr="00981A5F">
        <w:t xml:space="preserve">A sistemática demonstra que a instituição financeira transferiu um custo efetivo anual </w:t>
      </w:r>
      <w:r w:rsidRPr="00981A5F">
        <w:rPr>
          <w:b/>
          <w:bCs/>
        </w:rPr>
        <w:t>123% superior</w:t>
      </w:r>
      <w:r w:rsidRPr="00981A5F">
        <w:t xml:space="preserve"> à taxa nominal anunciada. Sob a ótica pericial, o contrato padece de vício de transparência, autorizando o recálculo da dívida aos parâmetros nominais sobre o capital efetivamente liberado.</w:t>
      </w:r>
    </w:p>
    <w:p w14:paraId="75531139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7. Análise de Mercado e Conformidade Normativa (</w:t>
      </w:r>
      <w:proofErr w:type="gramStart"/>
      <w:r w:rsidRPr="00981A5F">
        <w:rPr>
          <w:b/>
          <w:bCs/>
        </w:rPr>
        <w:t>Dezembro</w:t>
      </w:r>
      <w:proofErr w:type="gramEnd"/>
      <w:r w:rsidRPr="00981A5F">
        <w:rPr>
          <w:b/>
          <w:bCs/>
        </w:rPr>
        <w:t>/2024)</w:t>
      </w:r>
    </w:p>
    <w:p w14:paraId="0EC8B0DF" w14:textId="77777777" w:rsidR="00981A5F" w:rsidRPr="00981A5F" w:rsidRDefault="00981A5F" w:rsidP="00981A5F">
      <w:r w:rsidRPr="00981A5F">
        <w:t>A precificação de ativos de crédito deve observar o cenário macroeconômico. Em dezembro de 2024, a contratação ocorreu sob as seguintes balizas:</w:t>
      </w:r>
    </w:p>
    <w:p w14:paraId="4436038C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7.1. Benchmarks de Mercado vs. Taxa Pactuada</w:t>
      </w:r>
    </w:p>
    <w:p w14:paraId="6732F5F6" w14:textId="77777777" w:rsidR="00981A5F" w:rsidRPr="00981A5F" w:rsidRDefault="00981A5F" w:rsidP="00981A5F">
      <w:r w:rsidRPr="00981A5F">
        <w:lastRenderedPageBreak/>
        <w:t xml:space="preserve">Enquanto a Taxa Selic situava-se em 11,25% a.a., a média do Banco Central para capital de giro PJ era de </w:t>
      </w:r>
      <w:r w:rsidRPr="00981A5F">
        <w:rPr>
          <w:b/>
          <w:bCs/>
        </w:rPr>
        <w:t>1,49% a.m. (19,40% a.a.)</w:t>
      </w:r>
      <w:r w:rsidRPr="00981A5F">
        <w:t xml:space="preserve">. A taxa aplicada de 1,80% a.m. representa um desvio de </w:t>
      </w:r>
      <w:r w:rsidRPr="00981A5F">
        <w:rPr>
          <w:b/>
          <w:bCs/>
        </w:rPr>
        <w:t>20,8% acima da média de mercado</w:t>
      </w:r>
      <w:r w:rsidRPr="00981A5F">
        <w:t>.</w:t>
      </w:r>
    </w:p>
    <w:p w14:paraId="2912D1FC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7.2. O Limite do BNDES (Circular SUP/ADIG nº 33/2024)</w:t>
      </w:r>
    </w:p>
    <w:p w14:paraId="520E6E70" w14:textId="77777777" w:rsidR="00981A5F" w:rsidRPr="00981A5F" w:rsidRDefault="00981A5F" w:rsidP="00981A5F">
      <w:r w:rsidRPr="00981A5F">
        <w:t xml:space="preserve">As normas do FGI PEAC estabelecem que a taxa média das carteiras dos bancos operadoras não pode exceder </w:t>
      </w:r>
      <w:r w:rsidRPr="00981A5F">
        <w:rPr>
          <w:b/>
          <w:bCs/>
        </w:rPr>
        <w:t>1,75% ao mês</w:t>
      </w:r>
      <w:r w:rsidRPr="00981A5F">
        <w:t xml:space="preserve">. Ao praticar 1,80% em uma operação individual altamente garantida, o banco descumpre a diretriz de fomento, apropriando-se de um </w:t>
      </w:r>
      <w:r w:rsidRPr="00981A5F">
        <w:rPr>
          <w:i/>
          <w:iCs/>
        </w:rPr>
        <w:t>spread</w:t>
      </w:r>
      <w:r w:rsidRPr="00981A5F">
        <w:t xml:space="preserve"> predatório.</w:t>
      </w:r>
    </w:p>
    <w:p w14:paraId="0EAF99E1" w14:textId="77777777" w:rsidR="00981A5F" w:rsidRPr="00981A5F" w:rsidRDefault="00981A5F" w:rsidP="00981A5F">
      <w:pPr>
        <w:rPr>
          <w:lang w:val="en-US"/>
        </w:rPr>
      </w:pPr>
      <w:r w:rsidRPr="00981A5F">
        <w:rPr>
          <w:lang w:val="en-US"/>
        </w:rPr>
        <w:t>$$Spread_{</w:t>
      </w:r>
      <w:proofErr w:type="spellStart"/>
      <w:r w:rsidRPr="00981A5F">
        <w:rPr>
          <w:lang w:val="en-US"/>
        </w:rPr>
        <w:t>Excedente</w:t>
      </w:r>
      <w:proofErr w:type="spellEnd"/>
      <w:r w:rsidRPr="00981A5F">
        <w:rPr>
          <w:lang w:val="en-US"/>
        </w:rPr>
        <w:t xml:space="preserve">} = </w:t>
      </w:r>
      <w:proofErr w:type="spellStart"/>
      <w:r w:rsidRPr="00981A5F">
        <w:rPr>
          <w:lang w:val="en-US"/>
        </w:rPr>
        <w:t>i</w:t>
      </w:r>
      <w:proofErr w:type="spellEnd"/>
      <w:r w:rsidRPr="00981A5F">
        <w:rPr>
          <w:lang w:val="en-US"/>
        </w:rPr>
        <w:t xml:space="preserve">_{CCB} - </w:t>
      </w:r>
      <w:proofErr w:type="spellStart"/>
      <w:r w:rsidRPr="00981A5F">
        <w:rPr>
          <w:lang w:val="en-US"/>
        </w:rPr>
        <w:t>i</w:t>
      </w:r>
      <w:proofErr w:type="spellEnd"/>
      <w:r w:rsidRPr="00981A5F">
        <w:rPr>
          <w:lang w:val="en-US"/>
        </w:rPr>
        <w:t>_{Benchmark} = 1,80\% - 1,49\% = 0,31\%\ p.m.$$</w:t>
      </w:r>
    </w:p>
    <w:p w14:paraId="01AF0264" w14:textId="77777777" w:rsidR="00981A5F" w:rsidRPr="00981A5F" w:rsidRDefault="00981A5F" w:rsidP="00981A5F">
      <w:r w:rsidRPr="00981A5F">
        <w:t>Este diferencial, capitalizado ao longo de 36 meses, gera um prejuízo financeiro direto à empresa de dezenas de milhares de reais, sem qualquer justificativa técnica de risco.</w:t>
      </w:r>
    </w:p>
    <w:p w14:paraId="31FB6BE7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8. Fundamentação Legal e Temas do STJ</w:t>
      </w:r>
    </w:p>
    <w:p w14:paraId="156751E4" w14:textId="77777777" w:rsidR="00981A5F" w:rsidRPr="00981A5F" w:rsidRDefault="00981A5F" w:rsidP="00981A5F">
      <w:r w:rsidRPr="00981A5F">
        <w:t xml:space="preserve">O trabalho pericial é balizado pela jurisprudência do Superior Tribunal de Justiça, com destaque para o </w:t>
      </w:r>
      <w:r w:rsidRPr="00981A5F">
        <w:rPr>
          <w:b/>
          <w:bCs/>
        </w:rPr>
        <w:t>Tema Repetitivo 972</w:t>
      </w:r>
      <w:r w:rsidRPr="00981A5F">
        <w:t>:</w:t>
      </w:r>
    </w:p>
    <w:p w14:paraId="37BD618F" w14:textId="77777777" w:rsidR="00981A5F" w:rsidRPr="00981A5F" w:rsidRDefault="00981A5F" w:rsidP="00981A5F">
      <w:pPr>
        <w:numPr>
          <w:ilvl w:val="0"/>
          <w:numId w:val="7"/>
        </w:numPr>
      </w:pPr>
      <w:r w:rsidRPr="00981A5F">
        <w:rPr>
          <w:b/>
          <w:bCs/>
        </w:rPr>
        <w:t>Venda Casada de Seguro:</w:t>
      </w:r>
      <w:r w:rsidRPr="00981A5F">
        <w:t xml:space="preserve"> A ilegalidade reside na impossibilidade de escolha da seguradora pelo consumidor. Na CCB analisada, o prêmio de R$ 10.000,00 foi retido na fonte, com o banco figurando como beneficiário e estipulante, caracterizando a prática abusiva vedada pelo Art. 39, I, do CDC.</w:t>
      </w:r>
    </w:p>
    <w:p w14:paraId="77547A98" w14:textId="77777777" w:rsidR="00981A5F" w:rsidRPr="00981A5F" w:rsidRDefault="00981A5F" w:rsidP="00981A5F">
      <w:pPr>
        <w:numPr>
          <w:ilvl w:val="0"/>
          <w:numId w:val="7"/>
        </w:numPr>
      </w:pPr>
      <w:r w:rsidRPr="00981A5F">
        <w:rPr>
          <w:b/>
          <w:bCs/>
        </w:rPr>
        <w:t>Tarifa de Cadastro:</w:t>
      </w:r>
      <w:r w:rsidRPr="00981A5F">
        <w:t xml:space="preserve"> Embora válida no início do relacionamento, deve ser proporcional ao serviço. O valor de R$ 5.200,00 para uma operação de fomento é passível de questionamento por falta de razoabilidade.</w:t>
      </w:r>
    </w:p>
    <w:p w14:paraId="7EF01CA4" w14:textId="77777777" w:rsidR="00981A5F" w:rsidRPr="00981A5F" w:rsidRDefault="00981A5F" w:rsidP="00981A5F">
      <w:pPr>
        <w:numPr>
          <w:ilvl w:val="0"/>
          <w:numId w:val="7"/>
        </w:numPr>
      </w:pPr>
      <w:r w:rsidRPr="00981A5F">
        <w:rPr>
          <w:b/>
          <w:bCs/>
        </w:rPr>
        <w:t>Função Social e Boa-Fé (Arts. 421 e 422, CC):</w:t>
      </w:r>
      <w:r w:rsidRPr="00981A5F">
        <w:t xml:space="preserve"> O contrato de adesão não pode servir de escudo para práticas que inviabilizem a atividade empresarial do aderente.</w:t>
      </w:r>
    </w:p>
    <w:p w14:paraId="5C87B07E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9. Resultados da Revisão Pericial: O Modelo Retificado</w:t>
      </w:r>
    </w:p>
    <w:p w14:paraId="5C8AC7C9" w14:textId="77777777" w:rsidR="00981A5F" w:rsidRPr="00981A5F" w:rsidRDefault="00981A5F" w:rsidP="00981A5F">
      <w:r w:rsidRPr="00981A5F">
        <w:t>A intervenção técnica promove a substituição da estrutura de asfixia por um modelo de equilíbrio. O recálculo baseia-se no expurgo do seguro prestamista, na liberação do CDB fiduciário para abatimento do principal e na aplicação da taxa média de mercado (1,49% a.m.).</w:t>
      </w:r>
    </w:p>
    <w:p w14:paraId="531F4714" w14:textId="77777777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Comparativo de Resultados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2642"/>
        <w:gridCol w:w="3174"/>
        <w:gridCol w:w="2327"/>
      </w:tblGrid>
      <w:tr w:rsidR="00981A5F" w:rsidRPr="00981A5F" w14:paraId="6BD894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F6BB08" w14:textId="77777777" w:rsidR="00981A5F" w:rsidRPr="00981A5F" w:rsidRDefault="00981A5F" w:rsidP="00981A5F">
            <w:r w:rsidRPr="00981A5F">
              <w:rPr>
                <w:b/>
                <w:bCs/>
              </w:rPr>
              <w:t>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209E9" w14:textId="77777777" w:rsidR="00981A5F" w:rsidRPr="00981A5F" w:rsidRDefault="00981A5F" w:rsidP="00981A5F">
            <w:r w:rsidRPr="00981A5F">
              <w:rPr>
                <w:b/>
                <w:bCs/>
              </w:rPr>
              <w:t>Modelo Original (Banco)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F2E79E" w14:textId="77777777" w:rsidR="00981A5F" w:rsidRPr="00981A5F" w:rsidRDefault="00981A5F" w:rsidP="00981A5F">
            <w:r w:rsidRPr="00981A5F">
              <w:rPr>
                <w:b/>
                <w:bCs/>
              </w:rPr>
              <w:t>Modelo Periciado (Retificado)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AC662D" w14:textId="77777777" w:rsidR="00981A5F" w:rsidRPr="00981A5F" w:rsidRDefault="00981A5F" w:rsidP="00981A5F">
            <w:r w:rsidRPr="00981A5F">
              <w:rPr>
                <w:b/>
                <w:bCs/>
              </w:rPr>
              <w:t>Diferença/Economia</w:t>
            </w:r>
          </w:p>
        </w:tc>
      </w:tr>
      <w:tr w:rsidR="00981A5F" w:rsidRPr="00981A5F" w14:paraId="34665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BAF5E" w14:textId="77777777" w:rsidR="00981A5F" w:rsidRPr="00981A5F" w:rsidRDefault="00981A5F" w:rsidP="00981A5F">
            <w:r w:rsidRPr="00981A5F">
              <w:rPr>
                <w:b/>
                <w:bCs/>
              </w:rPr>
              <w:t>Principal 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13AE26" w14:textId="77777777" w:rsidR="00981A5F" w:rsidRPr="00981A5F" w:rsidRDefault="00981A5F" w:rsidP="00981A5F">
            <w:r w:rsidRPr="00981A5F">
              <w:t>R$ 550.127,52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CAB2A" w14:textId="77777777" w:rsidR="00981A5F" w:rsidRPr="00981A5F" w:rsidRDefault="00981A5F" w:rsidP="00981A5F">
            <w:r w:rsidRPr="00981A5F">
              <w:t>R$ 414.897,71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0F4F6A" w14:textId="77777777" w:rsidR="00981A5F" w:rsidRPr="00981A5F" w:rsidRDefault="00981A5F" w:rsidP="00981A5F">
            <w:r w:rsidRPr="00981A5F">
              <w:t>- 24,58%</w:t>
            </w:r>
          </w:p>
        </w:tc>
      </w:tr>
      <w:tr w:rsidR="00981A5F" w:rsidRPr="00981A5F" w14:paraId="30DF5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6EEFE" w14:textId="77777777" w:rsidR="00981A5F" w:rsidRPr="00981A5F" w:rsidRDefault="00981A5F" w:rsidP="00981A5F">
            <w:r w:rsidRPr="00981A5F">
              <w:rPr>
                <w:b/>
                <w:bCs/>
              </w:rPr>
              <w:t>Taxa de Juros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B66B5" w14:textId="77777777" w:rsidR="00981A5F" w:rsidRPr="00981A5F" w:rsidRDefault="00981A5F" w:rsidP="00981A5F">
            <w:r w:rsidRPr="00981A5F">
              <w:t>1,80% a.m.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FFED4" w14:textId="77777777" w:rsidR="00981A5F" w:rsidRPr="00981A5F" w:rsidRDefault="00981A5F" w:rsidP="00981A5F">
            <w:r w:rsidRPr="00981A5F">
              <w:t>1,49% a.m.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CFD306" w14:textId="77777777" w:rsidR="00981A5F" w:rsidRPr="00981A5F" w:rsidRDefault="00981A5F" w:rsidP="00981A5F">
            <w:r w:rsidRPr="00981A5F">
              <w:t>- 17,22%</w:t>
            </w:r>
          </w:p>
        </w:tc>
      </w:tr>
      <w:tr w:rsidR="00981A5F" w:rsidRPr="00981A5F" w14:paraId="47012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379D9" w14:textId="77777777" w:rsidR="00981A5F" w:rsidRPr="00981A5F" w:rsidRDefault="00981A5F" w:rsidP="00981A5F">
            <w:r w:rsidRPr="00981A5F">
              <w:rPr>
                <w:b/>
                <w:bCs/>
              </w:rPr>
              <w:lastRenderedPageBreak/>
              <w:t>Custo Total do Plano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63B9E" w14:textId="77777777" w:rsidR="00981A5F" w:rsidRPr="00981A5F" w:rsidRDefault="00981A5F" w:rsidP="00981A5F">
            <w:r w:rsidRPr="00981A5F">
              <w:t>R$ 765.948,49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A08AD" w14:textId="77777777" w:rsidR="00981A5F" w:rsidRPr="00981A5F" w:rsidRDefault="00981A5F" w:rsidP="00981A5F">
            <w:r w:rsidRPr="00981A5F">
              <w:t>R$ 551.036,02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AB8B05" w14:textId="77777777" w:rsidR="00981A5F" w:rsidRPr="00981A5F" w:rsidRDefault="00981A5F" w:rsidP="00981A5F">
            <w:r w:rsidRPr="00981A5F">
              <w:t>R$ 214.912,47</w:t>
            </w:r>
          </w:p>
        </w:tc>
      </w:tr>
    </w:tbl>
    <w:p w14:paraId="11FBC11C" w14:textId="77777777" w:rsidR="00981A5F" w:rsidRDefault="00981A5F" w:rsidP="00981A5F">
      <w:r w:rsidRPr="00981A5F">
        <w:t xml:space="preserve">A eliminação do diferimento de juros na carência e o ajuste da base de cálculo resultam em uma economia de </w:t>
      </w:r>
      <w:r w:rsidRPr="00981A5F">
        <w:rPr>
          <w:b/>
          <w:bCs/>
        </w:rPr>
        <w:t>28,06%</w:t>
      </w:r>
      <w:r w:rsidRPr="00981A5F">
        <w:t xml:space="preserve"> sobre o valor total planejado pelo banco, devolvendo a viabilidade ao fluxo de caixa da empresa.</w:t>
      </w:r>
    </w:p>
    <w:p w14:paraId="235AF3A8" w14:textId="2406636C" w:rsidR="00981A5F" w:rsidRPr="00981A5F" w:rsidRDefault="00981A5F" w:rsidP="00981A5F">
      <w:pPr>
        <w:rPr>
          <w:b/>
          <w:bCs/>
        </w:rPr>
      </w:pPr>
      <w:r>
        <w:rPr>
          <w:b/>
          <w:bCs/>
        </w:rPr>
        <w:t>10</w:t>
      </w:r>
      <w:r w:rsidRPr="00981A5F">
        <w:rPr>
          <w:b/>
          <w:bCs/>
        </w:rPr>
        <w:t>. Análise de Mercado e Conformidade Normativa: A Captura do Benefício Público</w:t>
      </w:r>
    </w:p>
    <w:p w14:paraId="7342337E" w14:textId="77777777" w:rsidR="00981A5F" w:rsidRPr="00981A5F" w:rsidRDefault="00981A5F" w:rsidP="00981A5F">
      <w:r w:rsidRPr="00981A5F">
        <w:t xml:space="preserve">A precificação de ativos de crédito no sistema financeiro nacional deve, obrigatoriamente, observar o binômio risco-retorno. No âmbito de programas de fomento governamental, como o Programa Emergencial de Acesso a Crédito (FGI PEAC), este equilíbrio é tutelado por normas cogentes que visam garantir que o benefício da mitigação do risco estatal seja transferido ao tomador final, e não apropriado integralmente pela instituição financeira sob a forma de </w:t>
      </w:r>
      <w:r w:rsidRPr="00981A5F">
        <w:rPr>
          <w:i/>
          <w:iCs/>
        </w:rPr>
        <w:t>spread</w:t>
      </w:r>
      <w:r w:rsidRPr="00981A5F">
        <w:t xml:space="preserve"> excedente.</w:t>
      </w:r>
    </w:p>
    <w:p w14:paraId="4DBE6335" w14:textId="08931D14" w:rsidR="00981A5F" w:rsidRPr="00981A5F" w:rsidRDefault="00981A5F" w:rsidP="00981A5F">
      <w:pPr>
        <w:rPr>
          <w:b/>
          <w:bCs/>
        </w:rPr>
      </w:pPr>
      <w:r>
        <w:rPr>
          <w:b/>
          <w:bCs/>
        </w:rPr>
        <w:t>10</w:t>
      </w:r>
      <w:r w:rsidRPr="00981A5F">
        <w:rPr>
          <w:b/>
          <w:bCs/>
        </w:rPr>
        <w:t>.1. O Cenário Macroeconômico de Dezembro de 2024</w:t>
      </w:r>
    </w:p>
    <w:p w14:paraId="1BF0BA9A" w14:textId="77777777" w:rsidR="00981A5F" w:rsidRPr="00981A5F" w:rsidRDefault="00981A5F" w:rsidP="00981A5F">
      <w:r w:rsidRPr="00981A5F">
        <w:t>A contratação da CCB nº 0000042554-7 ocorreu sob um cenário de política monetária restritiva, com a Taxa Selic fixada em 11,25% a.a. No entanto, para o segmento de crédito a Pessoas Jurídicas (Capital de Giro), as taxas médias de mercado apuradas pelo Banco Central do Brasil (BCB) apresentavam-se significativamente inferiores à pactuada neste instrumento.</w:t>
      </w:r>
    </w:p>
    <w:p w14:paraId="7D337152" w14:textId="77777777" w:rsidR="00981A5F" w:rsidRPr="00981A5F" w:rsidRDefault="00981A5F" w:rsidP="00981A5F">
      <w:r w:rsidRPr="00981A5F">
        <w:t xml:space="preserve">Enquanto a média do Sistema Financeiro Nacional (SFN) para operações de capital de giro livre orbitava em </w:t>
      </w:r>
      <w:r w:rsidRPr="00981A5F">
        <w:rPr>
          <w:b/>
          <w:bCs/>
        </w:rPr>
        <w:t>1,49% a.m. (19,40% a.a.)</w:t>
      </w:r>
      <w:r w:rsidRPr="00981A5F">
        <w:t xml:space="preserve">, a taxa imposta ao mutuário foi de </w:t>
      </w:r>
      <w:r w:rsidRPr="00981A5F">
        <w:rPr>
          <w:b/>
          <w:bCs/>
        </w:rPr>
        <w:t>1,80% a.m. (23,87% a.a.)</w:t>
      </w:r>
      <w:r w:rsidRPr="00981A5F">
        <w:t xml:space="preserve">. Esta diferença de 31 pontos base mensais representa, em termos relativos, um custo </w:t>
      </w:r>
      <w:r w:rsidRPr="00981A5F">
        <w:rPr>
          <w:b/>
          <w:bCs/>
        </w:rPr>
        <w:t>20,8% superior à média de mercado</w:t>
      </w:r>
      <w:r w:rsidRPr="00981A5F">
        <w:t>, o que é tecnicamente incompatível com uma operação que goza de garantia soberana do FGI.</w:t>
      </w:r>
    </w:p>
    <w:p w14:paraId="398F4CA7" w14:textId="7B5690E3" w:rsidR="00981A5F" w:rsidRPr="00981A5F" w:rsidRDefault="00981A5F" w:rsidP="00981A5F">
      <w:pPr>
        <w:rPr>
          <w:b/>
          <w:bCs/>
        </w:rPr>
      </w:pPr>
      <w:r>
        <w:rPr>
          <w:b/>
          <w:bCs/>
        </w:rPr>
        <w:t>10</w:t>
      </w:r>
      <w:r w:rsidRPr="00981A5F">
        <w:rPr>
          <w:b/>
          <w:bCs/>
        </w:rPr>
        <w:t>.2. A Violação do Limite Normativo do BNDES</w:t>
      </w:r>
    </w:p>
    <w:p w14:paraId="497C71DE" w14:textId="77777777" w:rsidR="00981A5F" w:rsidRPr="00981A5F" w:rsidRDefault="00981A5F" w:rsidP="00981A5F">
      <w:r w:rsidRPr="00981A5F">
        <w:t xml:space="preserve">O FGI PEAC é regido por Circulares do BNDES que impõem condições estritas de rentabilidade aos agentes financeiros. Conforme a </w:t>
      </w:r>
      <w:r w:rsidRPr="00981A5F">
        <w:rPr>
          <w:b/>
          <w:bCs/>
        </w:rPr>
        <w:t>Circular SUP/ADIG nº 33/2024-BNDES</w:t>
      </w:r>
      <w:r w:rsidRPr="00981A5F">
        <w:t xml:space="preserve">, a taxa de juros média praticada na carteira de cada instituição não pode exceder </w:t>
      </w:r>
      <w:r w:rsidRPr="00981A5F">
        <w:rPr>
          <w:b/>
          <w:bCs/>
        </w:rPr>
        <w:t>1,75% ao mês</w:t>
      </w:r>
      <w:r w:rsidRPr="00981A5F">
        <w:t>.</w:t>
      </w:r>
    </w:p>
    <w:p w14:paraId="46292B43" w14:textId="77777777" w:rsidR="00981A5F" w:rsidRPr="00981A5F" w:rsidRDefault="00981A5F" w:rsidP="00981A5F">
      <w:r w:rsidRPr="00981A5F">
        <w:t>A aplicação individual de uma taxa de 1,80% a.m. em uma operação de baixíssimo risco sistêmico — devido à tripla garantia acumulada (FGI, CDB Fiduciário e Aval) — evidencia uma estratégia de maximização de margem em detrimento da finalidade social do programa. O perito deve observar que a taxa média do programa é um limitador de conduta; ao ultrapassá-la em uma operação específica, a instituição financeira rompe com a premissa de "fomento" para atuar em regime de "lucratividade predatória".</w:t>
      </w:r>
    </w:p>
    <w:p w14:paraId="346D8C79" w14:textId="0EB331D2" w:rsidR="00981A5F" w:rsidRPr="00981A5F" w:rsidRDefault="00981A5F" w:rsidP="00981A5F">
      <w:pPr>
        <w:rPr>
          <w:b/>
          <w:bCs/>
        </w:rPr>
      </w:pPr>
      <w:r>
        <w:rPr>
          <w:b/>
          <w:bCs/>
        </w:rPr>
        <w:t>10</w:t>
      </w:r>
      <w:r w:rsidRPr="00981A5F">
        <w:rPr>
          <w:b/>
          <w:bCs/>
        </w:rPr>
        <w:t>.3. O Cálculo do Spread e a Ineficiência do Capital</w:t>
      </w:r>
    </w:p>
    <w:p w14:paraId="69B2BD58" w14:textId="77777777" w:rsidR="00981A5F" w:rsidRPr="00981A5F" w:rsidRDefault="00981A5F" w:rsidP="00981A5F">
      <w:r w:rsidRPr="00981A5F">
        <w:lastRenderedPageBreak/>
        <w:t xml:space="preserve">A análise pericial demonstra que a instituição financeira capturou o "subsídio de risco" oferecido pelo Governo Federal. Matematicamente, o </w:t>
      </w:r>
      <w:r w:rsidRPr="00981A5F">
        <w:rPr>
          <w:i/>
          <w:iCs/>
        </w:rPr>
        <w:t>spread</w:t>
      </w:r>
      <w:r w:rsidRPr="00981A5F">
        <w:t xml:space="preserve"> da operação pode ser decomposto na seguinte fórmula:</w:t>
      </w:r>
    </w:p>
    <w:p w14:paraId="0916CC70" w14:textId="77777777" w:rsidR="00981A5F" w:rsidRPr="00981A5F" w:rsidRDefault="00981A5F" w:rsidP="00981A5F">
      <w:r w:rsidRPr="00981A5F">
        <w:t>$$Spread = i_{pactuada} - (i_{</w:t>
      </w:r>
      <w:proofErr w:type="spellStart"/>
      <w:r w:rsidRPr="00981A5F">
        <w:t>selic</w:t>
      </w:r>
      <w:proofErr w:type="spellEnd"/>
      <w:r w:rsidRPr="00981A5F">
        <w:t>} + i_{custo\ operacional} + i_{risco\ residual})$$</w:t>
      </w:r>
    </w:p>
    <w:p w14:paraId="4AAD94A4" w14:textId="77777777" w:rsidR="00981A5F" w:rsidRPr="00981A5F" w:rsidRDefault="00981A5F" w:rsidP="00981A5F">
      <w:r w:rsidRPr="00981A5F">
        <w:t xml:space="preserve">Considerando que o risco residual para o banco é próximo de zero (dada a garantia de 80% do FGI e a trava de 20% em CDB líquido), o </w:t>
      </w:r>
      <w:r w:rsidRPr="00981A5F">
        <w:rPr>
          <w:i/>
          <w:iCs/>
        </w:rPr>
        <w:t>spread</w:t>
      </w:r>
      <w:r w:rsidRPr="00981A5F">
        <w:t xml:space="preserve"> líquido apropriado pelo banco é desproporcional. A tabela abaixo confronta os indicadores: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7"/>
        <w:gridCol w:w="1944"/>
        <w:gridCol w:w="3014"/>
        <w:gridCol w:w="1706"/>
      </w:tblGrid>
      <w:tr w:rsidR="00981A5F" w:rsidRPr="00981A5F" w14:paraId="49BE4A74" w14:textId="77777777" w:rsidTr="003D66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C3B03" w14:textId="77777777" w:rsidR="00981A5F" w:rsidRPr="00981A5F" w:rsidRDefault="00981A5F" w:rsidP="003D6623">
            <w:r w:rsidRPr="00981A5F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096FD" w14:textId="77777777" w:rsidR="00981A5F" w:rsidRPr="00981A5F" w:rsidRDefault="00981A5F" w:rsidP="003D6623">
            <w:r w:rsidRPr="00981A5F">
              <w:rPr>
                <w:b/>
                <w:bCs/>
              </w:rPr>
              <w:t>Taxa Contratual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D4AE5" w14:textId="77777777" w:rsidR="00981A5F" w:rsidRPr="00981A5F" w:rsidRDefault="00981A5F" w:rsidP="003D6623">
            <w:r w:rsidRPr="00981A5F">
              <w:rPr>
                <w:b/>
                <w:bCs/>
              </w:rPr>
              <w:t>Benchmark (BCB/BNDES)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FEF308" w14:textId="77777777" w:rsidR="00981A5F" w:rsidRPr="00981A5F" w:rsidRDefault="00981A5F" w:rsidP="003D6623">
            <w:r w:rsidRPr="00981A5F">
              <w:rPr>
                <w:b/>
                <w:bCs/>
              </w:rPr>
              <w:t>Desvio Técnico</w:t>
            </w:r>
          </w:p>
        </w:tc>
      </w:tr>
      <w:tr w:rsidR="00981A5F" w:rsidRPr="00981A5F" w14:paraId="4159586E" w14:textId="77777777" w:rsidTr="003D6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B2819" w14:textId="77777777" w:rsidR="00981A5F" w:rsidRPr="00981A5F" w:rsidRDefault="00981A5F" w:rsidP="003D6623">
            <w:r w:rsidRPr="00981A5F">
              <w:t>Taxa de Juros Mensal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E0666" w14:textId="77777777" w:rsidR="00981A5F" w:rsidRPr="00981A5F" w:rsidRDefault="00981A5F" w:rsidP="003D6623">
            <w:r w:rsidRPr="00981A5F">
              <w:t>1,80%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83D30" w14:textId="77777777" w:rsidR="00981A5F" w:rsidRPr="00981A5F" w:rsidRDefault="00981A5F" w:rsidP="003D6623">
            <w:r w:rsidRPr="00981A5F">
              <w:t>1,49%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034E0" w14:textId="77777777" w:rsidR="00981A5F" w:rsidRPr="00981A5F" w:rsidRDefault="00981A5F" w:rsidP="003D6623">
            <w:r w:rsidRPr="00981A5F">
              <w:t>+20,8%</w:t>
            </w:r>
          </w:p>
        </w:tc>
      </w:tr>
      <w:tr w:rsidR="00981A5F" w:rsidRPr="00981A5F" w14:paraId="17FC8328" w14:textId="77777777" w:rsidTr="003D6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252E6" w14:textId="77777777" w:rsidR="00981A5F" w:rsidRPr="00981A5F" w:rsidRDefault="00981A5F" w:rsidP="003D6623">
            <w:r w:rsidRPr="00981A5F">
              <w:t>Taxa de Juros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2FA5A" w14:textId="77777777" w:rsidR="00981A5F" w:rsidRPr="00981A5F" w:rsidRDefault="00981A5F" w:rsidP="003D6623">
            <w:r w:rsidRPr="00981A5F">
              <w:t>23,87%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B1C66" w14:textId="77777777" w:rsidR="00981A5F" w:rsidRPr="00981A5F" w:rsidRDefault="00981A5F" w:rsidP="003D6623">
            <w:r w:rsidRPr="00981A5F">
              <w:t>19,40%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5D3664" w14:textId="77777777" w:rsidR="00981A5F" w:rsidRPr="00981A5F" w:rsidRDefault="00981A5F" w:rsidP="003D6623">
            <w:r w:rsidRPr="00981A5F">
              <w:t>+23,0%</w:t>
            </w:r>
          </w:p>
        </w:tc>
      </w:tr>
      <w:tr w:rsidR="00981A5F" w:rsidRPr="00981A5F" w14:paraId="67815A19" w14:textId="77777777" w:rsidTr="003D6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04D6D" w14:textId="77777777" w:rsidR="00981A5F" w:rsidRPr="00981A5F" w:rsidRDefault="00981A5F" w:rsidP="003D6623">
            <w:r w:rsidRPr="00981A5F">
              <w:t>Custo Efetivo Total (CET)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73BC5" w14:textId="77777777" w:rsidR="00981A5F" w:rsidRPr="00981A5F" w:rsidRDefault="00981A5F" w:rsidP="003D6623">
            <w:r w:rsidRPr="00981A5F">
              <w:t>3,62%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CC0FE" w14:textId="77777777" w:rsidR="00981A5F" w:rsidRPr="00981A5F" w:rsidRDefault="00981A5F" w:rsidP="003D6623">
            <w:r w:rsidRPr="00981A5F">
              <w:t>1,75% (Teto Médio)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B4B49B" w14:textId="77777777" w:rsidR="00981A5F" w:rsidRPr="00981A5F" w:rsidRDefault="00981A5F" w:rsidP="003D6623">
            <w:r w:rsidRPr="00981A5F">
              <w:t>+106,8%</w:t>
            </w:r>
          </w:p>
        </w:tc>
      </w:tr>
    </w:tbl>
    <w:p w14:paraId="686A6F56" w14:textId="77777777" w:rsidR="00981A5F" w:rsidRPr="00981A5F" w:rsidRDefault="00981A5F" w:rsidP="00981A5F">
      <w:r w:rsidRPr="00981A5F">
        <w:t>A elevação do CET para 3,62% a.m. decorre da inclusão de tarifas administrativas e, crucialmente, da retenção de liquidez forçada. Sob a ótica pericial, o custo real da operação para a empresa é mais do que o dobro do teto médio sugerido pelo BNDES para o programa.</w:t>
      </w:r>
    </w:p>
    <w:p w14:paraId="563E128E" w14:textId="1EF6657A" w:rsidR="00981A5F" w:rsidRPr="00981A5F" w:rsidRDefault="00981A5F" w:rsidP="00981A5F">
      <w:pPr>
        <w:rPr>
          <w:b/>
          <w:bCs/>
        </w:rPr>
      </w:pPr>
      <w:r>
        <w:rPr>
          <w:b/>
          <w:bCs/>
        </w:rPr>
        <w:t>10</w:t>
      </w:r>
      <w:r w:rsidRPr="00981A5F">
        <w:rPr>
          <w:b/>
          <w:bCs/>
        </w:rPr>
        <w:t>.4. Implicações Jurídicas: Onerosidade e Boa-Fé</w:t>
      </w:r>
    </w:p>
    <w:p w14:paraId="265AA309" w14:textId="77777777" w:rsidR="00981A5F" w:rsidRPr="00981A5F" w:rsidRDefault="00981A5F" w:rsidP="00981A5F">
      <w:r w:rsidRPr="00981A5F">
        <w:t xml:space="preserve">O descumprimento dos balizadores de mercado e das normas do BNDES autoriza a revisão da cláusula de juros com base no </w:t>
      </w:r>
      <w:r w:rsidRPr="00981A5F">
        <w:rPr>
          <w:b/>
          <w:bCs/>
        </w:rPr>
        <w:t>Art. 421-A, inciso II, do Código Civil</w:t>
      </w:r>
      <w:r w:rsidRPr="00981A5F">
        <w:t xml:space="preserve">, que prevê a revisão contratual em casos de parâmetros objetivos não observados. Além disso, o </w:t>
      </w:r>
      <w:r w:rsidRPr="00981A5F">
        <w:rPr>
          <w:b/>
          <w:bCs/>
        </w:rPr>
        <w:t>Tema Repetitivo 972 do STJ</w:t>
      </w:r>
      <w:r w:rsidRPr="00981A5F">
        <w:t xml:space="preserve"> e a </w:t>
      </w:r>
      <w:r w:rsidRPr="00981A5F">
        <w:rPr>
          <w:b/>
          <w:bCs/>
        </w:rPr>
        <w:t>Súmula 297</w:t>
      </w:r>
      <w:r w:rsidRPr="00981A5F">
        <w:t>, que submete as instituições financeiras ao Código de Defesa do Consumidor (CDC), reforçam a necessidade de equilíbrio.</w:t>
      </w:r>
    </w:p>
    <w:p w14:paraId="7E2D54C0" w14:textId="77777777" w:rsidR="00981A5F" w:rsidRPr="00981A5F" w:rsidRDefault="00981A5F" w:rsidP="00981A5F">
      <w:r w:rsidRPr="00981A5F">
        <w:t xml:space="preserve">A imposição de uma taxa acima da média de mercado em um produto de fomento configura </w:t>
      </w:r>
      <w:r w:rsidRPr="00981A5F">
        <w:rPr>
          <w:b/>
          <w:bCs/>
        </w:rPr>
        <w:t>venda casada reversa</w:t>
      </w:r>
      <w:r w:rsidRPr="00981A5F">
        <w:t xml:space="preserve"> e </w:t>
      </w:r>
      <w:r w:rsidRPr="00981A5F">
        <w:rPr>
          <w:b/>
          <w:bCs/>
        </w:rPr>
        <w:t>abuso do poder econômico</w:t>
      </w:r>
      <w:r w:rsidRPr="00981A5F">
        <w:t>, uma vez que a empresa, necessitando de liquidez emergencial, aceita condições leoninas por falta de alternativa em linhas de fomento que deveriam ser acessíveis e baratas.</w:t>
      </w:r>
    </w:p>
    <w:p w14:paraId="2C194AB4" w14:textId="48E8B56F" w:rsidR="00981A5F" w:rsidRPr="00981A5F" w:rsidRDefault="00981A5F" w:rsidP="00981A5F">
      <w:pPr>
        <w:rPr>
          <w:b/>
          <w:bCs/>
        </w:rPr>
      </w:pPr>
      <w:r>
        <w:rPr>
          <w:b/>
          <w:bCs/>
        </w:rPr>
        <w:t>11</w:t>
      </w:r>
      <w:r w:rsidRPr="00981A5F">
        <w:rPr>
          <w:b/>
          <w:bCs/>
        </w:rPr>
        <w:t>. Metodologia de Recálculo Proposta</w:t>
      </w:r>
    </w:p>
    <w:p w14:paraId="6153A618" w14:textId="77777777" w:rsidR="00981A5F" w:rsidRPr="00981A5F" w:rsidRDefault="00981A5F" w:rsidP="00981A5F">
      <w:r w:rsidRPr="00981A5F">
        <w:t xml:space="preserve">Diante da abusividade técnica detectada, a perícia recomenda a substituição da taxa de 1,80% a.m. pela </w:t>
      </w:r>
      <w:r w:rsidRPr="00981A5F">
        <w:rPr>
          <w:b/>
          <w:bCs/>
        </w:rPr>
        <w:t>Taxa Média de Mercado para Capital de Giro (PJ)</w:t>
      </w:r>
      <w:r w:rsidRPr="00981A5F">
        <w:t xml:space="preserve"> divulgada pelo Banco Central para dezembro de 2024 (1,49% a.m.), ou, subsidiariamente, a aplicação do teto de carteira do BNDES (1,75% a.m.), expurgando-se as capitalizações sobre valores não liberados (CDB fiduciário).</w:t>
      </w:r>
    </w:p>
    <w:p w14:paraId="6117C43A" w14:textId="77777777" w:rsidR="00981A5F" w:rsidRPr="00981A5F" w:rsidRDefault="00981A5F" w:rsidP="00981A5F">
      <w:r w:rsidRPr="00981A5F">
        <w:t>Esta retificação não apenas reduz o saldo devedor, mas restaura a função econômica da Cédula de Crédito Bancário, transformando-a de um instrumento de insolvência em um veículo legítimo de desenvolvimento empresarial.</w:t>
      </w:r>
    </w:p>
    <w:p w14:paraId="71E96F2D" w14:textId="77777777" w:rsidR="00981A5F" w:rsidRPr="00981A5F" w:rsidRDefault="00981A5F" w:rsidP="00981A5F"/>
    <w:p w14:paraId="022C0486" w14:textId="6D573C9E" w:rsidR="00981A5F" w:rsidRPr="00981A5F" w:rsidRDefault="00981A5F" w:rsidP="00981A5F">
      <w:pPr>
        <w:rPr>
          <w:b/>
          <w:bCs/>
        </w:rPr>
      </w:pPr>
      <w:r w:rsidRPr="00981A5F">
        <w:rPr>
          <w:b/>
          <w:bCs/>
        </w:rPr>
        <w:t>1</w:t>
      </w:r>
      <w:r>
        <w:rPr>
          <w:b/>
          <w:bCs/>
        </w:rPr>
        <w:t>1</w:t>
      </w:r>
      <w:r w:rsidRPr="00981A5F">
        <w:rPr>
          <w:b/>
          <w:bCs/>
        </w:rPr>
        <w:t>. Conclusão</w:t>
      </w:r>
    </w:p>
    <w:p w14:paraId="6DB648BE" w14:textId="77777777" w:rsidR="00981A5F" w:rsidRPr="00981A5F" w:rsidRDefault="00981A5F" w:rsidP="00981A5F">
      <w:r w:rsidRPr="00981A5F">
        <w:t>A perícia financeira técnico-científica em contratos vinculados ao FGI PEAC demonstra que o suporte técnico é indispensável para restaurar o sinalagma contratual. A operação analisada é um arquétipo de como a assimetria informacional pode desvirtuar políticas públicas de fomento.</w:t>
      </w:r>
    </w:p>
    <w:p w14:paraId="0511867C" w14:textId="77777777" w:rsidR="00981A5F" w:rsidRPr="00981A5F" w:rsidRDefault="00981A5F" w:rsidP="00981A5F">
      <w:r w:rsidRPr="00981A5F">
        <w:t>O saldo devedor retificado reflete a realidade do capital efetivamente disponibilizado. A prova pericial, fundamentada no rigor das ciências administrativas e contábeis, não é um mero exercício matemático, mas um instrumento ético-jurídico que garante a sobrevivência das unidades produtivas frente ao poderio econômico das instituições financeiras. O perito, como auxiliar da justiça, cumpre o papel de tradutor da verdade financeira, permitindo que a sentença judicial se aproxime da justiça equitativa.</w:t>
      </w:r>
    </w:p>
    <w:p w14:paraId="0C60E4FE" w14:textId="77777777" w:rsidR="00981A5F" w:rsidRPr="00981A5F" w:rsidRDefault="00000000" w:rsidP="00981A5F">
      <w:r>
        <w:pict w14:anchorId="01AE1681">
          <v:rect id="_x0000_i1027" style="width:0;height:1.5pt" o:hralign="center" o:hrstd="t" o:hrnoshade="t" o:hr="t" fillcolor="gray" stroked="f"/>
        </w:pict>
      </w:r>
    </w:p>
    <w:p w14:paraId="7C3DA29C" w14:textId="77777777" w:rsidR="00981A5F" w:rsidRPr="00981A5F" w:rsidRDefault="00981A5F" w:rsidP="00981A5F">
      <w:r w:rsidRPr="00981A5F">
        <w:rPr>
          <w:i/>
          <w:iCs/>
        </w:rPr>
        <w:t>Este artigo serve de guia para magistrados, advogados e peritos na compreensão da anatomia de fraudes financeiras em contratos de adesão.</w:t>
      </w:r>
    </w:p>
    <w:p w14:paraId="10BC8A9C" w14:textId="77777777" w:rsidR="00CF747A" w:rsidRDefault="00CF747A"/>
    <w:sectPr w:rsidR="00CF747A" w:rsidSect="00F768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2E0"/>
    <w:multiLevelType w:val="multilevel"/>
    <w:tmpl w:val="280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C1CD5"/>
    <w:multiLevelType w:val="multilevel"/>
    <w:tmpl w:val="BD5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44D16"/>
    <w:multiLevelType w:val="multilevel"/>
    <w:tmpl w:val="F572D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E75A2"/>
    <w:multiLevelType w:val="multilevel"/>
    <w:tmpl w:val="3B6C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03795"/>
    <w:multiLevelType w:val="multilevel"/>
    <w:tmpl w:val="027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B342C"/>
    <w:multiLevelType w:val="multilevel"/>
    <w:tmpl w:val="52C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F47F8"/>
    <w:multiLevelType w:val="multilevel"/>
    <w:tmpl w:val="51DA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612321">
    <w:abstractNumId w:val="3"/>
  </w:num>
  <w:num w:numId="2" w16cid:durableId="1462727716">
    <w:abstractNumId w:val="6"/>
  </w:num>
  <w:num w:numId="3" w16cid:durableId="1948736559">
    <w:abstractNumId w:val="5"/>
  </w:num>
  <w:num w:numId="4" w16cid:durableId="905843271">
    <w:abstractNumId w:val="4"/>
  </w:num>
  <w:num w:numId="5" w16cid:durableId="2022122255">
    <w:abstractNumId w:val="2"/>
  </w:num>
  <w:num w:numId="6" w16cid:durableId="1635793022">
    <w:abstractNumId w:val="1"/>
  </w:num>
  <w:num w:numId="7" w16cid:durableId="204440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A"/>
    <w:rsid w:val="007C5791"/>
    <w:rsid w:val="00981A5F"/>
    <w:rsid w:val="00A34507"/>
    <w:rsid w:val="00CF747A"/>
    <w:rsid w:val="00E40976"/>
    <w:rsid w:val="00EB56F5"/>
    <w:rsid w:val="00F7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A806F"/>
  <w15:chartTrackingRefBased/>
  <w15:docId w15:val="{E48AD03E-11A1-480C-8903-E5CC32A5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4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4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4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4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4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4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2260</Words>
  <Characters>12525</Characters>
  <Application>Microsoft Office Word</Application>
  <DocSecurity>0</DocSecurity>
  <Lines>244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5</cp:revision>
  <dcterms:created xsi:type="dcterms:W3CDTF">2026-04-03T23:47:00Z</dcterms:created>
  <dcterms:modified xsi:type="dcterms:W3CDTF">2026-04-04T01:48:00Z</dcterms:modified>
</cp:coreProperties>
</file>