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60534519" w:rsidR="007C08EF" w:rsidRDefault="001C6419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1C6419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Checklist Conformidade com a Lei 14.9052024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60534519" w:rsidR="007C08EF" w:rsidRDefault="001C6419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1C6419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Checklist Conformidade com a Lei 14.9052024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7A76D6AA" w14:textId="77777777" w:rsidR="001C6419" w:rsidRPr="001C6419" w:rsidRDefault="001C6419" w:rsidP="002D18E2">
      <w:pPr>
        <w:pStyle w:val="Ttulo1"/>
        <w:spacing w:after="120"/>
      </w:pPr>
      <w:r w:rsidRPr="001C6419">
        <w:rPr>
          <w:rFonts w:ascii="Segoe UI Emoji" w:hAnsi="Segoe UI Emoji" w:cs="Segoe UI Emoji"/>
        </w:rPr>
        <w:lastRenderedPageBreak/>
        <w:t>📑</w:t>
      </w:r>
      <w:r w:rsidRPr="001C6419">
        <w:t xml:space="preserve"> Checklist: Conformidade de Cálculos com a Lei 14.905/2024</w:t>
      </w:r>
    </w:p>
    <w:p w14:paraId="3C164320" w14:textId="77777777" w:rsidR="001C6419" w:rsidRPr="001C6419" w:rsidRDefault="001C6419" w:rsidP="002D18E2">
      <w:pPr>
        <w:spacing w:after="120"/>
        <w:ind w:firstLine="0"/>
      </w:pPr>
      <w:r w:rsidRPr="001C6419">
        <w:rPr>
          <w:b/>
          <w:bCs/>
        </w:rPr>
        <w:t>Material Exclusivo para Advogados e Peritos</w:t>
      </w:r>
      <w:r w:rsidRPr="001C6419">
        <w:t xml:space="preserve"> </w:t>
      </w:r>
      <w:r w:rsidRPr="001C6419">
        <w:rPr>
          <w:b/>
          <w:bCs/>
        </w:rPr>
        <w:t>Responsável Técnico:</w:t>
      </w:r>
      <w:r w:rsidRPr="001C6419">
        <w:t xml:space="preserve"> Dr. Lincoln Sposito (Doutor em Administração e Analista de Sistemas)</w:t>
      </w:r>
    </w:p>
    <w:p w14:paraId="3D19F6C5" w14:textId="77777777" w:rsidR="001C6419" w:rsidRPr="001C6419" w:rsidRDefault="001C6419" w:rsidP="002D18E2">
      <w:pPr>
        <w:spacing w:after="120"/>
        <w:ind w:firstLine="0"/>
      </w:pPr>
      <w:r w:rsidRPr="001C6419">
        <w:pict w14:anchorId="074DD084">
          <v:rect id="_x0000_i1074" style="width:0;height:1.5pt" o:hralign="center" o:hrstd="t" o:hrnoshade="t" o:hr="t" fillcolor="gray" stroked="f"/>
        </w:pict>
      </w:r>
    </w:p>
    <w:p w14:paraId="281CBCBC" w14:textId="77777777" w:rsidR="001C6419" w:rsidRPr="001C6419" w:rsidRDefault="001C6419" w:rsidP="002D18E2">
      <w:pPr>
        <w:pStyle w:val="Ttulo2"/>
        <w:spacing w:after="120"/>
      </w:pPr>
      <w:r w:rsidRPr="001C6419">
        <w:t>Objetivo do Material</w:t>
      </w:r>
    </w:p>
    <w:p w14:paraId="7181319D" w14:textId="77777777" w:rsidR="001C6419" w:rsidRPr="001C6419" w:rsidRDefault="001C6419" w:rsidP="002D18E2">
      <w:pPr>
        <w:spacing w:after="120"/>
        <w:ind w:firstLine="0"/>
      </w:pPr>
      <w:r w:rsidRPr="001C6419">
        <w:t xml:space="preserve">Este checklist serve como guia para a auditoria de memórias de cálculo em processos de </w:t>
      </w:r>
      <w:r w:rsidRPr="001C6419">
        <w:rPr>
          <w:b/>
          <w:bCs/>
        </w:rPr>
        <w:t>financiamento</w:t>
      </w:r>
      <w:r w:rsidRPr="001C6419">
        <w:t xml:space="preserve"> (veículos, imóveis e empresarial) e liquidações de sentença, visando identificar erros materiais na aplicação do novo regime de juros e correção monetária estabelecido pela Lei 14.905/2024.</w:t>
      </w:r>
    </w:p>
    <w:p w14:paraId="04595285" w14:textId="77777777" w:rsidR="001C6419" w:rsidRPr="001C6419" w:rsidRDefault="001C6419" w:rsidP="002D18E2">
      <w:pPr>
        <w:spacing w:after="120"/>
        <w:ind w:firstLine="0"/>
      </w:pPr>
      <w:r w:rsidRPr="001C6419">
        <w:pict w14:anchorId="4F45092E">
          <v:rect id="_x0000_i1075" style="width:0;height:1.5pt" o:hralign="center" o:hrstd="t" o:hrnoshade="t" o:hr="t" fillcolor="gray" stroked="f"/>
        </w:pict>
      </w:r>
    </w:p>
    <w:p w14:paraId="71BF5CCE" w14:textId="77777777" w:rsidR="001C6419" w:rsidRPr="001C6419" w:rsidRDefault="001C6419" w:rsidP="002D18E2">
      <w:pPr>
        <w:pStyle w:val="Ttulo2"/>
        <w:spacing w:after="120"/>
      </w:pPr>
      <w:r w:rsidRPr="001C6419">
        <w:t>I. Verificações de Admissibilidade e Marco Temporal</w:t>
      </w:r>
    </w:p>
    <w:p w14:paraId="55583648" w14:textId="77777777" w:rsidR="001C6419" w:rsidRPr="001C6419" w:rsidRDefault="001C6419" w:rsidP="002D18E2">
      <w:pPr>
        <w:numPr>
          <w:ilvl w:val="0"/>
          <w:numId w:val="19"/>
        </w:numPr>
        <w:spacing w:after="120"/>
      </w:pPr>
      <w:r w:rsidRPr="001C6419">
        <w:t xml:space="preserve">[ ] </w:t>
      </w:r>
      <w:r w:rsidRPr="001C6419">
        <w:rPr>
          <w:b/>
          <w:bCs/>
        </w:rPr>
        <w:t>Convenção de Taxa:</w:t>
      </w:r>
      <w:r w:rsidRPr="001C6419">
        <w:t xml:space="preserve"> O contrato original possui taxa de juros de mora expressa e válida?</w:t>
      </w:r>
    </w:p>
    <w:p w14:paraId="34275447" w14:textId="77777777" w:rsidR="001C6419" w:rsidRPr="001C6419" w:rsidRDefault="001C6419" w:rsidP="002D18E2">
      <w:pPr>
        <w:numPr>
          <w:ilvl w:val="1"/>
          <w:numId w:val="19"/>
        </w:numPr>
        <w:spacing w:after="120"/>
      </w:pPr>
      <w:r w:rsidRPr="001C6419">
        <w:rPr>
          <w:i/>
          <w:iCs/>
        </w:rPr>
        <w:t>Nota: Se não houver convenção, a aplicação da regra Selic deduzida do IPCA é mandatória conforme o novo Art. 406 do Código Civil.</w:t>
      </w:r>
    </w:p>
    <w:p w14:paraId="63D905C0" w14:textId="77777777" w:rsidR="001C6419" w:rsidRPr="001C6419" w:rsidRDefault="001C6419" w:rsidP="002D18E2">
      <w:pPr>
        <w:numPr>
          <w:ilvl w:val="0"/>
          <w:numId w:val="19"/>
        </w:numPr>
        <w:spacing w:after="120"/>
      </w:pPr>
      <w:r w:rsidRPr="001C6419">
        <w:t xml:space="preserve">[ ] </w:t>
      </w:r>
      <w:r w:rsidRPr="001C6419">
        <w:rPr>
          <w:b/>
          <w:bCs/>
        </w:rPr>
        <w:t>Vigência da Lei:</w:t>
      </w:r>
      <w:r w:rsidRPr="001C6419">
        <w:t xml:space="preserve"> A memória de cálculo respeita a data de início da vigência da Lei 14.905/2024 para a transição dos índices?</w:t>
      </w:r>
    </w:p>
    <w:p w14:paraId="17BE8E6A" w14:textId="77777777" w:rsidR="001C6419" w:rsidRPr="001C6419" w:rsidRDefault="001C6419" w:rsidP="002D18E2">
      <w:pPr>
        <w:numPr>
          <w:ilvl w:val="0"/>
          <w:numId w:val="19"/>
        </w:numPr>
        <w:spacing w:after="120"/>
      </w:pPr>
      <w:r w:rsidRPr="001C6419">
        <w:t xml:space="preserve">[ ] </w:t>
      </w:r>
      <w:r w:rsidRPr="001C6419">
        <w:rPr>
          <w:b/>
          <w:bCs/>
        </w:rPr>
        <w:t>Harmonização Cambial:</w:t>
      </w:r>
      <w:r w:rsidRPr="001C6419">
        <w:t xml:space="preserve"> Em contratos com moeda estrangeira, foi verificada a nova permissividade legal para correção cambial em setores específicos?</w:t>
      </w:r>
    </w:p>
    <w:p w14:paraId="046A2F0F" w14:textId="77777777" w:rsidR="001C6419" w:rsidRPr="001C6419" w:rsidRDefault="001C6419" w:rsidP="002D18E2">
      <w:pPr>
        <w:spacing w:after="120"/>
        <w:ind w:firstLine="0"/>
      </w:pPr>
      <w:r w:rsidRPr="001C6419">
        <w:pict w14:anchorId="267E1084">
          <v:rect id="_x0000_i1076" style="width:0;height:1.5pt" o:hralign="center" o:hrstd="t" o:hrnoshade="t" o:hr="t" fillcolor="gray" stroked="f"/>
        </w:pict>
      </w:r>
    </w:p>
    <w:p w14:paraId="789C0EEA" w14:textId="77777777" w:rsidR="001C6419" w:rsidRPr="001C6419" w:rsidRDefault="001C6419" w:rsidP="002D18E2">
      <w:pPr>
        <w:pStyle w:val="Ttulo2"/>
        <w:spacing w:after="120"/>
      </w:pPr>
      <w:r w:rsidRPr="001C6419">
        <w:t>II. Auditoria da Metodologia de Cálculo (Juros e Correção)</w:t>
      </w:r>
    </w:p>
    <w:p w14:paraId="15F51741" w14:textId="77777777" w:rsidR="001C6419" w:rsidRPr="001C6419" w:rsidRDefault="001C6419" w:rsidP="002D18E2">
      <w:pPr>
        <w:numPr>
          <w:ilvl w:val="0"/>
          <w:numId w:val="20"/>
        </w:numPr>
        <w:spacing w:after="120"/>
      </w:pPr>
      <w:r w:rsidRPr="001C6419">
        <w:t xml:space="preserve">[ ] </w:t>
      </w:r>
      <w:r w:rsidRPr="001C6419">
        <w:rPr>
          <w:b/>
          <w:bCs/>
        </w:rPr>
        <w:t>Aplicação da Regra de Ouro (Selic - IPCA):</w:t>
      </w:r>
      <w:r w:rsidRPr="001C6419">
        <w:t xml:space="preserve"> A taxa de juros de mora utilizada correspondeu à Taxa Selic deduzida da atualização monetária (IPCA)?</w:t>
      </w:r>
    </w:p>
    <w:p w14:paraId="7689CFFB" w14:textId="77777777" w:rsidR="001C6419" w:rsidRPr="001C6419" w:rsidRDefault="001C6419" w:rsidP="002D18E2">
      <w:pPr>
        <w:numPr>
          <w:ilvl w:val="1"/>
          <w:numId w:val="20"/>
        </w:numPr>
        <w:spacing w:after="120"/>
      </w:pPr>
      <w:r w:rsidRPr="001C6419">
        <w:rPr>
          <w:rFonts w:ascii="Segoe UI Emoji" w:hAnsi="Segoe UI Emoji" w:cs="Segoe UI Emoji"/>
          <w:i/>
          <w:iCs/>
        </w:rPr>
        <w:t>🚨</w:t>
      </w:r>
      <w:r w:rsidRPr="001C6419">
        <w:rPr>
          <w:i/>
          <w:iCs/>
        </w:rPr>
        <w:t xml:space="preserve"> Alerta de Erro Comum: A aplicação de 1% ao mês de forma fixa é o erro material mais frequente em 2026 e deve ser objeto de impugnação imediata.</w:t>
      </w:r>
    </w:p>
    <w:p w14:paraId="1FFCD94E" w14:textId="77777777" w:rsidR="001C6419" w:rsidRPr="001C6419" w:rsidRDefault="001C6419" w:rsidP="002D18E2">
      <w:pPr>
        <w:numPr>
          <w:ilvl w:val="0"/>
          <w:numId w:val="20"/>
        </w:numPr>
        <w:spacing w:after="120"/>
      </w:pPr>
      <w:r w:rsidRPr="001C6419">
        <w:t xml:space="preserve">[ ] </w:t>
      </w:r>
      <w:r w:rsidRPr="001C6419">
        <w:rPr>
          <w:b/>
          <w:bCs/>
        </w:rPr>
        <w:t>Índice de Correção Monetária:</w:t>
      </w:r>
      <w:r w:rsidRPr="001C6419">
        <w:t xml:space="preserve"> Foi utilizado o IPCA para a atualização?</w:t>
      </w:r>
    </w:p>
    <w:p w14:paraId="42294866" w14:textId="77777777" w:rsidR="001C6419" w:rsidRPr="001C6419" w:rsidRDefault="001C6419" w:rsidP="002D18E2">
      <w:pPr>
        <w:numPr>
          <w:ilvl w:val="1"/>
          <w:numId w:val="20"/>
        </w:numPr>
        <w:spacing w:after="120"/>
      </w:pPr>
      <w:r w:rsidRPr="001C6419">
        <w:rPr>
          <w:i/>
          <w:iCs/>
        </w:rPr>
        <w:t>Cuidado: O uso de TR, INPC ou IGP-M em períodos regidos pela nova lei, sem previsão contratual específica, gera excesso de execução.</w:t>
      </w:r>
    </w:p>
    <w:p w14:paraId="44CB3A56" w14:textId="77777777" w:rsidR="001C6419" w:rsidRPr="001C6419" w:rsidRDefault="001C6419" w:rsidP="002D18E2">
      <w:pPr>
        <w:numPr>
          <w:ilvl w:val="0"/>
          <w:numId w:val="20"/>
        </w:numPr>
        <w:spacing w:after="120"/>
      </w:pPr>
      <w:r w:rsidRPr="001C6419">
        <w:t xml:space="preserve">[ ] </w:t>
      </w:r>
      <w:r w:rsidRPr="001C6419">
        <w:rPr>
          <w:b/>
          <w:bCs/>
        </w:rPr>
        <w:t>Verificação do "Piso Zero":</w:t>
      </w:r>
      <w:r w:rsidRPr="001C6419">
        <w:t xml:space="preserve"> Em meses </w:t>
      </w:r>
      <w:proofErr w:type="gramStart"/>
      <w:r w:rsidRPr="001C6419">
        <w:t>onde</w:t>
      </w:r>
      <w:proofErr w:type="gramEnd"/>
      <w:r w:rsidRPr="001C6419">
        <w:t xml:space="preserve"> a inflação (IPCA) foi superior à Taxa Selic, os juros de mora foram zerados?</w:t>
      </w:r>
    </w:p>
    <w:p w14:paraId="4389C172" w14:textId="77777777" w:rsidR="001C6419" w:rsidRPr="001C6419" w:rsidRDefault="001C6419" w:rsidP="002D18E2">
      <w:pPr>
        <w:numPr>
          <w:ilvl w:val="1"/>
          <w:numId w:val="20"/>
        </w:numPr>
        <w:spacing w:after="120"/>
      </w:pPr>
      <w:r w:rsidRPr="001C6419">
        <w:rPr>
          <w:i/>
          <w:iCs/>
        </w:rPr>
        <w:lastRenderedPageBreak/>
        <w:t>Ponto Crítico: A lei proíbe juros negativos, mas impede a cumulação de juros quando a Selic é "engolida" pela inflação. Somar juros nestes períodos é ilegal.</w:t>
      </w:r>
    </w:p>
    <w:p w14:paraId="16CF01D7" w14:textId="77777777" w:rsidR="001C6419" w:rsidRPr="001C6419" w:rsidRDefault="001C6419" w:rsidP="002D18E2">
      <w:pPr>
        <w:spacing w:after="120"/>
        <w:ind w:firstLine="0"/>
      </w:pPr>
      <w:r w:rsidRPr="001C6419">
        <w:pict w14:anchorId="4D4C5385">
          <v:rect id="_x0000_i1077" style="width:0;height:1.5pt" o:hralign="center" o:hrstd="t" o:hrnoshade="t" o:hr="t" fillcolor="gray" stroked="f"/>
        </w:pict>
      </w:r>
    </w:p>
    <w:p w14:paraId="1E865D44" w14:textId="77777777" w:rsidR="001C6419" w:rsidRPr="001C6419" w:rsidRDefault="001C6419" w:rsidP="002D18E2">
      <w:pPr>
        <w:pStyle w:val="Ttulo2"/>
        <w:spacing w:after="120"/>
      </w:pPr>
      <w:r w:rsidRPr="001C6419">
        <w:t>III. Engenharia de Dados e Integridade das Fontes</w:t>
      </w:r>
    </w:p>
    <w:p w14:paraId="23B4AA1C" w14:textId="77777777" w:rsidR="001C6419" w:rsidRPr="001C6419" w:rsidRDefault="001C6419" w:rsidP="002D18E2">
      <w:pPr>
        <w:numPr>
          <w:ilvl w:val="0"/>
          <w:numId w:val="21"/>
        </w:numPr>
        <w:spacing w:after="120"/>
      </w:pPr>
      <w:r w:rsidRPr="001C6419">
        <w:t xml:space="preserve">[ ] </w:t>
      </w:r>
      <w:r w:rsidRPr="001C6419">
        <w:rPr>
          <w:b/>
          <w:bCs/>
        </w:rPr>
        <w:t>Fontes Oficiais:</w:t>
      </w:r>
      <w:r w:rsidRPr="001C6419">
        <w:t xml:space="preserve"> Os índices (Selic e IPCA) foram extraídos diretamente das APIs oficiais do Banco Central (BACEN) e do IBGE?</w:t>
      </w:r>
    </w:p>
    <w:p w14:paraId="64EEB4AF" w14:textId="77777777" w:rsidR="001C6419" w:rsidRPr="001C6419" w:rsidRDefault="001C6419" w:rsidP="002D18E2">
      <w:pPr>
        <w:numPr>
          <w:ilvl w:val="0"/>
          <w:numId w:val="21"/>
        </w:numPr>
        <w:spacing w:after="120"/>
      </w:pPr>
      <w:r w:rsidRPr="001C6419">
        <w:t xml:space="preserve">[ ] </w:t>
      </w:r>
      <w:r w:rsidRPr="001C6419">
        <w:rPr>
          <w:b/>
          <w:bCs/>
        </w:rPr>
        <w:t>Parametrização Mensal:</w:t>
      </w:r>
      <w:r w:rsidRPr="001C6419">
        <w:t xml:space="preserve"> O cálculo foi realizado de forma parametrizada (mês a mês) ou baseou-se em acumulados genéricos que podem mascarar o impacto do Piso Zero?</w:t>
      </w:r>
    </w:p>
    <w:p w14:paraId="3496867A" w14:textId="77777777" w:rsidR="001C6419" w:rsidRPr="001C6419" w:rsidRDefault="001C6419" w:rsidP="002D18E2">
      <w:pPr>
        <w:spacing w:after="120"/>
        <w:ind w:firstLine="0"/>
      </w:pPr>
      <w:r w:rsidRPr="001C6419">
        <w:pict w14:anchorId="042CFEAB">
          <v:rect id="_x0000_i1078" style="width:0;height:1.5pt" o:hralign="center" o:hrstd="t" o:hrnoshade="t" o:hr="t" fillcolor="gray" stroked="f"/>
        </w:pict>
      </w:r>
    </w:p>
    <w:p w14:paraId="0DB1B530" w14:textId="77777777" w:rsidR="001C6419" w:rsidRPr="001C6419" w:rsidRDefault="001C6419" w:rsidP="002D18E2">
      <w:pPr>
        <w:pStyle w:val="Ttulo2"/>
        <w:spacing w:after="120"/>
      </w:pPr>
      <w:r w:rsidRPr="001C6419">
        <w:t>IV. Estratégia de Quesitos para Perícia Judicial</w:t>
      </w:r>
    </w:p>
    <w:p w14:paraId="7580B51F" w14:textId="77777777" w:rsidR="001C6419" w:rsidRPr="001C6419" w:rsidRDefault="001C6419" w:rsidP="002D18E2">
      <w:pPr>
        <w:spacing w:after="120"/>
        <w:ind w:firstLine="0"/>
      </w:pPr>
      <w:r w:rsidRPr="001C6419">
        <w:t>Ao identificar inconsistências no checklist acima, utilize estes quesitos estratégicos:</w:t>
      </w:r>
    </w:p>
    <w:p w14:paraId="65B1596D" w14:textId="77777777" w:rsidR="001C6419" w:rsidRPr="001C6419" w:rsidRDefault="001C6419" w:rsidP="002D18E2">
      <w:pPr>
        <w:numPr>
          <w:ilvl w:val="0"/>
          <w:numId w:val="22"/>
        </w:numPr>
        <w:spacing w:after="120"/>
      </w:pPr>
      <w:r w:rsidRPr="001C6419">
        <w:t>Queira o Sr. Perito informar se a memória de cálculo apresentada observa a dedução mensal do IPCA sobre a Taxa Selic, conforme imperativo da Lei 14.905/2024?</w:t>
      </w:r>
    </w:p>
    <w:p w14:paraId="5FC08B7A" w14:textId="77777777" w:rsidR="001C6419" w:rsidRPr="001C6419" w:rsidRDefault="001C6419" w:rsidP="002D18E2">
      <w:pPr>
        <w:numPr>
          <w:ilvl w:val="0"/>
          <w:numId w:val="22"/>
        </w:numPr>
        <w:spacing w:after="120"/>
      </w:pPr>
      <w:r w:rsidRPr="001C6419">
        <w:t>Queira o Sr. Perito verificar se nos meses em que o IPCA superou a Selic foi aplicado o "Piso Zero", ou se houve incidência indevida de juros?</w:t>
      </w:r>
    </w:p>
    <w:p w14:paraId="78B3C233" w14:textId="77777777" w:rsidR="001C6419" w:rsidRPr="001C6419" w:rsidRDefault="001C6419" w:rsidP="002D18E2">
      <w:pPr>
        <w:numPr>
          <w:ilvl w:val="0"/>
          <w:numId w:val="22"/>
        </w:numPr>
        <w:spacing w:after="120"/>
      </w:pPr>
      <w:r w:rsidRPr="001C6419">
        <w:t>Queira o Sr. Perito confirmar se os índices de correção possuem lastro legal ou se há cumulação indevida com a Taxa Selic?</w:t>
      </w:r>
    </w:p>
    <w:p w14:paraId="232E1A89" w14:textId="77777777" w:rsidR="001C6419" w:rsidRPr="001C6419" w:rsidRDefault="001C6419" w:rsidP="002D18E2">
      <w:pPr>
        <w:numPr>
          <w:ilvl w:val="0"/>
          <w:numId w:val="22"/>
        </w:numPr>
        <w:spacing w:after="120"/>
      </w:pPr>
      <w:r w:rsidRPr="001C6419">
        <w:t>Queira o Sr. Perito esclarecer se a extração dos dados foi realizada através de fontes oficiais de forma parametrizada?</w:t>
      </w:r>
    </w:p>
    <w:p w14:paraId="3ABCC4EC" w14:textId="77777777" w:rsidR="001C6419" w:rsidRPr="001C6419" w:rsidRDefault="001C6419" w:rsidP="002D18E2">
      <w:pPr>
        <w:numPr>
          <w:ilvl w:val="0"/>
          <w:numId w:val="22"/>
        </w:numPr>
        <w:spacing w:after="120"/>
      </w:pPr>
      <w:r w:rsidRPr="001C6419">
        <w:t>Queira o Sr. Perito apontar o excesso de execução apurado caso o cálculo seja refeito sob a metodologia auditada da Lei 14.905/24?</w:t>
      </w:r>
    </w:p>
    <w:p w14:paraId="76DB72B0" w14:textId="77777777" w:rsidR="001C6419" w:rsidRPr="001C6419" w:rsidRDefault="001C6419" w:rsidP="002D18E2">
      <w:pPr>
        <w:spacing w:after="120"/>
        <w:ind w:firstLine="0"/>
      </w:pPr>
      <w:r w:rsidRPr="001C6419">
        <w:pict w14:anchorId="4D32A86F">
          <v:rect id="_x0000_i1079" style="width:0;height:1.5pt" o:hralign="center" o:hrstd="t" o:hrnoshade="t" o:hr="t" fillcolor="gray" stroked="f"/>
        </w:pict>
      </w:r>
    </w:p>
    <w:p w14:paraId="5BCBCBC9" w14:textId="77777777" w:rsidR="001C6419" w:rsidRPr="001C6419" w:rsidRDefault="001C6419" w:rsidP="002D18E2">
      <w:pPr>
        <w:spacing w:after="120"/>
        <w:ind w:firstLine="0"/>
        <w:rPr>
          <w:b/>
          <w:bCs/>
        </w:rPr>
      </w:pPr>
      <w:r w:rsidRPr="001C6419">
        <w:rPr>
          <w:b/>
          <w:bCs/>
        </w:rPr>
        <w:t>Nota Técnica do Auditor</w:t>
      </w:r>
    </w:p>
    <w:p w14:paraId="3455D5FB" w14:textId="77777777" w:rsidR="001C6419" w:rsidRPr="001C6419" w:rsidRDefault="001C6419" w:rsidP="002D18E2">
      <w:pPr>
        <w:spacing w:after="120"/>
        <w:ind w:firstLine="0"/>
      </w:pPr>
      <w:r w:rsidRPr="001C6419">
        <w:t xml:space="preserve">Como Doutor em Administração e Analista de Sistemas, reforço que a aplicação desta lei exige uma </w:t>
      </w:r>
      <w:r w:rsidRPr="001C6419">
        <w:rPr>
          <w:b/>
          <w:bCs/>
        </w:rPr>
        <w:t>Engenharia de Dados</w:t>
      </w:r>
      <w:r w:rsidRPr="001C6419">
        <w:t xml:space="preserve"> que peritos comuns e tabelas de contadoria judicial muitas vezes ignoram. A identificação do erro material no cálculo de juros pode reduzir passivos de financiamentos em níveis drásticos, garantindo o real equilíbrio econômico do contrato.</w:t>
      </w:r>
    </w:p>
    <w:p w14:paraId="5BFED09A" w14:textId="77777777" w:rsidR="001C6419" w:rsidRPr="001C6419" w:rsidRDefault="001C6419" w:rsidP="002D18E2">
      <w:pPr>
        <w:spacing w:after="120"/>
        <w:ind w:firstLine="0"/>
      </w:pPr>
      <w:r w:rsidRPr="001C6419">
        <w:pict w14:anchorId="2B747AA6">
          <v:rect id="_x0000_i1080" style="width:0;height:1.5pt" o:hralign="center" o:hrstd="t" o:hrnoshade="t" o:hr="t" fillcolor="gray" stroked="f"/>
        </w:pict>
      </w:r>
    </w:p>
    <w:p w14:paraId="69F7C8DC" w14:textId="77777777" w:rsidR="001C6419" w:rsidRPr="001C6419" w:rsidRDefault="001C6419" w:rsidP="002D18E2">
      <w:pPr>
        <w:spacing w:after="120"/>
        <w:ind w:firstLine="0"/>
      </w:pPr>
      <w:r w:rsidRPr="001C6419">
        <w:rPr>
          <w:b/>
          <w:bCs/>
        </w:rPr>
        <w:t>Precisa de um Parecer Técnico ou Auditoria Especializada?</w:t>
      </w:r>
    </w:p>
    <w:p w14:paraId="61E199AE" w14:textId="77777777" w:rsidR="001C6419" w:rsidRPr="001C6419" w:rsidRDefault="001C6419" w:rsidP="002D18E2">
      <w:pPr>
        <w:spacing w:after="120"/>
        <w:ind w:firstLine="0"/>
      </w:pPr>
      <w:r w:rsidRPr="001C6419">
        <w:t>Entre em contato para fundamentar sua impugnação com a verdade matemática.</w:t>
      </w:r>
    </w:p>
    <w:p w14:paraId="26D1886C" w14:textId="77777777" w:rsidR="001C6419" w:rsidRPr="001C6419" w:rsidRDefault="001C6419" w:rsidP="002D18E2">
      <w:pPr>
        <w:spacing w:after="120"/>
        <w:ind w:firstLine="0"/>
      </w:pPr>
      <w:r w:rsidRPr="001C6419">
        <w:rPr>
          <w:rFonts w:ascii="Segoe UI Emoji" w:hAnsi="Segoe UI Emoji" w:cs="Segoe UI Emoji"/>
        </w:rPr>
        <w:t>🌐</w:t>
      </w:r>
      <w:r w:rsidRPr="001C6419">
        <w:t xml:space="preserve"> </w:t>
      </w:r>
      <w:hyperlink r:id="rId9" w:tgtFrame="_blank" w:history="1">
        <w:r w:rsidRPr="001C6419">
          <w:rPr>
            <w:rStyle w:val="Hyperlink"/>
          </w:rPr>
          <w:t>sposito.github.io/</w:t>
        </w:r>
        <w:proofErr w:type="spellStart"/>
        <w:r w:rsidRPr="001C6419">
          <w:rPr>
            <w:rStyle w:val="Hyperlink"/>
          </w:rPr>
          <w:t>pericia.judicial</w:t>
        </w:r>
        <w:proofErr w:type="spellEnd"/>
        <w:r w:rsidRPr="001C6419">
          <w:rPr>
            <w:rStyle w:val="Hyperlink"/>
          </w:rPr>
          <w:t>/</w:t>
        </w:r>
      </w:hyperlink>
    </w:p>
    <w:p w14:paraId="4F6B5367" w14:textId="0943BBDA" w:rsidR="001C6419" w:rsidRPr="001C6419" w:rsidRDefault="001C6419" w:rsidP="002D18E2">
      <w:pPr>
        <w:spacing w:after="120"/>
        <w:ind w:firstLine="0"/>
      </w:pPr>
      <w:r w:rsidRPr="001C6419">
        <w:rPr>
          <w:rFonts w:ascii="Segoe UI Emoji" w:hAnsi="Segoe UI Emoji" w:cs="Segoe UI Emoji"/>
        </w:rPr>
        <w:t>📧</w:t>
      </w:r>
      <w:r w:rsidRPr="001C6419">
        <w:t xml:space="preserve"> </w:t>
      </w:r>
      <w:r>
        <w:t>Lincoln.sposito</w:t>
      </w:r>
      <w:r w:rsidRPr="001C6419">
        <w:t>@linspti.com.br</w:t>
      </w:r>
    </w:p>
    <w:p w14:paraId="06399437" w14:textId="77777777" w:rsidR="001C6419" w:rsidRDefault="001C6419" w:rsidP="007A259C">
      <w:pPr>
        <w:ind w:firstLine="0"/>
      </w:pPr>
    </w:p>
    <w:p w14:paraId="2AEC8F17" w14:textId="77777777" w:rsidR="001C6419" w:rsidRDefault="001C6419" w:rsidP="007A259C">
      <w:pPr>
        <w:ind w:firstLine="0"/>
      </w:pPr>
    </w:p>
    <w:p w14:paraId="29868F42" w14:textId="77777777" w:rsidR="001C6419" w:rsidRDefault="001C6419" w:rsidP="007A259C">
      <w:pPr>
        <w:ind w:firstLine="0"/>
      </w:pPr>
    </w:p>
    <w:p w14:paraId="3EE3CB97" w14:textId="77777777" w:rsidR="002D18E2" w:rsidRDefault="002D18E2" w:rsidP="007A259C">
      <w:pPr>
        <w:ind w:firstLine="0"/>
      </w:pPr>
    </w:p>
    <w:p w14:paraId="3C7603A2" w14:textId="77777777" w:rsidR="002D18E2" w:rsidRDefault="002D18E2" w:rsidP="007A259C">
      <w:pPr>
        <w:ind w:firstLine="0"/>
      </w:pPr>
    </w:p>
    <w:p w14:paraId="4D85F287" w14:textId="77777777" w:rsidR="002D18E2" w:rsidRDefault="002D18E2" w:rsidP="007A259C">
      <w:pPr>
        <w:ind w:firstLine="0"/>
      </w:pPr>
    </w:p>
    <w:p w14:paraId="75E131A8" w14:textId="77777777" w:rsidR="001C6419" w:rsidRDefault="001C6419" w:rsidP="007A259C">
      <w:pPr>
        <w:ind w:firstLine="0"/>
      </w:pPr>
    </w:p>
    <w:p w14:paraId="7D09AAB8" w14:textId="77777777" w:rsidR="001C6419" w:rsidRDefault="001C6419" w:rsidP="007A259C">
      <w:pPr>
        <w:ind w:firstLine="0"/>
      </w:pPr>
    </w:p>
    <w:p w14:paraId="252F0E3E" w14:textId="77777777" w:rsidR="001C6419" w:rsidRDefault="001C6419" w:rsidP="007A259C">
      <w:pPr>
        <w:ind w:firstLine="0"/>
      </w:pPr>
    </w:p>
    <w:p w14:paraId="18A4030D" w14:textId="77777777" w:rsidR="001C6419" w:rsidRDefault="001C6419" w:rsidP="007A259C">
      <w:pPr>
        <w:ind w:firstLine="0"/>
      </w:pPr>
    </w:p>
    <w:p w14:paraId="4B04BCCC" w14:textId="77777777" w:rsidR="001C6419" w:rsidRDefault="001C6419" w:rsidP="007A259C">
      <w:pPr>
        <w:ind w:firstLine="0"/>
      </w:pPr>
    </w:p>
    <w:p w14:paraId="17BE1B89" w14:textId="77777777" w:rsidR="001C6419" w:rsidRDefault="001C6419" w:rsidP="007A259C">
      <w:pPr>
        <w:ind w:firstLine="0"/>
      </w:pPr>
    </w:p>
    <w:p w14:paraId="09591656" w14:textId="77777777" w:rsidR="001C6419" w:rsidRDefault="001C6419" w:rsidP="007A259C">
      <w:pPr>
        <w:ind w:firstLine="0"/>
      </w:pPr>
    </w:p>
    <w:p w14:paraId="46E51D23" w14:textId="77777777" w:rsidR="001C6419" w:rsidRDefault="001C6419" w:rsidP="007A259C">
      <w:pPr>
        <w:ind w:firstLine="0"/>
      </w:pPr>
    </w:p>
    <w:p w14:paraId="10E5750A" w14:textId="77777777" w:rsidR="001C6419" w:rsidRDefault="001C6419" w:rsidP="007A259C">
      <w:pPr>
        <w:ind w:firstLine="0"/>
      </w:pPr>
    </w:p>
    <w:p w14:paraId="0485C31E" w14:textId="77777777" w:rsidR="001C6419" w:rsidRDefault="001C6419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05812C04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6B20B08C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0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DA1F" w14:textId="77777777" w:rsidR="00EE347F" w:rsidRDefault="00EE347F" w:rsidP="007C08EF">
      <w:pPr>
        <w:spacing w:after="0" w:line="240" w:lineRule="auto"/>
      </w:pPr>
      <w:r>
        <w:separator/>
      </w:r>
    </w:p>
  </w:endnote>
  <w:endnote w:type="continuationSeparator" w:id="0">
    <w:p w14:paraId="7134A8D8" w14:textId="77777777" w:rsidR="00EE347F" w:rsidRDefault="00EE347F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42A03" w14:textId="77777777" w:rsidR="00EE347F" w:rsidRDefault="00EE347F" w:rsidP="007C08EF">
      <w:pPr>
        <w:spacing w:after="0" w:line="240" w:lineRule="auto"/>
      </w:pPr>
      <w:r>
        <w:separator/>
      </w:r>
    </w:p>
  </w:footnote>
  <w:footnote w:type="continuationSeparator" w:id="0">
    <w:p w14:paraId="3B444E32" w14:textId="77777777" w:rsidR="00EE347F" w:rsidRDefault="00EE347F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4"/>
  </w:num>
  <w:num w:numId="2" w16cid:durableId="1138761069">
    <w:abstractNumId w:val="17"/>
  </w:num>
  <w:num w:numId="3" w16cid:durableId="1806003128">
    <w:abstractNumId w:val="4"/>
  </w:num>
  <w:num w:numId="4" w16cid:durableId="1065108849">
    <w:abstractNumId w:val="11"/>
  </w:num>
  <w:num w:numId="5" w16cid:durableId="984243797">
    <w:abstractNumId w:val="13"/>
  </w:num>
  <w:num w:numId="6" w16cid:durableId="1977635509">
    <w:abstractNumId w:val="0"/>
  </w:num>
  <w:num w:numId="7" w16cid:durableId="573704786">
    <w:abstractNumId w:val="9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12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20"/>
  </w:num>
  <w:num w:numId="15" w16cid:durableId="1392775016">
    <w:abstractNumId w:val="18"/>
  </w:num>
  <w:num w:numId="16" w16cid:durableId="1319534202">
    <w:abstractNumId w:val="8"/>
  </w:num>
  <w:num w:numId="17" w16cid:durableId="989286989">
    <w:abstractNumId w:val="15"/>
  </w:num>
  <w:num w:numId="18" w16cid:durableId="1481463470">
    <w:abstractNumId w:val="7"/>
  </w:num>
  <w:num w:numId="19" w16cid:durableId="1821195063">
    <w:abstractNumId w:val="19"/>
  </w:num>
  <w:num w:numId="20" w16cid:durableId="2067557924">
    <w:abstractNumId w:val="21"/>
  </w:num>
  <w:num w:numId="21" w16cid:durableId="168718042">
    <w:abstractNumId w:val="10"/>
  </w:num>
  <w:num w:numId="22" w16cid:durableId="1496804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C6419"/>
    <w:rsid w:val="001E1155"/>
    <w:rsid w:val="002032A4"/>
    <w:rsid w:val="00297797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B11AB"/>
    <w:rsid w:val="0074569C"/>
    <w:rsid w:val="007A259C"/>
    <w:rsid w:val="007C08EF"/>
    <w:rsid w:val="009E02C6"/>
    <w:rsid w:val="00B6374C"/>
    <w:rsid w:val="00BC6D3F"/>
    <w:rsid w:val="00BD3D15"/>
    <w:rsid w:val="00CD79C5"/>
    <w:rsid w:val="00E01C8D"/>
    <w:rsid w:val="00ED70D9"/>
    <w:rsid w:val="00EE347F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C641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641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spositol.github.io/pericia.judicial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com/search?q=https://sposito.github.io/pericia.judicial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Conformidade com a Lei 14.9052024</dc:title>
  <dc:subject>Reajustes em Planos de Saúde (Produto 445) e Financiamentos (Tabela Price vs. Gauss)</dc:subject>
  <dc:creator>Lincoln Sposito</dc:creator>
  <cp:keywords/>
  <dc:description/>
  <cp:lastModifiedBy>Lincoln Sposito</cp:lastModifiedBy>
  <cp:revision>10</cp:revision>
  <cp:lastPrinted>2026-02-23T13:06:00Z</cp:lastPrinted>
  <dcterms:created xsi:type="dcterms:W3CDTF">2026-02-09T20:32:00Z</dcterms:created>
  <dcterms:modified xsi:type="dcterms:W3CDTF">2026-02-23T13:36:00Z</dcterms:modified>
  <cp:category>Doutor em Administração de Empresas e Perito Judicial</cp:category>
</cp:coreProperties>
</file>