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A75A" w14:textId="589942F2" w:rsidR="00B76B14" w:rsidRDefault="00B76B14" w:rsidP="00B76B14">
      <w:pPr>
        <w:pStyle w:val="Ttulo"/>
      </w:pPr>
      <w:r w:rsidRPr="00B76B14">
        <w:t>Anatomia Técnica da Revisão de Contratos Bancários: Um Exame Pericial sobre Inconsistências de Cálculo, Abusividade de Encargos e Sistemas de Amortização</w:t>
      </w:r>
    </w:p>
    <w:p w14:paraId="02232E47" w14:textId="658E0B8D" w:rsidR="00B76B14" w:rsidRPr="00B76B14" w:rsidRDefault="00B76B14" w:rsidP="00B76B14">
      <w:r w:rsidRPr="00B76B14">
        <w:t>20/01/2025, Por Dr. Lincoln Sposito, Doutor em Administração e Perito Judicial</w:t>
      </w:r>
    </w:p>
    <w:p w14:paraId="4C9ABE09" w14:textId="77777777" w:rsidR="00B76B14" w:rsidRPr="00B76B14" w:rsidRDefault="00B76B14" w:rsidP="00B76B14">
      <w:r w:rsidRPr="00B76B14">
        <w:t>Esta análise técnica detalha os fundamentos de uma perícia financeira em contrato de financiamento de veículo, expondo as fragilidades estruturais e as inconsistências matemáticas que sustentam o pedido de revisão judicial. A função do perito assistente, neste contexto, transcende a mera conferência de cálculos; trata-se de um exercício de exegese contratual e aritmética para desenvolver o custo real da operação e o cumprimento das normas do Banco Central e do Código de Defesa do Consumidor.</w:t>
      </w:r>
    </w:p>
    <w:p w14:paraId="67793283" w14:textId="021B637A" w:rsidR="00B76B14" w:rsidRPr="00B76B14" w:rsidRDefault="00B76B14" w:rsidP="00B76B14">
      <w:r w:rsidRPr="00B76B14">
        <w:t xml:space="preserve">A primeira etapa da auditoria técnica concentrou-se no exame minucioso dos acessórios e tarifas </w:t>
      </w:r>
      <w:r w:rsidR="00F55D6B" w:rsidRPr="00B76B14">
        <w:t>administrativas. No</w:t>
      </w:r>
      <w:r w:rsidRPr="00B76B14">
        <w:t xml:space="preserve"> caso em tela, </w:t>
      </w:r>
      <w:r w:rsidR="00F55D6B" w:rsidRPr="00B76B14">
        <w:t>acordou-se</w:t>
      </w:r>
      <w:r w:rsidRPr="00B76B14">
        <w:t xml:space="preserve"> a cobrança de tarifa de cadastro e de avaliação de bem usada</w:t>
      </w:r>
      <w:r w:rsidRPr="00B76B14">
        <w:rPr>
          <w:vertAlign w:val="superscript"/>
        </w:rPr>
        <w:t>11</w:t>
      </w:r>
      <w:r w:rsidRPr="00B76B14">
        <w:t>.Sob a ótica técnica e jurídica, essas rubricas são frequentemente contestadas quando não solicitam um serviço prestado ou quando configuram "venda casada"</w:t>
      </w:r>
      <w:r w:rsidRPr="00B76B14">
        <w:rPr>
          <w:vertAlign w:val="superscript"/>
        </w:rPr>
        <w:t>22</w:t>
      </w:r>
      <w:r w:rsidRPr="00B76B14">
        <w:t>.A tarifa de avaliação de bem, especificamente, carece de validade quando o laudo que a justificativa não é apresentado ou quando uma instituição financeira impõe um avaliador próprio, cerceando a liberdade de escolha do consumidor e impedindo a fiscalização da lisura do serviço</w:t>
      </w:r>
      <w:r w:rsidRPr="00B76B14">
        <w:rPr>
          <w:vertAlign w:val="superscript"/>
        </w:rPr>
        <w:t>33</w:t>
      </w:r>
      <w:r w:rsidRPr="00B76B14">
        <w:t>.Na recomendação pericial, orienta-se a exclusão desses valores do saldo financiado, uma vez que sua manutenção infla a base de cálculo dos juros remuneratórios e do Imposto sobre Operações Financeiras (IOF), gerando um efeito cascata de onerosidade excessiva</w:t>
      </w:r>
      <w:r w:rsidRPr="00B76B14">
        <w:rPr>
          <w:vertAlign w:val="superscript"/>
        </w:rPr>
        <w:t>4444</w:t>
      </w:r>
      <w:r w:rsidRPr="00B76B14">
        <w:t>.</w:t>
      </w:r>
    </w:p>
    <w:p w14:paraId="2F93C43A" w14:textId="77777777" w:rsidR="00B76B14" w:rsidRPr="00B76B14" w:rsidRDefault="00B76B14" w:rsidP="00B76B14">
      <w:r w:rsidRPr="00B76B14">
        <w:t>+4</w:t>
      </w:r>
    </w:p>
    <w:p w14:paraId="52DBA97B" w14:textId="77777777" w:rsidR="00B76B14" w:rsidRPr="00B76B14" w:rsidRDefault="00B76B14" w:rsidP="00B76B14">
      <w:r w:rsidRPr="00B76B14">
        <w:t>No tocante aos tributos, a perícia apurou discrepâncias significativas no cálculo do IOF.O demonstrativo da instituição financeira falhou em discriminar a alíquota fixa de 0,38% e a alíquota adicional diariamente, apresentando um valor consolidado que não guarda relação lógica com o capital financiado e o prazo da operação</w:t>
      </w:r>
      <w:r w:rsidRPr="00B76B14">
        <w:rPr>
          <w:vertAlign w:val="superscript"/>
        </w:rPr>
        <w:t>55</w:t>
      </w:r>
      <w:r w:rsidRPr="00B76B14">
        <w:t>.O cálculo teórico realizado aponta que o imposto informado foi inferior ao que seria matematicamente esperado para um contrato de 48 meses, o que sugere erros na base de cálculo ou na contagem de dias considerados pela instituição</w:t>
      </w:r>
      <w:r w:rsidRPr="00B76B14">
        <w:rPr>
          <w:vertAlign w:val="superscript"/>
        </w:rPr>
        <w:t>66</w:t>
      </w:r>
      <w:r w:rsidRPr="00B76B14">
        <w:t>.Essa falta de transparência tributária compromete a fidedignidade do Custo Efetivo Total (CET) e constitui uma violação ao dever de informação clara prevista no artigo 6º, III, do Código de Defesa do Consumidor</w:t>
      </w:r>
      <w:r w:rsidRPr="00B76B14">
        <w:rPr>
          <w:vertAlign w:val="superscript"/>
        </w:rPr>
        <w:t>7777</w:t>
      </w:r>
      <w:r w:rsidRPr="00B76B14">
        <w:t>.</w:t>
      </w:r>
    </w:p>
    <w:p w14:paraId="5001A74E" w14:textId="77777777" w:rsidR="00B76B14" w:rsidRPr="00B76B14" w:rsidRDefault="00B76B14" w:rsidP="00B76B14">
      <w:r w:rsidRPr="00B76B14">
        <w:t>+4</w:t>
      </w:r>
    </w:p>
    <w:p w14:paraId="6A7C2A15" w14:textId="77777777" w:rsidR="00B76B14" w:rsidRPr="00B76B14" w:rsidRDefault="00B76B14" w:rsidP="00B76B14">
      <w:r w:rsidRPr="00B76B14">
        <w:t>Uma análise da evolução do saldo devedor e das prestações revelou uma das inconsistências mais graves: a omissão e a confusão quanto ao sistema de amortização.O contrato analisado não declarou explicitamente o método utilizado, embora a manutenção de parcelas fixas indicasse a aplicação da Tabela Price</w:t>
      </w:r>
      <w:r w:rsidRPr="00B76B14">
        <w:rPr>
          <w:vertAlign w:val="superscript"/>
        </w:rPr>
        <w:t>8</w:t>
      </w:r>
      <w:r w:rsidRPr="00B76B14">
        <w:t>.Contudo, ao recalcular o fluxo de caixa, assegura-se que o valor das parcelas cobradas era superior ao valor resultante da aplicação estrita da taxa nominal pactuada</w:t>
      </w:r>
      <w:r w:rsidRPr="00B76B14">
        <w:rPr>
          <w:vertAlign w:val="superscript"/>
        </w:rPr>
        <w:t>9</w:t>
      </w:r>
      <w:r w:rsidRPr="00B76B14">
        <w:t>.Essa diferença, embora pareça pequena por prestação, acumula um montante vultoso ao final de 48 meses, caracterizando cobrança indevida acima do pactuado</w:t>
      </w:r>
      <w:r w:rsidRPr="00B76B14">
        <w:rPr>
          <w:vertAlign w:val="superscript"/>
        </w:rPr>
        <w:t>10</w:t>
      </w:r>
      <w:r w:rsidRPr="00B76B14">
        <w:t xml:space="preserve">.Além disso, a perícia detectou uma inversão </w:t>
      </w:r>
      <w:r w:rsidRPr="00B76B14">
        <w:lastRenderedPageBreak/>
        <w:t>atípica no padrão da Tabela Price nos registros da instituição, onde os juros das primeiras parcelas eram artificialmente baixos em favor de uma amortização mais alta, o que descaracteriza o sistema e demonstra falhas nos algoritmos de cálculo do banco</w:t>
      </w:r>
      <w:r w:rsidRPr="00B76B14">
        <w:rPr>
          <w:vertAlign w:val="superscript"/>
        </w:rPr>
        <w:t>1111</w:t>
      </w:r>
      <w:r w:rsidRPr="00B76B14">
        <w:t>.</w:t>
      </w:r>
    </w:p>
    <w:p w14:paraId="38676429" w14:textId="77777777" w:rsidR="00B76B14" w:rsidRPr="00B76B14" w:rsidRDefault="00B76B14" w:rsidP="00B76B14">
      <w:r w:rsidRPr="00B76B14">
        <w:t>+3</w:t>
      </w:r>
    </w:p>
    <w:p w14:paraId="717A4E63" w14:textId="77777777" w:rsidR="00B76B14" w:rsidRPr="00B76B14" w:rsidRDefault="00B76B14" w:rsidP="00B76B14">
      <w:r w:rsidRPr="00B76B14">
        <w:t>A controvérsia sobre a capitalização de juros e o regime de juros simples foi abordada sob um prisma técnico especificamente.Embora a petição atual permita a capitalização em contratos bancários desde que expressamente pactuada, a perícia declarou que, em financiamentos de longo prazo, a aplicação do Método de Equivalência a Juros Simples (MEJS) pode ser, paradoxalmente, mais onerosa para o desenvolvedor do que o sistema composto da Tabela de Preços</w:t>
      </w:r>
      <w:r w:rsidRPr="00B76B14">
        <w:rPr>
          <w:vertAlign w:val="superscript"/>
        </w:rPr>
        <w:t>12121212</w:t>
      </w:r>
      <w:r w:rsidRPr="00B76B14">
        <w:t>.Isso ocorre porque, no regime simples, os juros incidem sobre o valor inicial da dívida durante todo o período, enquanto na Tabela Price a incidência se dá sobre o saldo devedor decrescente</w:t>
      </w:r>
      <w:r w:rsidRPr="00B76B14">
        <w:rPr>
          <w:vertAlign w:val="superscript"/>
        </w:rPr>
        <w:t>1313</w:t>
      </w:r>
      <w:r w:rsidRPr="00B76B14">
        <w:t>.Diante dessa realidade contraintuitiva, a orientação pericial foi pela manutenção do sistema Price, porém com a exclusão dos encargos abusivos e a aplicação rigorosa da taxa média de mercado divulgada pelo Banco Central, que se mostrou vantajosa inferior à praticada no contrato</w:t>
      </w:r>
      <w:r w:rsidRPr="00B76B14">
        <w:rPr>
          <w:vertAlign w:val="superscript"/>
        </w:rPr>
        <w:t>14141414</w:t>
      </w:r>
      <w:r w:rsidRPr="00B76B14">
        <w:t>.</w:t>
      </w:r>
    </w:p>
    <w:p w14:paraId="7C1E0F77" w14:textId="77777777" w:rsidR="00B76B14" w:rsidRPr="00B76B14" w:rsidRDefault="00B76B14" w:rsidP="00B76B14">
      <w:r w:rsidRPr="00B76B14">
        <w:t>+4</w:t>
      </w:r>
    </w:p>
    <w:p w14:paraId="284450D4" w14:textId="77777777" w:rsidR="00B76B14" w:rsidRPr="00B76B14" w:rsidRDefault="00B76B14" w:rsidP="00B76B14">
      <w:r w:rsidRPr="00B76B14">
        <w:t>A divergência entre a taxa de juros do contrato e a taxa média de mercado do Banco Central (Série 20749) fundamenta a tese de abusividade</w:t>
      </w:r>
      <w:r w:rsidRPr="00B76B14">
        <w:rPr>
          <w:vertAlign w:val="superscript"/>
        </w:rPr>
        <w:t>15151515</w:t>
      </w:r>
      <w:r w:rsidRPr="00B76B14">
        <w:t>.A perícia constatou que a taxa efetiva anual cobrada superava significativamente a média para operações da mesma natureza no período da contratação</w:t>
      </w:r>
      <w:r w:rsidRPr="00B76B14">
        <w:rPr>
          <w:vertAlign w:val="superscript"/>
        </w:rPr>
        <w:t>1616</w:t>
      </w:r>
      <w:r w:rsidRPr="00B76B14">
        <w:t>.O trabalho pericial provou ao advogado uma tabela comparativa detalhando o impacto financeiro de se reduzir a taxa ao patamar de mercado, o que, somado ao expurgo das tarifas indevidas, resulta em um saldo devedor significativamente menor</w:t>
      </w:r>
      <w:r w:rsidRPr="00B76B14">
        <w:rPr>
          <w:vertAlign w:val="superscript"/>
        </w:rPr>
        <w:t>17171717</w:t>
      </w:r>
      <w:r w:rsidRPr="00B76B14">
        <w:t>.</w:t>
      </w:r>
    </w:p>
    <w:p w14:paraId="5FDD8D96" w14:textId="77777777" w:rsidR="00B76B14" w:rsidRPr="00B76B14" w:rsidRDefault="00B76B14" w:rsidP="00B76B14">
      <w:r w:rsidRPr="00B76B14">
        <w:t>+4</w:t>
      </w:r>
    </w:p>
    <w:p w14:paraId="518D92A6" w14:textId="77777777" w:rsidR="00B76B14" w:rsidRPr="00B76B14" w:rsidRDefault="00B76B14" w:rsidP="00B76B14">
      <w:r w:rsidRPr="00B76B14">
        <w:t>Como recomendação estratégica ao reclamante e seu patrono, a perícia enfatizou a necessidade de questionar judicialmente a falta de transparência sobre o sistema de amortização e as inconsistências no cálculo das parcelas, que divergem da taxa nominal</w:t>
      </w:r>
      <w:r w:rsidRPr="00B76B14">
        <w:rPr>
          <w:vertAlign w:val="superscript"/>
        </w:rPr>
        <w:t>18181818</w:t>
      </w:r>
      <w:r w:rsidRPr="00B76B14">
        <w:t>. A prova técnica robusta, materializada em planilhas que confrontam os dados da instituição financeira com cálculos matemáticos padrão, é o pilar mais forte desta ação. Ela retira a discussão do campo das abstrações jurídicas e do transporte para a exatidão aritmética, demonstrando que o prejuízo do consumidor não é apenas uma tese, mas um fato contábil mensurável. O benefício direto para a ação judicial é a possibilidade de pleitear a geração de indébito e o recálculo do saldo para quitação, garantindo o equilíbrio contratual e a proteção contra o enriquecimento sem causa do ente financiador.</w:t>
      </w:r>
    </w:p>
    <w:p w14:paraId="3F3FDE5E" w14:textId="77777777" w:rsidR="00B76B14" w:rsidRPr="00B76B14" w:rsidRDefault="00B76B14" w:rsidP="00B76B14">
      <w:r w:rsidRPr="00B76B14">
        <w:t>+1</w:t>
      </w:r>
    </w:p>
    <w:p w14:paraId="18893CC2" w14:textId="77777777" w:rsidR="00B76B14" w:rsidRPr="00B76B14" w:rsidRDefault="00B76B14" w:rsidP="00B76B14"/>
    <w:sectPr w:rsidR="00B76B14" w:rsidRPr="00B76B14" w:rsidSect="00B76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14"/>
    <w:rsid w:val="001A530A"/>
    <w:rsid w:val="0093008B"/>
    <w:rsid w:val="00B76B14"/>
    <w:rsid w:val="00F5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10CE"/>
  <w15:chartTrackingRefBased/>
  <w15:docId w15:val="{73D77072-3FB2-4480-B5DD-C62A841C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B14"/>
    <w:pPr>
      <w:ind w:firstLine="709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7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B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B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B14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B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B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B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B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892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1</cp:revision>
  <dcterms:created xsi:type="dcterms:W3CDTF">2026-01-20T06:31:00Z</dcterms:created>
  <dcterms:modified xsi:type="dcterms:W3CDTF">2026-01-21T23:05:00Z</dcterms:modified>
</cp:coreProperties>
</file>