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0FCC" w14:textId="245625DE" w:rsidR="00350797" w:rsidRDefault="00350797">
      <w:pPr>
        <w:rPr>
          <w:b/>
          <w:bCs/>
        </w:rPr>
      </w:pPr>
      <w:r w:rsidRPr="00350797">
        <w:rPr>
          <w:b/>
          <w:bCs/>
        </w:rPr>
        <w:t>Falha na Gestão de CCBs: O Custo Oculto da Ineficiência das Instituições Financeiras</w:t>
      </w:r>
    </w:p>
    <w:p w14:paraId="36B04EF7" w14:textId="77777777" w:rsidR="00350797" w:rsidRPr="00350797" w:rsidRDefault="00350797" w:rsidP="00350797">
      <w:r w:rsidRPr="00350797">
        <w:t>A Cédula de Crédito Bancário (CCB), instituída pela Lei nº 10.931/2004, consolidou-se como o principal instrumento de crédito no cenário brasileiro, oferecendo às instituições financeiras um título executivo extrajudicial de rito célere e garantias robustas. No entanto, o que deveria ser um exemplo de eficiência operacional transformou-se, na prática pericial, em um repositório de imprecisões técnicas e opacidade administrativa. A análise de contratos oriundos de instituições de médio porte, muitas vezes especializadas em crédito consignado e operando a partir de polos financeiros regionais — como o próspero interior de Minas Gerais ou os centros de decisão na capital paulista — revela um cenário onde a automatização dos "motores de cálculo" ignora as particularidades pactuadas, gerando um custo oculto que distorce o equilíbrio contratual e impõe ao devedor um ônus financeiro invisível ao olhar não técnico.</w:t>
      </w:r>
    </w:p>
    <w:p w14:paraId="24D22B8E" w14:textId="77777777" w:rsidR="00350797" w:rsidRPr="00350797" w:rsidRDefault="00350797" w:rsidP="00350797">
      <w:r w:rsidRPr="00350797">
        <w:t>Este artigo propõe uma análise profunda sobre como a falha na gestão administrativa desses instrumentos, somada a uma arquitetura de sistemas bancários que prioriza a escala em detrimento da exatidão, resulta em prejuízos matemáticos mensuráveis. A perícia financeira, ao atuar sobre essas estruturas, não apenas revisa juros, mas audita a própria integridade do fluxo de caixa projetado versus o executado.</w:t>
      </w:r>
    </w:p>
    <w:p w14:paraId="2DDDA78D" w14:textId="77777777" w:rsidR="00350797" w:rsidRPr="00350797" w:rsidRDefault="00350797" w:rsidP="00350797">
      <w:pPr>
        <w:rPr>
          <w:b/>
          <w:bCs/>
        </w:rPr>
      </w:pPr>
      <w:r w:rsidRPr="00350797">
        <w:rPr>
          <w:b/>
          <w:bCs/>
        </w:rPr>
        <w:t>A Natureza do Contrato de Adesão e o Vício de Transparência</w:t>
      </w:r>
    </w:p>
    <w:p w14:paraId="2B719235" w14:textId="77777777" w:rsidR="00350797" w:rsidRPr="00350797" w:rsidRDefault="00350797" w:rsidP="00350797">
      <w:r w:rsidRPr="00350797">
        <w:t>O ponto de partida para compreender a falha na gestão reside na própria natureza da CCB como um contrato de adesão. O tomador do crédito não possui margem para negociar cláusulas; ele adere a um pacote tecnológico e jurídico pré-formatado. A ineficiência institucional manifesta-se quando a instituição financeira falha em cumprir o dever de informação, omitindo o impacto real de taxas e encargos no Custo Efetivo Total (CET). No âmbito pericial, é comum encontrar "cláusulas de estilo" que autorizam débitos ilimitados em conta e pacotes sancionatórios abusivos que sequer foram parametrizados corretamente nos sistemas de cobrança, gerando divergências entre o que o jurídico do banco escreve e o que o TI do banco executa.</w:t>
      </w:r>
    </w:p>
    <w:p w14:paraId="3F02C7C2" w14:textId="77777777" w:rsidR="00350797" w:rsidRPr="00350797" w:rsidRDefault="00350797" w:rsidP="00350797">
      <w:pPr>
        <w:rPr>
          <w:b/>
          <w:bCs/>
        </w:rPr>
      </w:pPr>
      <w:r w:rsidRPr="00350797">
        <w:rPr>
          <w:b/>
          <w:bCs/>
        </w:rPr>
        <w:t>A Gestão Irregular dos Prazos de Carência e a Teoria do Saldo Devedor</w:t>
      </w:r>
    </w:p>
    <w:p w14:paraId="68B62269" w14:textId="77777777" w:rsidR="00350797" w:rsidRPr="00350797" w:rsidRDefault="00350797" w:rsidP="00350797">
      <w:r w:rsidRPr="00350797">
        <w:t>Uma das lacunas mais críticas na gestão de CCBs reside no tratamento do período de carência. Matematicamente, o intervalo entre a assinatura do contrato e o vencimento da primeira prestação é um período de incidência de juros remuneratórios. Contudo, a ineficiência administrativa manifesta-se quando as instituições aplicam uma contagem de dias que não corresponde ao intervalo cronológico real. Por exemplo, em um contrato onde se pactua uma carência de 30 dias, mas a execução sistêmica ocorre em 45 dias sem o ajuste proporcional da parcela, o saldo devedor inicia sua trajetória já inflado.</w:t>
      </w:r>
    </w:p>
    <w:p w14:paraId="2E52F42E" w14:textId="77777777" w:rsidR="00350797" w:rsidRPr="00350797" w:rsidRDefault="00350797" w:rsidP="00350797">
      <w:r w:rsidRPr="00350797">
        <w:t xml:space="preserve">Este fenômeno desvirtua o sistema de amortização (seja Price ou SAC), pois o juro da carência é capitalizado de forma opaca. </w:t>
      </w:r>
      <w:proofErr w:type="gramStart"/>
      <w:r w:rsidRPr="00350797">
        <w:t>No momento em que</w:t>
      </w:r>
      <w:proofErr w:type="gramEnd"/>
      <w:r w:rsidRPr="00350797">
        <w:t xml:space="preserve"> o cliente paga a primeira prestação, ele não está amortizando o capital originalmente emprestado, mas sim um montante já contaminado por uma gestão de datas imprecisa. O perito, ao reconstruir o histórico do contrato, constata que o banco muitas vezes falha em ajustar seus sistemas internos às condições específicas negociadas, resultando em uma execução financeira que atropela os limites éticos do contrato.</w:t>
      </w:r>
    </w:p>
    <w:p w14:paraId="3F6E60FA" w14:textId="77777777" w:rsidR="00350797" w:rsidRPr="00350797" w:rsidRDefault="00350797" w:rsidP="00350797">
      <w:pPr>
        <w:rPr>
          <w:b/>
          <w:bCs/>
        </w:rPr>
      </w:pPr>
      <w:r w:rsidRPr="00350797">
        <w:rPr>
          <w:b/>
          <w:bCs/>
        </w:rPr>
        <w:t>A Anatomia do Erro: O Método Gross Up e a Majoração do IOF</w:t>
      </w:r>
    </w:p>
    <w:p w14:paraId="088B2F9D" w14:textId="77777777" w:rsidR="00350797" w:rsidRPr="00350797" w:rsidRDefault="00350797" w:rsidP="00350797">
      <w:r w:rsidRPr="00350797">
        <w:lastRenderedPageBreak/>
        <w:t xml:space="preserve">A gestão do Imposto sobre Operações Financeiras (IOF) é, talvez, o campo onde a ineficiência bancária produz os resultados mais perversos. Para que o tomador receba o valor líquido solicitado, as instituições utilizam a técnica do </w:t>
      </w:r>
      <w:r w:rsidRPr="00350797">
        <w:rPr>
          <w:i/>
          <w:iCs/>
        </w:rPr>
        <w:t>Gross Up</w:t>
      </w:r>
      <w:r w:rsidRPr="00350797">
        <w:t>, que consiste em calcular o valor bruto do empréstimo de modo que, após a retenção do IOF, o valor líquido remanesça intacto. A fórmula matemática para essa operação é rigorosa:</w:t>
      </w:r>
    </w:p>
    <w:p w14:paraId="614DE1C0" w14:textId="44782C3B" w:rsidR="00537420" w:rsidRPr="00350797" w:rsidRDefault="00537420" w:rsidP="00350797">
      <w:r w:rsidRPr="00537420">
        <w:drawing>
          <wp:inline distT="0" distB="0" distL="0" distR="0" wp14:anchorId="5145B943" wp14:editId="7FE101BA">
            <wp:extent cx="3254022" cy="441998"/>
            <wp:effectExtent l="0" t="0" r="3810" b="0"/>
            <wp:docPr id="1521019495" name="Imagem 1" descr="Uma imagem contendo objeto,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9495" name="Imagem 1" descr="Uma imagem contendo objeto, relógio&#10;&#10;O conteúdo gerado por IA pode estar incorreto.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BC18" w14:textId="77777777" w:rsidR="00350797" w:rsidRPr="00350797" w:rsidRDefault="00350797" w:rsidP="00350797">
      <w:r w:rsidRPr="00350797">
        <w:t>A falha de gestão ocorre quando o banco utiliza uma base de cálculo inflada ou prazos de incidência fictícios para majorar o imposto. Ao financiar o IOF dentro do saldo devedor, o banco acaba por cobrar juros remuneratórios sobre um tributo que ele próprio calculou incorretamente. Isso gera um lucro indireto para a instituição, uma vez que ela retém do cliente um valor a título de imposto que excede a obrigação tributária real, financiando essa diferença a taxas de mercado. No caso de uma CCB padrão, a divergência entre o valor bruto calculado pelo perito e o valor bruto imposto pelo banco pode superar 6% do valor total do contrato já no dia zero.</w:t>
      </w:r>
    </w:p>
    <w:p w14:paraId="1807D411" w14:textId="77777777" w:rsidR="00350797" w:rsidRPr="00350797" w:rsidRDefault="00350797" w:rsidP="00350797">
      <w:pPr>
        <w:rPr>
          <w:b/>
          <w:bCs/>
        </w:rPr>
      </w:pPr>
      <w:r w:rsidRPr="00350797">
        <w:rPr>
          <w:b/>
          <w:bCs/>
        </w:rPr>
        <w:t>O Efeito Cascata na Parcela Mensal</w:t>
      </w:r>
    </w:p>
    <w:p w14:paraId="7F5F4080" w14:textId="77777777" w:rsidR="00350797" w:rsidRPr="00350797" w:rsidRDefault="00350797" w:rsidP="00350797">
      <w:r w:rsidRPr="00350797">
        <w:t xml:space="preserve">A ineficiência na gestão do IOF e da carência culmina no erro do valor da parcela. É aqui que o prejuízo se torna mensal e cumulativo. Conforme evidenciado em análises técnicas, há casos </w:t>
      </w:r>
      <w:proofErr w:type="gramStart"/>
      <w:r w:rsidRPr="00350797">
        <w:t>onde</w:t>
      </w:r>
      <w:proofErr w:type="gramEnd"/>
      <w:r w:rsidRPr="00350797">
        <w:t xml:space="preserve"> a parcela matematicamente justa, baseada na taxa pactuada e no valor líquido real, deveria ser de R$ 1.129,88, mas a instituição financeira, devido a erros de parametrização e inclusão de tarifas acessórias não transparentes, debita mensalmente R$ 1.250,64.</w:t>
      </w:r>
    </w:p>
    <w:p w14:paraId="043A74C7" w14:textId="77777777" w:rsidR="00350797" w:rsidRPr="00350797" w:rsidRDefault="00350797" w:rsidP="00350797">
      <w:r w:rsidRPr="00350797">
        <w:t>Esta diferença de R$ 120,76 por parcela não é um mero detalhe; em um plano de 48 meses, o erro administrativo se traduz em um excesso de quase R$ 6.000,00. Abaixo, apresentamos a evolução dessas divergências conforme apurado em revisões periciais de fôlego: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2822"/>
        <w:gridCol w:w="2939"/>
        <w:gridCol w:w="2560"/>
      </w:tblGrid>
      <w:tr w:rsidR="00350797" w:rsidRPr="00350797" w14:paraId="0B73CD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9696" w14:textId="77777777" w:rsidR="00350797" w:rsidRPr="00350797" w:rsidRDefault="00350797" w:rsidP="00350797">
            <w:r w:rsidRPr="00350797">
              <w:rPr>
                <w:b/>
                <w:bCs/>
              </w:rPr>
              <w:t>Período da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DD58" w14:textId="77777777" w:rsidR="00350797" w:rsidRPr="00350797" w:rsidRDefault="00350797" w:rsidP="00350797">
            <w:r w:rsidRPr="00350797">
              <w:rPr>
                <w:b/>
                <w:bCs/>
              </w:rPr>
              <w:t>Valor Executado (Sistêmico)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F658A" w14:textId="77777777" w:rsidR="00350797" w:rsidRPr="00350797" w:rsidRDefault="00350797" w:rsidP="00350797">
            <w:r w:rsidRPr="00350797">
              <w:rPr>
                <w:b/>
                <w:bCs/>
              </w:rPr>
              <w:t>Valor Revisado (Matemático)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7408A" w14:textId="77777777" w:rsidR="00350797" w:rsidRPr="00350797" w:rsidRDefault="00350797" w:rsidP="00350797">
            <w:r w:rsidRPr="00350797">
              <w:rPr>
                <w:b/>
                <w:bCs/>
              </w:rPr>
              <w:t>Divergência Acumulada</w:t>
            </w:r>
          </w:p>
        </w:tc>
      </w:tr>
      <w:tr w:rsidR="00350797" w:rsidRPr="00350797" w14:paraId="4C152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E455" w14:textId="77777777" w:rsidR="00350797" w:rsidRPr="00350797" w:rsidRDefault="00350797" w:rsidP="00350797">
            <w:r w:rsidRPr="00350797">
              <w:rPr>
                <w:b/>
                <w:bCs/>
              </w:rPr>
              <w:t>Abertura (Bruto)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A84F2" w14:textId="77777777" w:rsidR="00350797" w:rsidRPr="00350797" w:rsidRDefault="00350797" w:rsidP="00350797">
            <w:r w:rsidRPr="00350797">
              <w:t>R$ 34.660,40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AF953" w14:textId="77777777" w:rsidR="00350797" w:rsidRPr="00350797" w:rsidRDefault="00350797" w:rsidP="00350797">
            <w:r w:rsidRPr="00350797">
              <w:t>R$ 32.500,00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D4F3" w14:textId="77777777" w:rsidR="00350797" w:rsidRPr="00350797" w:rsidRDefault="00350797" w:rsidP="00350797">
            <w:r w:rsidRPr="00350797">
              <w:t>R$ 2.160,40</w:t>
            </w:r>
          </w:p>
        </w:tc>
      </w:tr>
      <w:tr w:rsidR="00350797" w:rsidRPr="00350797" w14:paraId="657CF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3A44" w14:textId="77777777" w:rsidR="00350797" w:rsidRPr="00350797" w:rsidRDefault="00350797" w:rsidP="00350797">
            <w:r w:rsidRPr="00350797">
              <w:rPr>
                <w:b/>
                <w:bCs/>
              </w:rPr>
              <w:t>Prestação Mensal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031F8" w14:textId="77777777" w:rsidR="00350797" w:rsidRPr="00350797" w:rsidRDefault="00350797" w:rsidP="00350797">
            <w:r w:rsidRPr="00350797">
              <w:t>R$ 1.250,64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ED2E" w14:textId="77777777" w:rsidR="00350797" w:rsidRPr="00350797" w:rsidRDefault="00350797" w:rsidP="00350797">
            <w:r w:rsidRPr="00350797">
              <w:t>R$ 1.129,88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CE1BE" w14:textId="77777777" w:rsidR="00350797" w:rsidRPr="00350797" w:rsidRDefault="00350797" w:rsidP="00350797">
            <w:r w:rsidRPr="00350797">
              <w:t>R$ 120,76/mês</w:t>
            </w:r>
          </w:p>
        </w:tc>
      </w:tr>
      <w:tr w:rsidR="00350797" w:rsidRPr="00350797" w14:paraId="3EBDB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824B7" w14:textId="77777777" w:rsidR="00350797" w:rsidRPr="00350797" w:rsidRDefault="00350797" w:rsidP="00350797">
            <w:r w:rsidRPr="00350797">
              <w:rPr>
                <w:b/>
                <w:bCs/>
              </w:rPr>
              <w:t>Saldo (Mês 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34EF" w14:textId="77777777" w:rsidR="00350797" w:rsidRPr="00350797" w:rsidRDefault="00350797" w:rsidP="00350797">
            <w:r w:rsidRPr="00350797">
              <w:t>R$ 30.528,73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6DFF" w14:textId="77777777" w:rsidR="00350797" w:rsidRPr="00350797" w:rsidRDefault="00350797" w:rsidP="00350797">
            <w:r w:rsidRPr="00350797">
              <w:t>R$ 28.261,90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99D1" w14:textId="77777777" w:rsidR="00350797" w:rsidRPr="00350797" w:rsidRDefault="00350797" w:rsidP="00350797">
            <w:r w:rsidRPr="00350797">
              <w:t>R$ 2.266,83</w:t>
            </w:r>
          </w:p>
        </w:tc>
      </w:tr>
      <w:tr w:rsidR="00350797" w:rsidRPr="00350797" w14:paraId="21DBD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3C84" w14:textId="77777777" w:rsidR="00350797" w:rsidRPr="00350797" w:rsidRDefault="00350797" w:rsidP="00350797">
            <w:r w:rsidRPr="00350797">
              <w:rPr>
                <w:b/>
                <w:bCs/>
              </w:rPr>
              <w:t>Custo Total Juros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609C" w14:textId="77777777" w:rsidR="00350797" w:rsidRPr="00350797" w:rsidRDefault="00350797" w:rsidP="00350797">
            <w:r w:rsidRPr="00350797">
              <w:t>R$ 25.378,00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ED2E" w14:textId="77777777" w:rsidR="00350797" w:rsidRPr="00350797" w:rsidRDefault="00350797" w:rsidP="00350797">
            <w:r w:rsidRPr="00350797">
              <w:t>R$ 19.532,80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1D381" w14:textId="77777777" w:rsidR="00350797" w:rsidRPr="00350797" w:rsidRDefault="00350797" w:rsidP="00350797">
            <w:r w:rsidRPr="00350797">
              <w:rPr>
                <w:b/>
                <w:bCs/>
              </w:rPr>
              <w:t>R$ 5.845,20</w:t>
            </w:r>
          </w:p>
        </w:tc>
      </w:tr>
    </w:tbl>
    <w:p w14:paraId="09828D7D" w14:textId="77777777" w:rsidR="00350797" w:rsidRPr="00350797" w:rsidRDefault="00350797" w:rsidP="00350797">
      <w:pPr>
        <w:rPr>
          <w:b/>
          <w:bCs/>
        </w:rPr>
      </w:pPr>
      <w:r w:rsidRPr="00350797">
        <w:rPr>
          <w:b/>
          <w:bCs/>
        </w:rPr>
        <w:t>A Falha no Compliance e a Ausência de Auditoria Interna</w:t>
      </w:r>
    </w:p>
    <w:p w14:paraId="707AAE67" w14:textId="77777777" w:rsidR="00350797" w:rsidRPr="00350797" w:rsidRDefault="00350797" w:rsidP="00350797">
      <w:r w:rsidRPr="00350797">
        <w:t xml:space="preserve">O fato de instituições financeiras de médio porte permitirem que tais discrepâncias cheguem ao Poder Judiciário revela uma falha estrutural de </w:t>
      </w:r>
      <w:r w:rsidRPr="00350797">
        <w:rPr>
          <w:i/>
          <w:iCs/>
        </w:rPr>
        <w:t>compliance</w:t>
      </w:r>
      <w:r w:rsidRPr="00350797">
        <w:t xml:space="preserve">. Os processos de auditoria interna </w:t>
      </w:r>
      <w:r w:rsidRPr="00350797">
        <w:lastRenderedPageBreak/>
        <w:t>parecem focar na liquidez e no risco de crédito, negligenciando a conformidade matemática da execução contratual. Para o magistrado, a presença de uma planilha pericial que demonstra o afastamento das curvas de amortização é a prova cabal de que o banco não está apenas cobrando juros altos — o que, em tese, seria permitido pela liberdade de mercado — mas está cobrando valores que não possuem lastro no contrato assinado.</w:t>
      </w:r>
    </w:p>
    <w:p w14:paraId="2D8195E3" w14:textId="77777777" w:rsidR="00350797" w:rsidRPr="00350797" w:rsidRDefault="00350797" w:rsidP="00350797">
      <w:pPr>
        <w:rPr>
          <w:b/>
          <w:bCs/>
        </w:rPr>
      </w:pPr>
      <w:r w:rsidRPr="00350797">
        <w:rPr>
          <w:b/>
          <w:bCs/>
        </w:rPr>
        <w:t>Conclusão: A Perícia como Ferramenta de Justiça Econômica</w:t>
      </w:r>
    </w:p>
    <w:p w14:paraId="5F5FF1AA" w14:textId="77777777" w:rsidR="00350797" w:rsidRPr="00350797" w:rsidRDefault="00350797" w:rsidP="00350797">
      <w:r w:rsidRPr="00350797">
        <w:t xml:space="preserve">A "Falha na Gestão de CCBs" é um diagnóstico de uma era onde o volume de transações superou a capacidade de conferência individual. O custo dessa ineficiência é repassado integralmente ao consumidor, que raramente possui os meios para identificar que o valor da sua parcela foi inflado por um erro de </w:t>
      </w:r>
      <w:r w:rsidRPr="00350797">
        <w:rPr>
          <w:i/>
          <w:iCs/>
        </w:rPr>
        <w:t>Gross Up</w:t>
      </w:r>
      <w:r w:rsidRPr="00350797">
        <w:t xml:space="preserve"> ou por uma carência mal calculada.</w:t>
      </w:r>
    </w:p>
    <w:p w14:paraId="539616E5" w14:textId="6A038A09" w:rsidR="00350797" w:rsidRPr="00350797" w:rsidRDefault="00350797">
      <w:r w:rsidRPr="00350797">
        <w:t xml:space="preserve">Para promotores, juízes e advogados, o trabalho do perito financeiro deve ser visto como uma auditoria externa necessária. Ao aplicar rigor estatístico e conhecimentos de </w:t>
      </w:r>
      <w:r w:rsidRPr="00350797">
        <w:rPr>
          <w:i/>
          <w:iCs/>
        </w:rPr>
        <w:t>Data Science</w:t>
      </w:r>
      <w:r w:rsidRPr="00350797">
        <w:t>, o perito traduz a linguagem binária dos bancos para a linguagem jurídica, revelando que, por trás de uma parcela aparentemente inofensiva, pode haver uma gestão ineficiente que retira bilhões do mercado consumidor anualmente. O reequilíbrio desses contratos não é apenas uma questão de direito individual, mas de higidez do mercado financeiro, exigindo que as instituições financeiras aprimorem sua gestão e devolvam ao título CCB a transparência que a lei exige e o mercado espera.</w:t>
      </w:r>
    </w:p>
    <w:sectPr w:rsidR="00350797" w:rsidRPr="00350797" w:rsidSect="003507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97"/>
    <w:rsid w:val="000A1BBD"/>
    <w:rsid w:val="00350797"/>
    <w:rsid w:val="0053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15B0"/>
  <w15:chartTrackingRefBased/>
  <w15:docId w15:val="{3165A4D8-B6DD-48C3-B21D-CF984CE7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7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7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7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1150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2026-02-07T19:17:00Z</dcterms:created>
  <dcterms:modified xsi:type="dcterms:W3CDTF">2026-02-07T19:38:00Z</dcterms:modified>
</cp:coreProperties>
</file>