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32F9" w14:textId="0455862D" w:rsidR="00794ECE" w:rsidRDefault="00794ECE">
      <w:r>
        <w:t>25/02/2026 – RESOLUÇÃO 4966</w:t>
      </w:r>
    </w:p>
    <w:p w14:paraId="1BAC40E4" w14:textId="77777777" w:rsidR="00794ECE" w:rsidRPr="00794ECE" w:rsidRDefault="00794ECE" w:rsidP="00794ECE">
      <w:r w:rsidRPr="00794ECE">
        <w:t xml:space="preserve">Este é um tema de altíssimo nível técnico. Para um </w:t>
      </w:r>
      <w:r w:rsidRPr="00794ECE">
        <w:rPr>
          <w:b/>
          <w:bCs/>
        </w:rPr>
        <w:t>Dr. em Administração</w:t>
      </w:r>
      <w:r w:rsidRPr="00794ECE">
        <w:t xml:space="preserve"> e </w:t>
      </w:r>
      <w:r w:rsidRPr="00794ECE">
        <w:rPr>
          <w:b/>
          <w:bCs/>
        </w:rPr>
        <w:t>Analista de Sistemas</w:t>
      </w:r>
      <w:r w:rsidRPr="00794ECE">
        <w:t xml:space="preserve"> com 22 anos de perícia, o artigo não pode ser apenas informativo; ele precisa posicionar você como a autoridade que entende o que acontece "debaixo do capô" (o código e o algoritmo) das instituições financeiras.</w:t>
      </w:r>
    </w:p>
    <w:p w14:paraId="3A4226FF" w14:textId="77777777" w:rsidR="00794ECE" w:rsidRPr="00794ECE" w:rsidRDefault="00794ECE" w:rsidP="00794ECE">
      <w:r w:rsidRPr="00794ECE">
        <w:t>Abaixo, estruturei o artigo com um tom persuasivo, técnico e direto, ideal para o seu LinkedIn ou para o blog do seu site.</w:t>
      </w:r>
    </w:p>
    <w:p w14:paraId="16DED902" w14:textId="77777777" w:rsidR="00794ECE" w:rsidRPr="00794ECE" w:rsidRDefault="00000000" w:rsidP="00794ECE">
      <w:r>
        <w:pict w14:anchorId="4B979995">
          <v:rect id="_x0000_i1025" style="width:0;height:1.5pt" o:hralign="center" o:hrstd="t" o:hrnoshade="t" o:hr="t" fillcolor="gray" stroked="f"/>
        </w:pict>
      </w:r>
    </w:p>
    <w:p w14:paraId="7E37E96E" w14:textId="77777777" w:rsidR="00794ECE" w:rsidRPr="00794ECE" w:rsidRDefault="00794ECE" w:rsidP="00794ECE">
      <w:pPr>
        <w:rPr>
          <w:b/>
          <w:bCs/>
        </w:rPr>
      </w:pPr>
      <w:r w:rsidRPr="00794ECE">
        <w:rPr>
          <w:b/>
          <w:bCs/>
        </w:rPr>
        <w:t>A "Caixa-Preta" da Resolução 4.966: Por que a Perícia Contábil Tradicional não é mais suficiente?</w:t>
      </w:r>
    </w:p>
    <w:p w14:paraId="42031AA5" w14:textId="77777777" w:rsidR="00794ECE" w:rsidRPr="00794ECE" w:rsidRDefault="00794ECE" w:rsidP="00794ECE">
      <w:r w:rsidRPr="00794ECE">
        <w:t xml:space="preserve">Com a implementação da </w:t>
      </w:r>
      <w:r w:rsidRPr="00794ECE">
        <w:rPr>
          <w:b/>
          <w:bCs/>
        </w:rPr>
        <w:t>Resolução CMN nº 4.966/21</w:t>
      </w:r>
      <w:r w:rsidRPr="00794ECE">
        <w:t xml:space="preserve">, o cenário da perícia bancária no Brasil sofreu uma mudança de paradigma. Se antes o embate jurídico se limitava a conferir cálculos de juros e amortizações, hoje o jogo é decidido na </w:t>
      </w:r>
      <w:r w:rsidRPr="00794ECE">
        <w:rPr>
          <w:b/>
          <w:bCs/>
        </w:rPr>
        <w:t>modelagem estatística e na governança de dados</w:t>
      </w:r>
      <w:r w:rsidRPr="00794ECE">
        <w:t>.</w:t>
      </w:r>
    </w:p>
    <w:p w14:paraId="0C22052F" w14:textId="77777777" w:rsidR="00794ECE" w:rsidRPr="00794ECE" w:rsidRDefault="00794ECE" w:rsidP="00794ECE">
      <w:r w:rsidRPr="00794ECE">
        <w:t xml:space="preserve">Enquanto a maioria dos peritos ainda foca na "perda incorrida" (esperar o atraso para provisionar), o novo padrão exige olhar para o futuro: a </w:t>
      </w:r>
      <w:r w:rsidRPr="00794ECE">
        <w:rPr>
          <w:b/>
          <w:bCs/>
        </w:rPr>
        <w:t xml:space="preserve">Perda Esperada (ECL - </w:t>
      </w:r>
      <w:proofErr w:type="spellStart"/>
      <w:r w:rsidRPr="00794ECE">
        <w:rPr>
          <w:b/>
          <w:bCs/>
        </w:rPr>
        <w:t>Expected</w:t>
      </w:r>
      <w:proofErr w:type="spellEnd"/>
      <w:r w:rsidRPr="00794ECE">
        <w:rPr>
          <w:b/>
          <w:bCs/>
        </w:rPr>
        <w:t xml:space="preserve"> </w:t>
      </w:r>
      <w:proofErr w:type="spellStart"/>
      <w:r w:rsidRPr="00794ECE">
        <w:rPr>
          <w:b/>
          <w:bCs/>
        </w:rPr>
        <w:t>Credit</w:t>
      </w:r>
      <w:proofErr w:type="spellEnd"/>
      <w:r w:rsidRPr="00794ECE">
        <w:rPr>
          <w:b/>
          <w:bCs/>
        </w:rPr>
        <w:t xml:space="preserve"> </w:t>
      </w:r>
      <w:proofErr w:type="spellStart"/>
      <w:r w:rsidRPr="00794ECE">
        <w:rPr>
          <w:b/>
          <w:bCs/>
        </w:rPr>
        <w:t>Loss</w:t>
      </w:r>
      <w:proofErr w:type="spellEnd"/>
      <w:r w:rsidRPr="00794ECE">
        <w:rPr>
          <w:b/>
          <w:bCs/>
        </w:rPr>
        <w:t>)</w:t>
      </w:r>
      <w:r w:rsidRPr="00794ECE">
        <w:t>. É aqui que reside a vulnerabilidade das Instituições Financeiras e a oportunidade para uma perícia técnica de elite.</w:t>
      </w:r>
    </w:p>
    <w:p w14:paraId="102D9C5E" w14:textId="77777777" w:rsidR="00794ECE" w:rsidRPr="00794ECE" w:rsidRDefault="00794ECE" w:rsidP="00794ECE">
      <w:pPr>
        <w:rPr>
          <w:b/>
          <w:bCs/>
        </w:rPr>
      </w:pPr>
      <w:r w:rsidRPr="00794ECE">
        <w:rPr>
          <w:b/>
          <w:bCs/>
        </w:rPr>
        <w:t>O Fim da Perda Incorrida e a Era dos Algoritmos</w:t>
      </w:r>
    </w:p>
    <w:p w14:paraId="40D46FC8" w14:textId="77777777" w:rsidR="00794ECE" w:rsidRPr="00794ECE" w:rsidRDefault="00794ECE" w:rsidP="00794ECE">
      <w:r w:rsidRPr="00794ECE">
        <w:t xml:space="preserve">A transição do modelo de provisão é profunda. A norma exige que o banco estime a perda desde o "Dia 1" do contrato. Isso não é feito com uma calculadora simples, mas com </w:t>
      </w:r>
      <w:r w:rsidRPr="00794ECE">
        <w:rPr>
          <w:b/>
          <w:bCs/>
        </w:rPr>
        <w:t>modelos de risco e projeções macroeconômicas</w:t>
      </w:r>
      <w:r w:rsidRPr="00794ECE">
        <w:t>.</w:t>
      </w:r>
    </w:p>
    <w:p w14:paraId="30D116E3" w14:textId="77777777" w:rsidR="00794ECE" w:rsidRPr="00794ECE" w:rsidRDefault="00794ECE" w:rsidP="00794ECE">
      <w:r w:rsidRPr="00794ECE">
        <w:t>Os três pilares que agora dominam o contencioso bancário são:</w:t>
      </w:r>
    </w:p>
    <w:p w14:paraId="6067C407" w14:textId="77777777" w:rsidR="00794ECE" w:rsidRPr="00794ECE" w:rsidRDefault="00794ECE" w:rsidP="00794ECE">
      <w:pPr>
        <w:numPr>
          <w:ilvl w:val="0"/>
          <w:numId w:val="1"/>
        </w:numPr>
      </w:pPr>
      <w:proofErr w:type="spellStart"/>
      <w:r w:rsidRPr="00794ECE">
        <w:rPr>
          <w:b/>
          <w:bCs/>
        </w:rPr>
        <w:t>Staging</w:t>
      </w:r>
      <w:proofErr w:type="spellEnd"/>
      <w:r w:rsidRPr="00794ECE">
        <w:rPr>
          <w:b/>
          <w:bCs/>
        </w:rPr>
        <w:t xml:space="preserve"> (Classificação em 3 Estágios):</w:t>
      </w:r>
      <w:r w:rsidRPr="00794ECE">
        <w:t xml:space="preserve"> A migração de um ativo do Estágio 1 para o Estágio 2 (Aumento Significativo de Risco - SICR) é onde ocorrem as maiores distorções. Um erro na parametrização do algoritmo pode forçar uma provisão indevida para toda a vida do contrato, impactando diretamente o resultado financeiro.</w:t>
      </w:r>
    </w:p>
    <w:p w14:paraId="07D817EA" w14:textId="77777777" w:rsidR="00794ECE" w:rsidRPr="00794ECE" w:rsidRDefault="00794ECE" w:rsidP="00794ECE">
      <w:pPr>
        <w:numPr>
          <w:ilvl w:val="0"/>
          <w:numId w:val="1"/>
        </w:numPr>
      </w:pPr>
      <w:proofErr w:type="spellStart"/>
      <w:r w:rsidRPr="00794ECE">
        <w:rPr>
          <w:b/>
          <w:bCs/>
        </w:rPr>
        <w:t>Forward-looking</w:t>
      </w:r>
      <w:proofErr w:type="spellEnd"/>
      <w:r w:rsidRPr="00794ECE">
        <w:rPr>
          <w:b/>
          <w:bCs/>
        </w:rPr>
        <w:t xml:space="preserve"> (Dados Prospectivos):</w:t>
      </w:r>
      <w:r w:rsidRPr="00794ECE">
        <w:t xml:space="preserve"> A provisão agora deve considerar variáveis como desemprego e PIB. Se o banco utiliza dados sem validação técnica ou fontes corrompidas, o cálculo da perícia pode — e deve — ser derrubado.</w:t>
      </w:r>
    </w:p>
    <w:p w14:paraId="081A178B" w14:textId="77777777" w:rsidR="00794ECE" w:rsidRPr="00794ECE" w:rsidRDefault="00794ECE" w:rsidP="00794ECE">
      <w:pPr>
        <w:numPr>
          <w:ilvl w:val="0"/>
          <w:numId w:val="1"/>
        </w:numPr>
      </w:pPr>
      <w:r w:rsidRPr="00794ECE">
        <w:rPr>
          <w:b/>
          <w:bCs/>
        </w:rPr>
        <w:t xml:space="preserve">Linhagem de Dados (Data </w:t>
      </w:r>
      <w:proofErr w:type="spellStart"/>
      <w:r w:rsidRPr="00794ECE">
        <w:rPr>
          <w:b/>
          <w:bCs/>
        </w:rPr>
        <w:t>Lineage</w:t>
      </w:r>
      <w:proofErr w:type="spellEnd"/>
      <w:r w:rsidRPr="00794ECE">
        <w:rPr>
          <w:b/>
          <w:bCs/>
        </w:rPr>
        <w:t>):</w:t>
      </w:r>
      <w:r w:rsidRPr="00794ECE">
        <w:t xml:space="preserve"> Como Analista de Sistemas, sei que a transição de sistemas legados para o novo padrão é um campo minado. Dados mal parametrizados geram resultados viciados.</w:t>
      </w:r>
    </w:p>
    <w:p w14:paraId="6C05F76D" w14:textId="77777777" w:rsidR="00794ECE" w:rsidRPr="00794ECE" w:rsidRDefault="00794ECE" w:rsidP="00794ECE">
      <w:pPr>
        <w:rPr>
          <w:b/>
          <w:bCs/>
        </w:rPr>
      </w:pPr>
      <w:r w:rsidRPr="00794ECE">
        <w:rPr>
          <w:b/>
          <w:bCs/>
        </w:rPr>
        <w:lastRenderedPageBreak/>
        <w:t>O "Pulo do Gato": Questionando o Motor de Cálculo</w:t>
      </w:r>
    </w:p>
    <w:p w14:paraId="3BF1F8D3" w14:textId="77777777" w:rsidR="00794ECE" w:rsidRPr="00794ECE" w:rsidRDefault="00794ECE" w:rsidP="00794ECE">
      <w:r w:rsidRPr="00794ECE">
        <w:t xml:space="preserve">O diferencial de uma perícia estratégica não é perguntar </w:t>
      </w:r>
      <w:r w:rsidRPr="00794ECE">
        <w:rPr>
          <w:i/>
          <w:iCs/>
        </w:rPr>
        <w:t>se</w:t>
      </w:r>
      <w:r w:rsidRPr="00794ECE">
        <w:t xml:space="preserve"> o cálculo está certo, mas sim </w:t>
      </w:r>
      <w:r w:rsidRPr="00794ECE">
        <w:rPr>
          <w:b/>
          <w:bCs/>
        </w:rPr>
        <w:t>qual é a lógica do algoritmo</w:t>
      </w:r>
      <w:r w:rsidRPr="00794ECE">
        <w:t>.</w:t>
      </w:r>
    </w:p>
    <w:p w14:paraId="4CE3839A" w14:textId="77777777" w:rsidR="00794ECE" w:rsidRPr="00794ECE" w:rsidRDefault="00794ECE" w:rsidP="00794ECE">
      <w:r w:rsidRPr="00794ECE">
        <w:t xml:space="preserve">Um dos pontos mais sensíveis da Resolução 4.966 são os chamados </w:t>
      </w:r>
      <w:r w:rsidRPr="00794ECE">
        <w:rPr>
          <w:b/>
          <w:bCs/>
        </w:rPr>
        <w:t>Management Overlays</w:t>
      </w:r>
      <w:r w:rsidRPr="00794ECE">
        <w:t xml:space="preserve"> (Ajustes de Gestão). Muitas vezes, quando o modelo estatístico do banco falha ou não entrega o número desejado pela diretoria, aplicam-se ajustes manuais para "corrigir" o algoritmo.</w:t>
      </w:r>
    </w:p>
    <w:p w14:paraId="4F3C99B0" w14:textId="77777777" w:rsidR="00794ECE" w:rsidRPr="00794ECE" w:rsidRDefault="00794ECE" w:rsidP="00794ECE">
      <w:r w:rsidRPr="00794ECE">
        <w:rPr>
          <w:b/>
          <w:bCs/>
        </w:rPr>
        <w:t>O Quesito de Ouro:</w:t>
      </w:r>
      <w:r w:rsidRPr="00794ECE">
        <w:t xml:space="preserve"> Questionar a fundamentação técnica desses ajustes manuais é a armadilha perfeita para expor fragilidades na governança de dados da instituição.</w:t>
      </w:r>
    </w:p>
    <w:p w14:paraId="62E0E09C" w14:textId="77777777" w:rsidR="00794ECE" w:rsidRPr="00794ECE" w:rsidRDefault="00794ECE" w:rsidP="00794ECE">
      <w:pPr>
        <w:rPr>
          <w:b/>
          <w:bCs/>
        </w:rPr>
      </w:pPr>
      <w:r w:rsidRPr="00794ECE">
        <w:rPr>
          <w:b/>
          <w:bCs/>
        </w:rPr>
        <w:t>Conclusão: A Ciência por Trás da Defesa</w:t>
      </w:r>
    </w:p>
    <w:p w14:paraId="68159B2F" w14:textId="77777777" w:rsidR="00794ECE" w:rsidRPr="00794ECE" w:rsidRDefault="00794ECE" w:rsidP="00794ECE">
      <w:r w:rsidRPr="00794ECE">
        <w:t>A perícia judicial moderna exige uma fusão entre a ciência da administração e a engenharia de software. Não basta ser contador; é preciso ser um auditor de algoritmos. Ao forçar a Instituição Financeira a abrir sua "caixa-preta", revelamos se a governança prometida pela 4.966 é real ou apenas uma máscara sistêmica.</w:t>
      </w:r>
    </w:p>
    <w:p w14:paraId="1FEF441A" w14:textId="77777777" w:rsidR="00794ECE" w:rsidRPr="00794ECE" w:rsidRDefault="00000000" w:rsidP="00794ECE">
      <w:r>
        <w:pict w14:anchorId="11EBBC87">
          <v:rect id="_x0000_i1026" style="width:0;height:1.5pt" o:hralign="center" o:hrstd="t" o:hrnoshade="t" o:hr="t" fillcolor="gray" stroked="f"/>
        </w:pict>
      </w:r>
    </w:p>
    <w:p w14:paraId="39144DBF" w14:textId="77777777" w:rsidR="00794ECE" w:rsidRPr="00794ECE" w:rsidRDefault="00794ECE" w:rsidP="00794ECE">
      <w:pPr>
        <w:rPr>
          <w:b/>
          <w:bCs/>
        </w:rPr>
      </w:pPr>
      <w:r w:rsidRPr="00794ECE">
        <w:rPr>
          <w:b/>
          <w:bCs/>
        </w:rPr>
        <w:t>Dica de Especialista para o seu PDF:</w:t>
      </w:r>
    </w:p>
    <w:p w14:paraId="5AF769FB" w14:textId="77777777" w:rsidR="00794ECE" w:rsidRPr="00794ECE" w:rsidRDefault="00794ECE" w:rsidP="00794ECE">
      <w:r w:rsidRPr="00794ECE">
        <w:t xml:space="preserve">Como você tem o domínio do ecossistema </w:t>
      </w:r>
      <w:proofErr w:type="spellStart"/>
      <w:r w:rsidRPr="00794ECE">
        <w:rPr>
          <w:b/>
          <w:bCs/>
        </w:rPr>
        <w:t>Topaz</w:t>
      </w:r>
      <w:proofErr w:type="spellEnd"/>
      <w:r w:rsidRPr="00794ECE">
        <w:t xml:space="preserve">, você pode incluir um rodapé ou uma nota de autor mencionando que sua visão une a experiência em </w:t>
      </w:r>
      <w:r w:rsidRPr="00794ECE">
        <w:rPr>
          <w:i/>
          <w:iCs/>
        </w:rPr>
        <w:t>core banking</w:t>
      </w:r>
      <w:r w:rsidRPr="00794ECE">
        <w:t xml:space="preserve"> com o rigor acadêmico do doutorado. Isso </w:t>
      </w:r>
      <w:proofErr w:type="spellStart"/>
      <w:r w:rsidRPr="00794ECE">
        <w:t>valida</w:t>
      </w:r>
      <w:proofErr w:type="spellEnd"/>
      <w:r w:rsidRPr="00794ECE">
        <w:t xml:space="preserve"> </w:t>
      </w:r>
      <w:proofErr w:type="gramStart"/>
      <w:r w:rsidRPr="00794ECE">
        <w:t>por que</w:t>
      </w:r>
      <w:proofErr w:type="gramEnd"/>
      <w:r w:rsidRPr="00794ECE">
        <w:t xml:space="preserve"> seus quesitos são "cirúrgicos".</w:t>
      </w:r>
    </w:p>
    <w:p w14:paraId="60A9BAF7" w14:textId="77777777" w:rsidR="00794ECE" w:rsidRPr="00794ECE" w:rsidRDefault="00794ECE" w:rsidP="00794ECE">
      <w:r w:rsidRPr="00794ECE">
        <w:rPr>
          <w:b/>
          <w:bCs/>
        </w:rPr>
        <w:t>Próximo Passo:</w:t>
      </w:r>
    </w:p>
    <w:p w14:paraId="6A768E70" w14:textId="77777777" w:rsidR="00794ECE" w:rsidRPr="00794ECE" w:rsidRDefault="00794ECE" w:rsidP="00794ECE">
      <w:r w:rsidRPr="00794ECE">
        <w:t xml:space="preserve">Gostaria que eu formatasse agora a estrutura da sua próxima </w:t>
      </w:r>
      <w:r w:rsidRPr="00794ECE">
        <w:rPr>
          <w:b/>
          <w:bCs/>
        </w:rPr>
        <w:t>Landing Page de Auditoria de Seguros</w:t>
      </w:r>
      <w:r w:rsidRPr="00794ECE">
        <w:t>, ou prefere que eu elabore uma sequência de posts para redes sociais baseada neste artigo?</w:t>
      </w:r>
    </w:p>
    <w:p w14:paraId="58C07734" w14:textId="3C7AD1F7" w:rsidR="00925033" w:rsidRDefault="00925033">
      <w:r>
        <w:br w:type="page"/>
      </w:r>
    </w:p>
    <w:p w14:paraId="667ABA6B" w14:textId="77777777" w:rsidR="00925033" w:rsidRPr="00925033" w:rsidRDefault="00925033" w:rsidP="00925033">
      <w:r w:rsidRPr="00925033">
        <w:lastRenderedPageBreak/>
        <w:t>Esta Nota Técnica foi elaborada com o rigor científico e a diligência profissional exigidos para fundamentar a atuação pericial de elite. O foco reside na transição do modelo contábil de instituições financeiras e na imperatividade da transparência algorítmica.</w:t>
      </w:r>
    </w:p>
    <w:p w14:paraId="0D4E936F" w14:textId="77777777" w:rsidR="00925033" w:rsidRPr="00925033" w:rsidRDefault="00925033" w:rsidP="00925033">
      <w:r w:rsidRPr="00925033">
        <w:pict w14:anchorId="115CE0A7">
          <v:rect id="_x0000_i1039" style="width:0;height:1.5pt" o:hralign="center" o:hrstd="t" o:hrnoshade="t" o:hr="t" fillcolor="gray" stroked="f"/>
        </w:pict>
      </w:r>
    </w:p>
    <w:p w14:paraId="1A7AC6C5" w14:textId="77777777" w:rsidR="00925033" w:rsidRPr="00925033" w:rsidRDefault="00925033" w:rsidP="00925033">
      <w:pPr>
        <w:rPr>
          <w:b/>
          <w:bCs/>
        </w:rPr>
      </w:pPr>
      <w:r w:rsidRPr="00925033">
        <w:rPr>
          <w:b/>
          <w:bCs/>
        </w:rPr>
        <w:t>Nota Técnica: Diligência e Responsabilidade na Auditoria da Resolução CMN 4.966/21</w:t>
      </w:r>
    </w:p>
    <w:p w14:paraId="732824F1" w14:textId="77777777" w:rsidR="00925033" w:rsidRPr="00925033" w:rsidRDefault="00925033" w:rsidP="00925033">
      <w:r w:rsidRPr="00925033">
        <w:rPr>
          <w:b/>
          <w:bCs/>
        </w:rPr>
        <w:t>Assunto:</w:t>
      </w:r>
      <w:r w:rsidRPr="00925033">
        <w:t xml:space="preserve"> Fundamentação legal e normativa para a auditabilidade de modelos de perda esperada (ECL) e governança de dados no setor bancário.</w:t>
      </w:r>
    </w:p>
    <w:p w14:paraId="661E2649" w14:textId="77777777" w:rsidR="00925033" w:rsidRPr="00925033" w:rsidRDefault="00925033" w:rsidP="00925033">
      <w:pPr>
        <w:rPr>
          <w:b/>
          <w:bCs/>
        </w:rPr>
      </w:pPr>
      <w:r w:rsidRPr="00925033">
        <w:rPr>
          <w:b/>
          <w:bCs/>
        </w:rPr>
        <w:t>1. O Amparo Normativo: BACEN e o Padrão IFRS 9</w:t>
      </w:r>
    </w:p>
    <w:p w14:paraId="2DAFBEB9" w14:textId="77777777" w:rsidR="00925033" w:rsidRPr="00925033" w:rsidRDefault="00925033" w:rsidP="00925033">
      <w:r w:rsidRPr="00925033">
        <w:t xml:space="preserve">A </w:t>
      </w:r>
      <w:r w:rsidRPr="00925033">
        <w:rPr>
          <w:b/>
          <w:bCs/>
        </w:rPr>
        <w:t>Resolução CMN nº 4.966/2021</w:t>
      </w:r>
      <w:r w:rsidRPr="00925033">
        <w:t xml:space="preserve"> não é uma norma isolada, mas a convergência do Brasil ao padrão internacional </w:t>
      </w:r>
      <w:r w:rsidRPr="00925033">
        <w:rPr>
          <w:b/>
          <w:bCs/>
        </w:rPr>
        <w:t>IFRS 9</w:t>
      </w:r>
      <w:r w:rsidRPr="00925033">
        <w:t xml:space="preserve">. A diligência técnica exige que se compreenda que a norma altera o gatilho da provisão: sai a "perda incorrida" e entra a </w:t>
      </w:r>
      <w:r w:rsidRPr="00925033">
        <w:rPr>
          <w:b/>
          <w:bCs/>
        </w:rPr>
        <w:t xml:space="preserve">Perda Esperada (ECL – </w:t>
      </w:r>
      <w:proofErr w:type="spellStart"/>
      <w:r w:rsidRPr="00925033">
        <w:rPr>
          <w:b/>
          <w:bCs/>
        </w:rPr>
        <w:t>Expected</w:t>
      </w:r>
      <w:proofErr w:type="spellEnd"/>
      <w:r w:rsidRPr="00925033">
        <w:rPr>
          <w:b/>
          <w:bCs/>
        </w:rPr>
        <w:t xml:space="preserve"> </w:t>
      </w:r>
      <w:proofErr w:type="spellStart"/>
      <w:r w:rsidRPr="00925033">
        <w:rPr>
          <w:b/>
          <w:bCs/>
        </w:rPr>
        <w:t>Credit</w:t>
      </w:r>
      <w:proofErr w:type="spellEnd"/>
      <w:r w:rsidRPr="00925033">
        <w:rPr>
          <w:b/>
          <w:bCs/>
        </w:rPr>
        <w:t xml:space="preserve"> </w:t>
      </w:r>
      <w:proofErr w:type="spellStart"/>
      <w:r w:rsidRPr="00925033">
        <w:rPr>
          <w:b/>
          <w:bCs/>
        </w:rPr>
        <w:t>Loss</w:t>
      </w:r>
      <w:proofErr w:type="spellEnd"/>
      <w:r w:rsidRPr="00925033">
        <w:rPr>
          <w:b/>
          <w:bCs/>
        </w:rPr>
        <w:t>)</w:t>
      </w:r>
      <w:r w:rsidRPr="00925033">
        <w:t>.</w:t>
      </w:r>
    </w:p>
    <w:p w14:paraId="4A3490E1" w14:textId="77777777" w:rsidR="00925033" w:rsidRPr="00925033" w:rsidRDefault="00925033" w:rsidP="00925033">
      <w:pPr>
        <w:numPr>
          <w:ilvl w:val="0"/>
          <w:numId w:val="2"/>
        </w:numPr>
      </w:pPr>
      <w:r w:rsidRPr="00925033">
        <w:rPr>
          <w:b/>
          <w:bCs/>
        </w:rPr>
        <w:t>Auditabilidade Compulsória (Art. 3º e 4º):</w:t>
      </w:r>
      <w:r w:rsidRPr="00925033">
        <w:t xml:space="preserve"> A norma estabelece que as instituições financeiras devem manter documentação detalhada das metodologias, modelos e pressupostos utilizados. A inexistência de rastreabilidade ou a recusa em apresentar a lógica do modelo constitui descumprimento normativo perante o Banco Central.</w:t>
      </w:r>
    </w:p>
    <w:p w14:paraId="5DA6E120" w14:textId="77777777" w:rsidR="00925033" w:rsidRPr="00925033" w:rsidRDefault="00925033" w:rsidP="00925033">
      <w:pPr>
        <w:numPr>
          <w:ilvl w:val="0"/>
          <w:numId w:val="2"/>
        </w:numPr>
      </w:pPr>
      <w:r w:rsidRPr="00925033">
        <w:rPr>
          <w:b/>
          <w:bCs/>
        </w:rPr>
        <w:t>Gestão de Riscos (Resolução CMN nº 4.557/17):</w:t>
      </w:r>
      <w:r w:rsidRPr="00925033">
        <w:t xml:space="preserve"> Esta resolução obriga as instituições a terem estruturas de gerenciamento de riscos robustas. A Resolução 4.966/21 herda essa obrigatoriedade, exigindo que o </w:t>
      </w:r>
      <w:r w:rsidRPr="00925033">
        <w:rPr>
          <w:b/>
          <w:bCs/>
        </w:rPr>
        <w:t>modelo de risco</w:t>
      </w:r>
      <w:r w:rsidRPr="00925033">
        <w:t xml:space="preserve"> (o algoritmo) seja passível de validação independente.</w:t>
      </w:r>
    </w:p>
    <w:p w14:paraId="66177D36" w14:textId="77777777" w:rsidR="00925033" w:rsidRPr="00925033" w:rsidRDefault="00925033" w:rsidP="00925033">
      <w:pPr>
        <w:rPr>
          <w:b/>
          <w:bCs/>
        </w:rPr>
      </w:pPr>
      <w:r w:rsidRPr="00925033">
        <w:rPr>
          <w:b/>
          <w:bCs/>
        </w:rPr>
        <w:t>2. A Premissa da "Caixa-Preta" vs. Dever de Transparência</w:t>
      </w:r>
    </w:p>
    <w:p w14:paraId="2E2B72BC" w14:textId="77777777" w:rsidR="00925033" w:rsidRPr="00925033" w:rsidRDefault="00925033" w:rsidP="00925033">
      <w:r w:rsidRPr="00925033">
        <w:t xml:space="preserve">A realidade técnica é que o cálculo da Perda Esperada depende de três variáveis fundamentais que </w:t>
      </w:r>
      <w:r w:rsidRPr="00925033">
        <w:rPr>
          <w:b/>
          <w:bCs/>
        </w:rPr>
        <w:t>devem</w:t>
      </w:r>
      <w:r w:rsidRPr="00925033">
        <w:t xml:space="preserve"> ser auditadas:</w:t>
      </w:r>
    </w:p>
    <w:p w14:paraId="53DD6246" w14:textId="77777777" w:rsidR="00925033" w:rsidRPr="00925033" w:rsidRDefault="00925033" w:rsidP="00925033">
      <w:pPr>
        <w:numPr>
          <w:ilvl w:val="0"/>
          <w:numId w:val="3"/>
        </w:numPr>
      </w:pPr>
      <w:r w:rsidRPr="00925033">
        <w:rPr>
          <w:b/>
          <w:bCs/>
        </w:rPr>
        <w:t>PD (</w:t>
      </w:r>
      <w:proofErr w:type="spellStart"/>
      <w:r w:rsidRPr="00925033">
        <w:rPr>
          <w:b/>
          <w:bCs/>
        </w:rPr>
        <w:t>Probability</w:t>
      </w:r>
      <w:proofErr w:type="spellEnd"/>
      <w:r w:rsidRPr="00925033">
        <w:rPr>
          <w:b/>
          <w:bCs/>
        </w:rPr>
        <w:t xml:space="preserve"> of Default):</w:t>
      </w:r>
      <w:r w:rsidRPr="00925033">
        <w:t xml:space="preserve"> A probabilidade de o cliente não pagar.</w:t>
      </w:r>
    </w:p>
    <w:p w14:paraId="6F0FF84F" w14:textId="77777777" w:rsidR="00925033" w:rsidRPr="00925033" w:rsidRDefault="00925033" w:rsidP="00925033">
      <w:pPr>
        <w:numPr>
          <w:ilvl w:val="0"/>
          <w:numId w:val="3"/>
        </w:numPr>
      </w:pPr>
      <w:r w:rsidRPr="00925033">
        <w:rPr>
          <w:b/>
          <w:bCs/>
        </w:rPr>
        <w:t>LGD (</w:t>
      </w:r>
      <w:proofErr w:type="spellStart"/>
      <w:r w:rsidRPr="00925033">
        <w:rPr>
          <w:b/>
          <w:bCs/>
        </w:rPr>
        <w:t>Loss</w:t>
      </w:r>
      <w:proofErr w:type="spellEnd"/>
      <w:r w:rsidRPr="00925033">
        <w:rPr>
          <w:b/>
          <w:bCs/>
        </w:rPr>
        <w:t xml:space="preserve"> </w:t>
      </w:r>
      <w:proofErr w:type="spellStart"/>
      <w:r w:rsidRPr="00925033">
        <w:rPr>
          <w:b/>
          <w:bCs/>
        </w:rPr>
        <w:t>Given</w:t>
      </w:r>
      <w:proofErr w:type="spellEnd"/>
      <w:r w:rsidRPr="00925033">
        <w:rPr>
          <w:b/>
          <w:bCs/>
        </w:rPr>
        <w:t xml:space="preserve"> Default):</w:t>
      </w:r>
      <w:r w:rsidRPr="00925033">
        <w:t xml:space="preserve"> O quanto o banco efetivamente perde se o cliente falhar.</w:t>
      </w:r>
    </w:p>
    <w:p w14:paraId="52B5E995" w14:textId="77777777" w:rsidR="00925033" w:rsidRPr="00925033" w:rsidRDefault="00925033" w:rsidP="00925033">
      <w:pPr>
        <w:numPr>
          <w:ilvl w:val="0"/>
          <w:numId w:val="3"/>
        </w:numPr>
      </w:pPr>
      <w:r w:rsidRPr="00925033">
        <w:rPr>
          <w:b/>
          <w:bCs/>
        </w:rPr>
        <w:t>EAD (</w:t>
      </w:r>
      <w:proofErr w:type="spellStart"/>
      <w:r w:rsidRPr="00925033">
        <w:rPr>
          <w:b/>
          <w:bCs/>
        </w:rPr>
        <w:t>Exposure</w:t>
      </w:r>
      <w:proofErr w:type="spellEnd"/>
      <w:r w:rsidRPr="00925033">
        <w:rPr>
          <w:b/>
          <w:bCs/>
        </w:rPr>
        <w:t xml:space="preserve"> at Default):</w:t>
      </w:r>
      <w:r w:rsidRPr="00925033">
        <w:t xml:space="preserve"> O valor da exposição no momento da falha.</w:t>
      </w:r>
    </w:p>
    <w:p w14:paraId="27CECEC6" w14:textId="77777777" w:rsidR="00925033" w:rsidRPr="00925033" w:rsidRDefault="00925033" w:rsidP="00925033">
      <w:r w:rsidRPr="00925033">
        <w:rPr>
          <w:b/>
          <w:bCs/>
        </w:rPr>
        <w:t>A Verdade Técnica:</w:t>
      </w:r>
      <w:r w:rsidRPr="00925033">
        <w:t xml:space="preserve"> Se uma instituição financeira não demonstra a </w:t>
      </w:r>
      <w:r w:rsidRPr="00925033">
        <w:rPr>
          <w:b/>
          <w:bCs/>
        </w:rPr>
        <w:t xml:space="preserve">Linhagem de Dados (Data </w:t>
      </w:r>
      <w:proofErr w:type="spellStart"/>
      <w:r w:rsidRPr="00925033">
        <w:rPr>
          <w:b/>
          <w:bCs/>
        </w:rPr>
        <w:t>Lineage</w:t>
      </w:r>
      <w:proofErr w:type="spellEnd"/>
      <w:r w:rsidRPr="00925033">
        <w:rPr>
          <w:b/>
          <w:bCs/>
        </w:rPr>
        <w:t>)</w:t>
      </w:r>
      <w:r w:rsidRPr="00925033">
        <w:t xml:space="preserve"> — ou seja, de onde veio a informação e como ela foi processada pelo algoritmo — ela fere o princípio da fidedignidade da informação financeira.</w:t>
      </w:r>
    </w:p>
    <w:p w14:paraId="43DF4D02" w14:textId="77777777" w:rsidR="00925033" w:rsidRPr="00925033" w:rsidRDefault="00925033" w:rsidP="00925033">
      <w:pPr>
        <w:rPr>
          <w:b/>
          <w:bCs/>
        </w:rPr>
      </w:pPr>
      <w:r w:rsidRPr="00925033">
        <w:rPr>
          <w:b/>
          <w:bCs/>
        </w:rPr>
        <w:lastRenderedPageBreak/>
        <w:t>3. Jurisprudência e a Prova Pericial em TI</w:t>
      </w:r>
    </w:p>
    <w:p w14:paraId="689A1FB7" w14:textId="77777777" w:rsidR="00925033" w:rsidRPr="00925033" w:rsidRDefault="00925033" w:rsidP="00925033">
      <w:r w:rsidRPr="00925033">
        <w:t xml:space="preserve">Embora a Resolução 4.966/21 seja recente (com implementação plena em 2025), a jurisprudência brasileira consolidada sobre </w:t>
      </w:r>
      <w:r w:rsidRPr="00925033">
        <w:rPr>
          <w:b/>
          <w:bCs/>
        </w:rPr>
        <w:t>Perícia em Sistemas</w:t>
      </w:r>
      <w:r w:rsidRPr="00925033">
        <w:t xml:space="preserve"> e </w:t>
      </w:r>
      <w:r w:rsidRPr="00925033">
        <w:rPr>
          <w:b/>
          <w:bCs/>
        </w:rPr>
        <w:t>Direito Bancário</w:t>
      </w:r>
      <w:r w:rsidRPr="00925033">
        <w:t xml:space="preserve"> já aponta o caminho da responsabilidade:</w:t>
      </w:r>
    </w:p>
    <w:p w14:paraId="7BBF8F16" w14:textId="77777777" w:rsidR="00925033" w:rsidRPr="00925033" w:rsidRDefault="00925033" w:rsidP="00925033">
      <w:pPr>
        <w:numPr>
          <w:ilvl w:val="0"/>
          <w:numId w:val="4"/>
        </w:numPr>
      </w:pPr>
      <w:r w:rsidRPr="00925033">
        <w:rPr>
          <w:b/>
          <w:bCs/>
        </w:rPr>
        <w:t>Inversão do Ônus da Prova (CDC, Art. 6º, VIII):</w:t>
      </w:r>
      <w:r w:rsidRPr="00925033">
        <w:t xml:space="preserve"> Em relações de consumo bancárias, cabe à instituição provar a retidão dos seus sistemas. Se o banco alega que o provisionamento e os encargos seguem a 4.966, ele deve provar a integridade do algoritmo sob pena de presunção de erro material.</w:t>
      </w:r>
    </w:p>
    <w:p w14:paraId="7EE13680" w14:textId="77777777" w:rsidR="00925033" w:rsidRPr="00925033" w:rsidRDefault="00925033" w:rsidP="00925033">
      <w:pPr>
        <w:numPr>
          <w:ilvl w:val="0"/>
          <w:numId w:val="4"/>
        </w:numPr>
      </w:pPr>
      <w:r w:rsidRPr="00925033">
        <w:rPr>
          <w:b/>
          <w:bCs/>
        </w:rPr>
        <w:t>Poder Instrutório do Juiz (CPC, Art. 370):</w:t>
      </w:r>
      <w:r w:rsidRPr="00925033">
        <w:t xml:space="preserve"> O juiz tem o dever de determinar as provas necessárias. Quando um cálculo é "sistêmico", a perícia contábil comum é insuficiente. A jurisprudência tem admitido a necessidade de </w:t>
      </w:r>
      <w:r w:rsidRPr="00925033">
        <w:rPr>
          <w:b/>
          <w:bCs/>
        </w:rPr>
        <w:t>Perito Especialista em TI/Sistemas</w:t>
      </w:r>
      <w:r w:rsidRPr="00925033">
        <w:t xml:space="preserve"> quando o ponto controvertido reside na "lógica interna do software".</w:t>
      </w:r>
    </w:p>
    <w:p w14:paraId="20F4C1EA" w14:textId="77777777" w:rsidR="00925033" w:rsidRPr="00925033" w:rsidRDefault="00925033" w:rsidP="00925033">
      <w:pPr>
        <w:rPr>
          <w:b/>
          <w:bCs/>
        </w:rPr>
      </w:pPr>
      <w:r w:rsidRPr="00925033">
        <w:rPr>
          <w:b/>
          <w:bCs/>
        </w:rPr>
        <w:t>4. Como a Auditoria deve ser Realizada (Metodologia Diligente)</w:t>
      </w:r>
    </w:p>
    <w:p w14:paraId="68BFF9C2" w14:textId="77777777" w:rsidR="00925033" w:rsidRPr="00925033" w:rsidRDefault="00925033" w:rsidP="00925033">
      <w:r w:rsidRPr="00925033">
        <w:t>Para que a auditoria seja responsável e inquestionável, ela deve seguir estes passos:</w:t>
      </w:r>
    </w:p>
    <w:p w14:paraId="27DD79D2" w14:textId="77777777" w:rsidR="00925033" w:rsidRPr="00925033" w:rsidRDefault="00925033" w:rsidP="00925033">
      <w:pPr>
        <w:numPr>
          <w:ilvl w:val="0"/>
          <w:numId w:val="5"/>
        </w:numPr>
      </w:pPr>
      <w:r w:rsidRPr="00925033">
        <w:rPr>
          <w:b/>
          <w:bCs/>
        </w:rPr>
        <w:t xml:space="preserve">Auditoria de </w:t>
      </w:r>
      <w:proofErr w:type="spellStart"/>
      <w:r w:rsidRPr="00925033">
        <w:rPr>
          <w:b/>
          <w:bCs/>
        </w:rPr>
        <w:t>Staging</w:t>
      </w:r>
      <w:proofErr w:type="spellEnd"/>
      <w:r w:rsidRPr="00925033">
        <w:rPr>
          <w:b/>
          <w:bCs/>
        </w:rPr>
        <w:t xml:space="preserve"> (SICR):</w:t>
      </w:r>
      <w:r w:rsidRPr="00925033">
        <w:t xml:space="preserve"> Verificar se os critérios de "Aumento Significativo de Risco" (SICR) são objetivos ou se o banco migra ativos para o Estágio 2 de forma arbitrária para inflar provisões.</w:t>
      </w:r>
    </w:p>
    <w:p w14:paraId="769727CE" w14:textId="77777777" w:rsidR="00925033" w:rsidRPr="00925033" w:rsidRDefault="00925033" w:rsidP="00925033">
      <w:pPr>
        <w:numPr>
          <w:ilvl w:val="0"/>
          <w:numId w:val="5"/>
        </w:numPr>
      </w:pPr>
      <w:r w:rsidRPr="00925033">
        <w:rPr>
          <w:b/>
          <w:bCs/>
        </w:rPr>
        <w:t>Validação de Management Overlays:</w:t>
      </w:r>
      <w:r w:rsidRPr="00925033">
        <w:t xml:space="preserve"> Identificar se ajustes manuais de diretoria (overlays) foram aplicados para distorcer o modelo estatístico puro.</w:t>
      </w:r>
    </w:p>
    <w:p w14:paraId="1FDF04B8" w14:textId="77777777" w:rsidR="00925033" w:rsidRPr="00925033" w:rsidRDefault="00925033" w:rsidP="00925033">
      <w:pPr>
        <w:numPr>
          <w:ilvl w:val="0"/>
          <w:numId w:val="5"/>
        </w:numPr>
      </w:pPr>
      <w:r w:rsidRPr="00925033">
        <w:rPr>
          <w:b/>
          <w:bCs/>
        </w:rPr>
        <w:t xml:space="preserve">Conferência de Dados </w:t>
      </w:r>
      <w:proofErr w:type="spellStart"/>
      <w:r w:rsidRPr="00925033">
        <w:rPr>
          <w:b/>
          <w:bCs/>
        </w:rPr>
        <w:t>Forward-looking</w:t>
      </w:r>
      <w:proofErr w:type="spellEnd"/>
      <w:r w:rsidRPr="00925033">
        <w:rPr>
          <w:b/>
          <w:bCs/>
        </w:rPr>
        <w:t>:</w:t>
      </w:r>
      <w:r w:rsidRPr="00925033">
        <w:t xml:space="preserve"> Auditar se as projeções macroeconômicas (PIB, desemprego) usadas pelo banco são baseadas em fontes oficiais ou em cenários enviesados.</w:t>
      </w:r>
    </w:p>
    <w:p w14:paraId="49C4DC7D" w14:textId="77777777" w:rsidR="00925033" w:rsidRPr="00925033" w:rsidRDefault="00925033" w:rsidP="00925033">
      <w:pPr>
        <w:rPr>
          <w:b/>
          <w:bCs/>
        </w:rPr>
      </w:pPr>
      <w:r w:rsidRPr="00925033">
        <w:rPr>
          <w:b/>
          <w:bCs/>
        </w:rPr>
        <w:t>5. Conclusão Responsável</w:t>
      </w:r>
    </w:p>
    <w:p w14:paraId="204B727E" w14:textId="77777777" w:rsidR="00925033" w:rsidRPr="00925033" w:rsidRDefault="00925033" w:rsidP="00925033">
      <w:r w:rsidRPr="00925033">
        <w:t xml:space="preserve">Não há, até o presente momento, jurisprudência específica que cite nominalmente "anulação de cálculo por erro na Resolução 4.966" devido à sua contemporaneidade. No entanto, o </w:t>
      </w:r>
      <w:r w:rsidRPr="00925033">
        <w:rPr>
          <w:b/>
          <w:bCs/>
        </w:rPr>
        <w:t>dever de transparência e a auditabilidade de sistemas críticos</w:t>
      </w:r>
      <w:r w:rsidRPr="00925033">
        <w:t xml:space="preserve"> são pilares consolidados no ordenamento jurídico brasileiro.</w:t>
      </w:r>
    </w:p>
    <w:p w14:paraId="0973FF67" w14:textId="77777777" w:rsidR="00925033" w:rsidRPr="00925033" w:rsidRDefault="00925033" w:rsidP="00925033">
      <w:r w:rsidRPr="00925033">
        <w:t>O perito que ignora a engenharia de dados e foca apenas no saldo final está sendo negligente com a nova realidade normativa. A diligência exige que a "Caixa-Preta" seja aberta para garantir que o direito do jurisdicionado não seja suprimido por uma opacidade algorítmica.</w:t>
      </w:r>
    </w:p>
    <w:p w14:paraId="4219CBAA" w14:textId="77777777" w:rsidR="00925033" w:rsidRPr="00925033" w:rsidRDefault="00925033" w:rsidP="00925033">
      <w:r w:rsidRPr="00925033">
        <w:lastRenderedPageBreak/>
        <w:pict w14:anchorId="33232622">
          <v:rect id="_x0000_i1040" style="width:0;height:1.5pt" o:hralign="center" o:hrstd="t" o:hrnoshade="t" o:hr="t" fillcolor="gray" stroked="f"/>
        </w:pict>
      </w:r>
    </w:p>
    <w:p w14:paraId="72A709E7" w14:textId="77777777" w:rsidR="00925033" w:rsidRPr="00925033" w:rsidRDefault="00925033" w:rsidP="00925033">
      <w:r w:rsidRPr="00925033">
        <w:rPr>
          <w:b/>
          <w:bCs/>
        </w:rPr>
        <w:t>Dr. Lincoln Sposito</w:t>
      </w:r>
    </w:p>
    <w:p w14:paraId="0D33D842" w14:textId="77777777" w:rsidR="00925033" w:rsidRPr="00925033" w:rsidRDefault="00925033" w:rsidP="00925033">
      <w:r w:rsidRPr="00925033">
        <w:rPr>
          <w:i/>
          <w:iCs/>
        </w:rPr>
        <w:t>Doutor em Administração | Analista de Sistemas | Perito Judicial</w:t>
      </w:r>
    </w:p>
    <w:p w14:paraId="4ED5C2C7" w14:textId="77777777" w:rsidR="00794ECE" w:rsidRDefault="00794ECE"/>
    <w:sectPr w:rsidR="00794E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53A13"/>
    <w:multiLevelType w:val="multilevel"/>
    <w:tmpl w:val="6AD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03433"/>
    <w:multiLevelType w:val="multilevel"/>
    <w:tmpl w:val="68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25371"/>
    <w:multiLevelType w:val="multilevel"/>
    <w:tmpl w:val="B34C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E531C"/>
    <w:multiLevelType w:val="multilevel"/>
    <w:tmpl w:val="4390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CC3C86"/>
    <w:multiLevelType w:val="multilevel"/>
    <w:tmpl w:val="494E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365129">
    <w:abstractNumId w:val="3"/>
  </w:num>
  <w:num w:numId="2" w16cid:durableId="907228081">
    <w:abstractNumId w:val="0"/>
  </w:num>
  <w:num w:numId="3" w16cid:durableId="1472090632">
    <w:abstractNumId w:val="2"/>
  </w:num>
  <w:num w:numId="4" w16cid:durableId="1528985823">
    <w:abstractNumId w:val="1"/>
  </w:num>
  <w:num w:numId="5" w16cid:durableId="234096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CE"/>
    <w:rsid w:val="00220B44"/>
    <w:rsid w:val="003D4712"/>
    <w:rsid w:val="003D71BA"/>
    <w:rsid w:val="00472314"/>
    <w:rsid w:val="00794ECE"/>
    <w:rsid w:val="00925033"/>
    <w:rsid w:val="00946D40"/>
    <w:rsid w:val="00D873EC"/>
    <w:rsid w:val="00EC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C5962"/>
  <w15:chartTrackingRefBased/>
  <w15:docId w15:val="{74F5ADBB-BE71-493B-BFF1-AADD75BA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E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E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E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E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E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E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1252</Words>
  <Characters>6675</Characters>
  <Application>Microsoft Office Word</Application>
  <DocSecurity>0</DocSecurity>
  <Lines>133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6</cp:revision>
  <dcterms:created xsi:type="dcterms:W3CDTF">2026-02-25T23:06:00Z</dcterms:created>
  <dcterms:modified xsi:type="dcterms:W3CDTF">2026-03-12T01:22:00Z</dcterms:modified>
</cp:coreProperties>
</file>