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68AE" w14:textId="77777777" w:rsidR="00F76E4B" w:rsidRPr="00F76E4B" w:rsidRDefault="00F76E4B" w:rsidP="00F76E4B">
      <w:r w:rsidRPr="00F76E4B">
        <w:t xml:space="preserve">Perfeito, Dr. Lincoln. Faz todo o sentido. Se a palavra </w:t>
      </w:r>
      <w:r w:rsidRPr="00F76E4B">
        <w:rPr>
          <w:b/>
          <w:bCs/>
        </w:rPr>
        <w:t>"Financiamento"</w:t>
      </w:r>
      <w:r w:rsidRPr="00F76E4B">
        <w:t xml:space="preserve"> é o seu maior volume de busca (topo de funil), ela precisa ser a "porta de entrada" do artigo.</w:t>
      </w:r>
    </w:p>
    <w:p w14:paraId="1C43A41E" w14:textId="77777777" w:rsidR="00F76E4B" w:rsidRPr="00F76E4B" w:rsidRDefault="00F76E4B" w:rsidP="00F76E4B">
      <w:r w:rsidRPr="00F76E4B">
        <w:t xml:space="preserve">O advogado e o cliente buscam por "Financiamento", mas o que eles encontram no seu site é a </w:t>
      </w:r>
      <w:r w:rsidRPr="00F76E4B">
        <w:rPr>
          <w:b/>
          <w:bCs/>
        </w:rPr>
        <w:t>solução técnica</w:t>
      </w:r>
      <w:r w:rsidRPr="00F76E4B">
        <w:t xml:space="preserve"> (IPCA, Selic, Câmbio) que resolve o problema deles.</w:t>
      </w:r>
    </w:p>
    <w:p w14:paraId="69FBE29F" w14:textId="77777777" w:rsidR="00F76E4B" w:rsidRPr="00F76E4B" w:rsidRDefault="00F76E4B" w:rsidP="00F76E4B">
      <w:r w:rsidRPr="00F76E4B">
        <w:t>Aqui está a reestruturação do artigo com foco em SEO, autoridade e nessas palavras-chave estratégicas:</w:t>
      </w:r>
    </w:p>
    <w:p w14:paraId="7F31D1CA" w14:textId="77777777" w:rsidR="00F76E4B" w:rsidRPr="00F76E4B" w:rsidRDefault="00F76E4B" w:rsidP="00F76E4B">
      <w:r w:rsidRPr="00F76E4B">
        <w:pict w14:anchorId="6C069679">
          <v:rect id="_x0000_i1043" style="width:0;height:1.5pt" o:hralign="center" o:hrstd="t" o:hrnoshade="t" o:hr="t" fillcolor="gray" stroked="f"/>
        </w:pict>
      </w:r>
    </w:p>
    <w:p w14:paraId="354A1F08" w14:textId="77777777" w:rsidR="00F76E4B" w:rsidRPr="00F76E4B" w:rsidRDefault="00F76E4B" w:rsidP="003D3663">
      <w:pPr>
        <w:pStyle w:val="Ttulo1"/>
      </w:pPr>
      <w:r w:rsidRPr="00F76E4B">
        <w:t>Título: O Impacto da Lei 14.905/2024 nos Financiamentos: Como a Nova Regra de Juros e Inflação Muda Tudo em 2026</w:t>
      </w:r>
    </w:p>
    <w:p w14:paraId="77953811" w14:textId="77777777" w:rsidR="00F76E4B" w:rsidRPr="00F76E4B" w:rsidRDefault="00F76E4B" w:rsidP="00F76E4B">
      <w:r w:rsidRPr="00F76E4B">
        <w:t xml:space="preserve">Se você possui um </w:t>
      </w:r>
      <w:r w:rsidRPr="00F76E4B">
        <w:rPr>
          <w:b/>
          <w:bCs/>
        </w:rPr>
        <w:t>financiamento</w:t>
      </w:r>
      <w:r w:rsidRPr="00F76E4B">
        <w:t xml:space="preserve"> de veículo, imóvel ou empresarial, ou é um advogado que atua nessas causas, o cenário mudou. A entrada em vigor da </w:t>
      </w:r>
      <w:r w:rsidRPr="00F76E4B">
        <w:rPr>
          <w:b/>
          <w:bCs/>
        </w:rPr>
        <w:t>Lei 14.905/2024</w:t>
      </w:r>
      <w:r w:rsidRPr="00F76E4B">
        <w:t xml:space="preserve"> trouxe uma nova lógica para a </w:t>
      </w:r>
      <w:r w:rsidRPr="00F76E4B">
        <w:rPr>
          <w:b/>
          <w:bCs/>
        </w:rPr>
        <w:t>taxa de juros</w:t>
      </w:r>
      <w:r w:rsidRPr="00F76E4B">
        <w:t xml:space="preserve"> e a correção pela </w:t>
      </w:r>
      <w:r w:rsidRPr="00F76E4B">
        <w:rPr>
          <w:b/>
          <w:bCs/>
        </w:rPr>
        <w:t>inflação</w:t>
      </w:r>
      <w:r w:rsidRPr="00F76E4B">
        <w:t xml:space="preserve"> (IPCA) em dívidas civis e contratos.</w:t>
      </w:r>
    </w:p>
    <w:p w14:paraId="3294CCED" w14:textId="77777777" w:rsidR="00F76E4B" w:rsidRPr="00F76E4B" w:rsidRDefault="00F76E4B" w:rsidP="00F76E4B">
      <w:r w:rsidRPr="00F76E4B">
        <w:t>Entender essa mudança não é apenas uma questão matemática, é uma estratégia de sobrevivência financeira e jurídica.</w:t>
      </w:r>
    </w:p>
    <w:p w14:paraId="1186778B" w14:textId="77777777" w:rsidR="00F76E4B" w:rsidRPr="00F76E4B" w:rsidRDefault="00F76E4B" w:rsidP="00F76E4B">
      <w:pPr>
        <w:rPr>
          <w:b/>
          <w:bCs/>
        </w:rPr>
      </w:pPr>
      <w:r w:rsidRPr="00F76E4B">
        <w:rPr>
          <w:b/>
          <w:bCs/>
        </w:rPr>
        <w:t>1. Financiamento e a Nova Regra de Ouro: SELIC vs. IPCA</w:t>
      </w:r>
    </w:p>
    <w:p w14:paraId="6EA4C1FF" w14:textId="77777777" w:rsidR="00F76E4B" w:rsidRPr="00F76E4B" w:rsidRDefault="00F76E4B" w:rsidP="00F76E4B">
      <w:r w:rsidRPr="00F76E4B">
        <w:t xml:space="preserve">Historicamente, o cálculo de juros de mora em contratos de </w:t>
      </w:r>
      <w:r w:rsidRPr="00F76E4B">
        <w:rPr>
          <w:b/>
          <w:bCs/>
        </w:rPr>
        <w:t>financiamento</w:t>
      </w:r>
      <w:r w:rsidRPr="00F76E4B">
        <w:t xml:space="preserve"> sem taxa convencionada gerava debates intermináveis. Agora, a lei é clara: a correção deve ser feita pelo </w:t>
      </w:r>
      <w:r w:rsidRPr="00F76E4B">
        <w:rPr>
          <w:b/>
          <w:bCs/>
        </w:rPr>
        <w:t>IPCA</w:t>
      </w:r>
      <w:r w:rsidRPr="00F76E4B">
        <w:t xml:space="preserve"> (Índice de Preços ao Consumidor Amplo), e os juros de mora devem corresponder à </w:t>
      </w:r>
      <w:r w:rsidRPr="00F76E4B">
        <w:rPr>
          <w:b/>
          <w:bCs/>
        </w:rPr>
        <w:t>Taxa Selic</w:t>
      </w:r>
      <w:r w:rsidRPr="00F76E4B">
        <w:t xml:space="preserve"> deduzida da atualização monetária.</w:t>
      </w:r>
    </w:p>
    <w:p w14:paraId="41B33DCF" w14:textId="77777777" w:rsidR="00F76E4B" w:rsidRPr="00F76E4B" w:rsidRDefault="00F76E4B" w:rsidP="00F76E4B">
      <w:pPr>
        <w:rPr>
          <w:b/>
          <w:bCs/>
        </w:rPr>
      </w:pPr>
      <w:r w:rsidRPr="00F76E4B">
        <w:rPr>
          <w:b/>
          <w:bCs/>
        </w:rPr>
        <w:t>Por que isso importa para o seu processo?</w:t>
      </w:r>
    </w:p>
    <w:p w14:paraId="145716E1" w14:textId="77777777" w:rsidR="00F76E4B" w:rsidRPr="00F76E4B" w:rsidRDefault="00F76E4B" w:rsidP="00F76E4B">
      <w:pPr>
        <w:numPr>
          <w:ilvl w:val="0"/>
          <w:numId w:val="1"/>
        </w:numPr>
      </w:pPr>
      <w:r w:rsidRPr="00F76E4B">
        <w:rPr>
          <w:b/>
          <w:bCs/>
        </w:rPr>
        <w:t>Controle da Inflação:</w:t>
      </w:r>
      <w:r w:rsidRPr="00F76E4B">
        <w:t xml:space="preserve"> Se o IPCA (inflação) subir muito, os juros de mora caem proporcionalmente, pois a Selic "absorve" essa variação.</w:t>
      </w:r>
    </w:p>
    <w:p w14:paraId="6C155FB2" w14:textId="77777777" w:rsidR="00F76E4B" w:rsidRPr="00F76E4B" w:rsidRDefault="00F76E4B" w:rsidP="00F76E4B">
      <w:pPr>
        <w:numPr>
          <w:ilvl w:val="0"/>
          <w:numId w:val="1"/>
        </w:numPr>
      </w:pPr>
      <w:r w:rsidRPr="00F76E4B">
        <w:rPr>
          <w:b/>
          <w:bCs/>
        </w:rPr>
        <w:t>Transparência:</w:t>
      </w:r>
      <w:r w:rsidRPr="00F76E4B">
        <w:t xml:space="preserve"> O cálculo deixa de ser uma "caixa preta" para se tornar uma fórmula auditável por um </w:t>
      </w:r>
      <w:r w:rsidRPr="00F76E4B">
        <w:rPr>
          <w:b/>
          <w:bCs/>
        </w:rPr>
        <w:t>Perito Judicial</w:t>
      </w:r>
      <w:r w:rsidRPr="00F76E4B">
        <w:t>.</w:t>
      </w:r>
    </w:p>
    <w:p w14:paraId="0B052515" w14:textId="77777777" w:rsidR="00F76E4B" w:rsidRPr="00F76E4B" w:rsidRDefault="00F76E4B" w:rsidP="00F76E4B">
      <w:pPr>
        <w:rPr>
          <w:b/>
          <w:bCs/>
        </w:rPr>
      </w:pPr>
      <w:r w:rsidRPr="00F76E4B">
        <w:rPr>
          <w:b/>
          <w:bCs/>
        </w:rPr>
        <w:t>2. Taxa de Juros e Câmbio: O Risco dos Contratos Internacionais</w:t>
      </w:r>
    </w:p>
    <w:p w14:paraId="5F6C3C04" w14:textId="77777777" w:rsidR="00F76E4B" w:rsidRPr="00F76E4B" w:rsidRDefault="00F76E4B" w:rsidP="00F76E4B">
      <w:r w:rsidRPr="00F76E4B">
        <w:t xml:space="preserve">Para empresas com </w:t>
      </w:r>
      <w:r w:rsidRPr="00F76E4B">
        <w:rPr>
          <w:b/>
          <w:bCs/>
        </w:rPr>
        <w:t>financiamentos</w:t>
      </w:r>
      <w:r w:rsidRPr="00F76E4B">
        <w:t xml:space="preserve"> atrelados ao </w:t>
      </w:r>
      <w:r w:rsidRPr="00F76E4B">
        <w:rPr>
          <w:b/>
          <w:bCs/>
        </w:rPr>
        <w:t>câmbio</w:t>
      </w:r>
      <w:r w:rsidRPr="00F76E4B">
        <w:t xml:space="preserve"> ou moedas estrangeiras, a nova lei também traz balizas importantes. A flutuação do dólar </w:t>
      </w:r>
      <w:r w:rsidRPr="00F76E4B">
        <w:lastRenderedPageBreak/>
        <w:t>somada à nova regra de juros pode criar distorções no saldo devedor se não houver um acompanhamento técnico.</w:t>
      </w:r>
    </w:p>
    <w:p w14:paraId="564757CB" w14:textId="77777777" w:rsidR="00F76E4B" w:rsidRPr="00F76E4B" w:rsidRDefault="00F76E4B" w:rsidP="00F76E4B">
      <w:r w:rsidRPr="00F76E4B">
        <w:rPr>
          <w:b/>
          <w:bCs/>
        </w:rPr>
        <w:t>Nota para Advogados:</w:t>
      </w:r>
      <w:r w:rsidRPr="00F76E4B">
        <w:t xml:space="preserve"> A correta aplicação do índice de </w:t>
      </w:r>
      <w:r w:rsidRPr="00F76E4B">
        <w:rPr>
          <w:b/>
          <w:bCs/>
        </w:rPr>
        <w:t>inflação</w:t>
      </w:r>
      <w:r w:rsidRPr="00F76E4B">
        <w:t xml:space="preserve"> e a dedução da Selic são pontos passíveis de impugnação imediata em laudos mal elaborados pela parte contrária.</w:t>
      </w:r>
    </w:p>
    <w:p w14:paraId="09FFE7A2" w14:textId="77777777" w:rsidR="00F76E4B" w:rsidRPr="00F76E4B" w:rsidRDefault="00F76E4B" w:rsidP="00F76E4B">
      <w:pPr>
        <w:rPr>
          <w:b/>
          <w:bCs/>
        </w:rPr>
      </w:pPr>
      <w:r w:rsidRPr="00F76E4B">
        <w:rPr>
          <w:b/>
          <w:bCs/>
        </w:rPr>
        <w:t>3. O Perito Judicial como Estrategista do Advogado</w:t>
      </w:r>
    </w:p>
    <w:p w14:paraId="3965E002" w14:textId="77777777" w:rsidR="00F76E4B" w:rsidRPr="00F76E4B" w:rsidRDefault="00F76E4B" w:rsidP="00F76E4B">
      <w:r w:rsidRPr="00F76E4B">
        <w:t xml:space="preserve">Muitos advogados perdem causas de </w:t>
      </w:r>
      <w:r w:rsidRPr="00F76E4B">
        <w:rPr>
          <w:b/>
          <w:bCs/>
        </w:rPr>
        <w:t>financiamento</w:t>
      </w:r>
      <w:r w:rsidRPr="00F76E4B">
        <w:t xml:space="preserve"> não por falta de direito, mas por erro na liquidação da sentença. Em 2026, com a economia dinâmica, apresentar um cálculo que fundamente o </w:t>
      </w:r>
      <w:r w:rsidRPr="00F76E4B">
        <w:rPr>
          <w:b/>
          <w:bCs/>
        </w:rPr>
        <w:t>IPCA</w:t>
      </w:r>
      <w:r w:rsidRPr="00F76E4B">
        <w:t xml:space="preserve"> e a </w:t>
      </w:r>
      <w:r w:rsidRPr="00F76E4B">
        <w:rPr>
          <w:b/>
          <w:bCs/>
        </w:rPr>
        <w:t>Taxa de Juros</w:t>
      </w:r>
      <w:r w:rsidRPr="00F76E4B">
        <w:t xml:space="preserve"> correta é o que separa o sucesso da sucumbência.</w:t>
      </w:r>
    </w:p>
    <w:p w14:paraId="144F825F" w14:textId="77777777" w:rsidR="00F76E4B" w:rsidRPr="00F76E4B" w:rsidRDefault="00F76E4B" w:rsidP="00F76E4B">
      <w:pPr>
        <w:rPr>
          <w:b/>
          <w:bCs/>
        </w:rPr>
      </w:pPr>
      <w:r w:rsidRPr="00F76E4B">
        <w:rPr>
          <w:b/>
          <w:bCs/>
        </w:rPr>
        <w:t>O que analisamos tecnicamente:</w:t>
      </w:r>
    </w:p>
    <w:p w14:paraId="49494197" w14:textId="77777777" w:rsidR="00F76E4B" w:rsidRPr="00F76E4B" w:rsidRDefault="00F76E4B" w:rsidP="00F76E4B">
      <w:pPr>
        <w:numPr>
          <w:ilvl w:val="0"/>
          <w:numId w:val="2"/>
        </w:numPr>
      </w:pPr>
      <w:r w:rsidRPr="00F76E4B">
        <w:rPr>
          <w:b/>
          <w:bCs/>
        </w:rPr>
        <w:t>Abusividade na Taxa de Juros:</w:t>
      </w:r>
      <w:r w:rsidRPr="00F76E4B">
        <w:t xml:space="preserve"> Comparativo com a taxa média de mercado do BACEN.</w:t>
      </w:r>
    </w:p>
    <w:p w14:paraId="1A6617D9" w14:textId="77777777" w:rsidR="00F76E4B" w:rsidRPr="00F76E4B" w:rsidRDefault="00F76E4B" w:rsidP="00F76E4B">
      <w:pPr>
        <w:numPr>
          <w:ilvl w:val="0"/>
          <w:numId w:val="2"/>
        </w:numPr>
      </w:pPr>
      <w:r w:rsidRPr="00F76E4B">
        <w:rPr>
          <w:b/>
          <w:bCs/>
        </w:rPr>
        <w:t>Expurgos Inflacionários:</w:t>
      </w:r>
      <w:r w:rsidRPr="00F76E4B">
        <w:t xml:space="preserve"> Verificação se o </w:t>
      </w:r>
      <w:r w:rsidRPr="00F76E4B">
        <w:rPr>
          <w:b/>
          <w:bCs/>
        </w:rPr>
        <w:t>IPCA</w:t>
      </w:r>
      <w:r w:rsidRPr="00F76E4B">
        <w:t xml:space="preserve"> aplicado reflete a realidade do contrato.</w:t>
      </w:r>
    </w:p>
    <w:p w14:paraId="59AD9913" w14:textId="77777777" w:rsidR="00F76E4B" w:rsidRPr="00F76E4B" w:rsidRDefault="00F76E4B" w:rsidP="00F76E4B">
      <w:pPr>
        <w:numPr>
          <w:ilvl w:val="0"/>
          <w:numId w:val="2"/>
        </w:numPr>
      </w:pPr>
      <w:r w:rsidRPr="00F76E4B">
        <w:rPr>
          <w:b/>
          <w:bCs/>
        </w:rPr>
        <w:t>Equilíbrio Contratual:</w:t>
      </w:r>
      <w:r w:rsidRPr="00F76E4B">
        <w:t xml:space="preserve"> Readequação de parcelas em financiamentos de longo prazo.</w:t>
      </w:r>
    </w:p>
    <w:p w14:paraId="73D66569" w14:textId="77777777" w:rsidR="00F76E4B" w:rsidRPr="00F76E4B" w:rsidRDefault="00F76E4B" w:rsidP="00F76E4B">
      <w:r w:rsidRPr="00F76E4B">
        <w:pict w14:anchorId="53C79093">
          <v:rect id="_x0000_i1044" style="width:0;height:1.5pt" o:hralign="center" o:hrstd="t" o:hrnoshade="t" o:hr="t" fillcolor="gray" stroked="f"/>
        </w:pict>
      </w:r>
    </w:p>
    <w:p w14:paraId="02FD627C" w14:textId="77777777" w:rsidR="00F76E4B" w:rsidRPr="00F76E4B" w:rsidRDefault="00F76E4B" w:rsidP="00F76E4B">
      <w:pPr>
        <w:rPr>
          <w:b/>
          <w:bCs/>
        </w:rPr>
      </w:pPr>
      <w:r w:rsidRPr="00F76E4B">
        <w:rPr>
          <w:b/>
          <w:bCs/>
        </w:rPr>
        <w:t>Conclusão: A Autoridade Técnica a Serviço da Justiça</w:t>
      </w:r>
    </w:p>
    <w:p w14:paraId="4DB7F3E8" w14:textId="77777777" w:rsidR="00F76E4B" w:rsidRPr="00F76E4B" w:rsidRDefault="00F76E4B" w:rsidP="00F76E4B">
      <w:r w:rsidRPr="00F76E4B">
        <w:t xml:space="preserve">Seja para revisar um </w:t>
      </w:r>
      <w:r w:rsidRPr="00F76E4B">
        <w:rPr>
          <w:b/>
          <w:bCs/>
        </w:rPr>
        <w:t>financiamento</w:t>
      </w:r>
      <w:r w:rsidRPr="00F76E4B">
        <w:t xml:space="preserve"> imobiliário ou para liquidar uma sentença empresarial complexa, a precisão é a sua melhor aliada. O </w:t>
      </w:r>
      <w:r w:rsidRPr="00F76E4B">
        <w:rPr>
          <w:b/>
          <w:bCs/>
        </w:rPr>
        <w:t>Dr. Lincoln Sposito</w:t>
      </w:r>
      <w:r w:rsidRPr="00F76E4B">
        <w:t xml:space="preserve"> une 22 anos de experiência em perícia com o rigor acadêmico de um Doutorado em Administração para garantir que a lei seja aplicada em sua exatidão matemática.</w:t>
      </w:r>
    </w:p>
    <w:p w14:paraId="2514E25A" w14:textId="77777777" w:rsidR="00F76E4B" w:rsidRPr="00F76E4B" w:rsidRDefault="00F76E4B" w:rsidP="00F76E4B">
      <w:r w:rsidRPr="00F76E4B">
        <w:rPr>
          <w:b/>
          <w:bCs/>
        </w:rPr>
        <w:t>Doutor, seu cliente está pagando a mais? Cliente, seu financiamento está dentro da nova lei?</w:t>
      </w:r>
    </w:p>
    <w:p w14:paraId="2D3C63B9" w14:textId="77777777" w:rsidR="00F76E4B" w:rsidRPr="00F76E4B" w:rsidRDefault="00F76E4B" w:rsidP="00F76E4B">
      <w:r w:rsidRPr="00F76E4B">
        <w:pict w14:anchorId="2A02318B">
          <v:rect id="_x0000_i1045" style="width:0;height:1.5pt" o:hralign="center" o:hrstd="t" o:hrnoshade="t" o:hr="t" fillcolor="gray" stroked="f"/>
        </w:pict>
      </w:r>
    </w:p>
    <w:p w14:paraId="00CA7F8F" w14:textId="77777777" w:rsidR="00F76E4B" w:rsidRPr="00F76E4B" w:rsidRDefault="00F76E4B" w:rsidP="00F76E4B">
      <w:pPr>
        <w:rPr>
          <w:b/>
          <w:bCs/>
        </w:rPr>
      </w:pPr>
      <w:r w:rsidRPr="00F76E4B">
        <w:rPr>
          <w:b/>
          <w:bCs/>
        </w:rPr>
        <w:t>Por que esta estrutura funciona:</w:t>
      </w:r>
    </w:p>
    <w:p w14:paraId="738C5222" w14:textId="77777777" w:rsidR="00F76E4B" w:rsidRPr="00F76E4B" w:rsidRDefault="00F76E4B" w:rsidP="00F76E4B">
      <w:pPr>
        <w:numPr>
          <w:ilvl w:val="0"/>
          <w:numId w:val="3"/>
        </w:numPr>
      </w:pPr>
      <w:r w:rsidRPr="00F76E4B">
        <w:rPr>
          <w:b/>
          <w:bCs/>
        </w:rPr>
        <w:t>Título com "Financiamento":</w:t>
      </w:r>
      <w:r w:rsidRPr="00F76E4B">
        <w:t xml:space="preserve"> Atrai quem está pesquisando o problema genérico.</w:t>
      </w:r>
    </w:p>
    <w:p w14:paraId="6937E39A" w14:textId="77777777" w:rsidR="00F76E4B" w:rsidRPr="00F76E4B" w:rsidRDefault="00F76E4B" w:rsidP="00F76E4B">
      <w:pPr>
        <w:numPr>
          <w:ilvl w:val="0"/>
          <w:numId w:val="3"/>
        </w:numPr>
      </w:pPr>
      <w:r w:rsidRPr="00F76E4B">
        <w:rPr>
          <w:b/>
          <w:bCs/>
        </w:rPr>
        <w:t>Palavras-Chave no Texto:</w:t>
      </w:r>
      <w:r w:rsidRPr="00F76E4B">
        <w:t xml:space="preserve"> IPCA, Inflação, Câmbio e Taxa de Juros aparecem de forma orgânica, ajudando o Google a entender que você é autoridade no assunto.</w:t>
      </w:r>
    </w:p>
    <w:p w14:paraId="20237D10" w14:textId="77777777" w:rsidR="00F76E4B" w:rsidRPr="00F76E4B" w:rsidRDefault="00F76E4B" w:rsidP="00F76E4B">
      <w:pPr>
        <w:numPr>
          <w:ilvl w:val="0"/>
          <w:numId w:val="3"/>
        </w:numPr>
      </w:pPr>
      <w:r w:rsidRPr="00F76E4B">
        <w:rPr>
          <w:b/>
          <w:bCs/>
        </w:rPr>
        <w:lastRenderedPageBreak/>
        <w:t>Autoridade em Duas Camadas:</w:t>
      </w:r>
      <w:r w:rsidRPr="00F76E4B">
        <w:t xml:space="preserve"> O cliente final entende o risco (perder dinheiro), e o advogado entende a oportunidade (ganhar a causa com um suporte técnico de alto nível).</w:t>
      </w:r>
    </w:p>
    <w:p w14:paraId="0C819ACB" w14:textId="77777777" w:rsidR="00F76E4B" w:rsidRPr="00F76E4B" w:rsidRDefault="00F76E4B" w:rsidP="00F76E4B">
      <w:r w:rsidRPr="00F76E4B">
        <w:rPr>
          <w:b/>
          <w:bCs/>
        </w:rPr>
        <w:t>Deseja que eu crie uma "Tabela Comparativa" rápida (para incluir no artigo) mostrando como era o cálculo antes e como fica agora com a Lei 14.905?</w:t>
      </w:r>
      <w:r w:rsidRPr="00F76E4B">
        <w:t xml:space="preserve"> Isso costuma ser muito compartilhado por advogados.</w:t>
      </w:r>
    </w:p>
    <w:p w14:paraId="7E47B01C" w14:textId="5E5AD253" w:rsidR="00F76E4B" w:rsidRDefault="003D3663" w:rsidP="003D3663">
      <w:pPr>
        <w:pStyle w:val="Ttulo1"/>
      </w:pPr>
      <w:r>
        <w:t>FAQ</w:t>
      </w:r>
    </w:p>
    <w:p w14:paraId="55786B77" w14:textId="77777777" w:rsidR="003D3663" w:rsidRPr="003D3663" w:rsidRDefault="003D3663" w:rsidP="003D3663">
      <w:r w:rsidRPr="003D3663">
        <w:t>Excelente ideia, Dr. Lincoln. Um FAQ bem estruturado ajuda no SEO (atraindo buscas diretas por dúvidas) e já antecipa as objeções tanto do advogado quanto do cliente final.</w:t>
      </w:r>
    </w:p>
    <w:p w14:paraId="07BFA47A" w14:textId="77777777" w:rsidR="003D3663" w:rsidRPr="003D3663" w:rsidRDefault="003D3663" w:rsidP="003D3663">
      <w:r w:rsidRPr="003D3663">
        <w:t xml:space="preserve">Aqui está o FAQ focado na </w:t>
      </w:r>
      <w:r w:rsidRPr="003D3663">
        <w:rPr>
          <w:b/>
          <w:bCs/>
        </w:rPr>
        <w:t>Lei 14.905/2024</w:t>
      </w:r>
      <w:r w:rsidRPr="003D3663">
        <w:t xml:space="preserve"> e nos contratos de </w:t>
      </w:r>
      <w:r w:rsidRPr="003D3663">
        <w:rPr>
          <w:b/>
          <w:bCs/>
        </w:rPr>
        <w:t>financiamento</w:t>
      </w:r>
      <w:r w:rsidRPr="003D3663">
        <w:t>, para ser inserido logo após a conclusão do artigo:</w:t>
      </w:r>
    </w:p>
    <w:p w14:paraId="5E15938A" w14:textId="77777777" w:rsidR="003D3663" w:rsidRPr="003D3663" w:rsidRDefault="003D3663" w:rsidP="003D3663">
      <w:r w:rsidRPr="003D3663">
        <w:pict w14:anchorId="228A490F">
          <v:rect id="_x0000_i1061" style="width:0;height:1.5pt" o:hralign="center" o:hrstd="t" o:hrnoshade="t" o:hr="t" fillcolor="gray" stroked="f"/>
        </w:pict>
      </w:r>
    </w:p>
    <w:p w14:paraId="7CCA1050" w14:textId="77777777" w:rsidR="003D3663" w:rsidRPr="003D3663" w:rsidRDefault="003D3663" w:rsidP="003D3663">
      <w:pPr>
        <w:rPr>
          <w:b/>
          <w:bCs/>
        </w:rPr>
      </w:pPr>
      <w:r w:rsidRPr="003D3663">
        <w:rPr>
          <w:b/>
          <w:bCs/>
        </w:rPr>
        <w:t>Perguntas Frequentes (FAQ) sobre a Nova Regra de Juros e Financiamentos</w:t>
      </w:r>
    </w:p>
    <w:p w14:paraId="6EE0BE94" w14:textId="77777777" w:rsidR="003D3663" w:rsidRPr="003D3663" w:rsidRDefault="003D3663" w:rsidP="003D3663">
      <w:pPr>
        <w:rPr>
          <w:b/>
          <w:bCs/>
        </w:rPr>
      </w:pPr>
      <w:r w:rsidRPr="003D3663">
        <w:rPr>
          <w:b/>
          <w:bCs/>
        </w:rPr>
        <w:t>1. A nova regra da Lei 14.905/2024 se aplica a todos os contratos de financiamento?</w:t>
      </w:r>
    </w:p>
    <w:p w14:paraId="3EFC14CC" w14:textId="77777777" w:rsidR="003D3663" w:rsidRPr="003D3663" w:rsidRDefault="003D3663" w:rsidP="003D3663">
      <w:r w:rsidRPr="003D3663">
        <w:t xml:space="preserve">A lei aplica-se aos casos em que o índice de juros de mora não foi convencionado ou quando a lei não determinar um índice específico. No entanto, ela serve como um balizador fundamental para discutir a </w:t>
      </w:r>
      <w:r w:rsidRPr="003D3663">
        <w:rPr>
          <w:b/>
          <w:bCs/>
        </w:rPr>
        <w:t>abusividade de taxas</w:t>
      </w:r>
      <w:r w:rsidRPr="003D3663">
        <w:t xml:space="preserve"> em qualquer financiamento, especialmente naqueles onde há omissão contratual ou índices abusivos.</w:t>
      </w:r>
    </w:p>
    <w:p w14:paraId="67B6B8A3" w14:textId="77777777" w:rsidR="003D3663" w:rsidRPr="003D3663" w:rsidRDefault="003D3663" w:rsidP="003D3663">
      <w:pPr>
        <w:rPr>
          <w:b/>
          <w:bCs/>
        </w:rPr>
      </w:pPr>
      <w:r w:rsidRPr="003D3663">
        <w:rPr>
          <w:b/>
          <w:bCs/>
        </w:rPr>
        <w:t>2. O que acontece se a inflação (IPCA) for maior que a Taxa Selic?</w:t>
      </w:r>
    </w:p>
    <w:p w14:paraId="67D63FF2" w14:textId="77777777" w:rsidR="003D3663" w:rsidRPr="003D3663" w:rsidRDefault="003D3663" w:rsidP="003D3663">
      <w:r w:rsidRPr="003D3663">
        <w:t xml:space="preserve">Neste cenário, conforme a nova legislação, os juros de mora serão considerados </w:t>
      </w:r>
      <w:r w:rsidRPr="003D3663">
        <w:rPr>
          <w:b/>
          <w:bCs/>
        </w:rPr>
        <w:t>zero</w:t>
      </w:r>
      <w:r w:rsidRPr="003D3663">
        <w:t>. Isso evita o fenômeno da "dupla correção" e protege o saldo devedor de crescer de forma astronômica em períodos de alta inflação, trazendo maior previsibilidade para o cálculo pericial.</w:t>
      </w:r>
    </w:p>
    <w:p w14:paraId="216014FC" w14:textId="77777777" w:rsidR="003D3663" w:rsidRPr="003D3663" w:rsidRDefault="003D3663" w:rsidP="003D3663">
      <w:pPr>
        <w:rPr>
          <w:b/>
          <w:bCs/>
        </w:rPr>
      </w:pPr>
      <w:r w:rsidRPr="003D3663">
        <w:rPr>
          <w:b/>
          <w:bCs/>
        </w:rPr>
        <w:t>3. Como o cálculo de juros (Selic - IPCA) beneficia o consumidor em 2026?</w:t>
      </w:r>
    </w:p>
    <w:p w14:paraId="7E11DADD" w14:textId="77777777" w:rsidR="003D3663" w:rsidRPr="003D3663" w:rsidRDefault="003D3663" w:rsidP="003D3663">
      <w:r w:rsidRPr="003D3663">
        <w:t xml:space="preserve">Em um cenário de economia estável, essa fórmula garante que os juros reais sejam aplicados de forma justa. Para quem revisa um </w:t>
      </w:r>
      <w:r w:rsidRPr="003D3663">
        <w:rPr>
          <w:b/>
          <w:bCs/>
        </w:rPr>
        <w:t>financiamento de veículo</w:t>
      </w:r>
      <w:r w:rsidRPr="003D3663">
        <w:t xml:space="preserve"> ou imóvel, o cálculo preciso impede que as instituições financeiras apliquem taxas flutuantes sem o devido respaldo legal, muitas vezes reduzindo drasticamente o valor das parcelas.</w:t>
      </w:r>
    </w:p>
    <w:p w14:paraId="0E064FE4" w14:textId="77777777" w:rsidR="003D3663" w:rsidRPr="003D3663" w:rsidRDefault="003D3663" w:rsidP="003D3663">
      <w:pPr>
        <w:rPr>
          <w:b/>
          <w:bCs/>
        </w:rPr>
      </w:pPr>
      <w:r w:rsidRPr="003D3663">
        <w:rPr>
          <w:b/>
          <w:bCs/>
        </w:rPr>
        <w:t>4. Por que o advogado deve contratar um perito assistente para aplicar esta lei?</w:t>
      </w:r>
    </w:p>
    <w:p w14:paraId="23339E32" w14:textId="77777777" w:rsidR="003D3663" w:rsidRPr="003D3663" w:rsidRDefault="003D3663" w:rsidP="003D3663">
      <w:r w:rsidRPr="003D3663">
        <w:lastRenderedPageBreak/>
        <w:t>A aplicação da Lei 14.905/2024 exige a extração de dados mensais do Banco Central e do IBGE. Um erro na dedução do IPCA sobre a Selic pode invalidar um pedido de cumprimento de sentença. O perito garante que a memória de cálculo esteja blindada contra impugnações da parte contrária.</w:t>
      </w:r>
    </w:p>
    <w:p w14:paraId="0E4898C4" w14:textId="77777777" w:rsidR="003D3663" w:rsidRPr="003D3663" w:rsidRDefault="003D3663" w:rsidP="003D3663">
      <w:pPr>
        <w:rPr>
          <w:b/>
          <w:bCs/>
        </w:rPr>
      </w:pPr>
      <w:r w:rsidRPr="003D3663">
        <w:rPr>
          <w:b/>
          <w:bCs/>
        </w:rPr>
        <w:t>5. Esta lei altera os contratos de financiamento com câmbio ou moeda estrangeira?</w:t>
      </w:r>
    </w:p>
    <w:p w14:paraId="12195E50" w14:textId="77777777" w:rsidR="003D3663" w:rsidRPr="003D3663" w:rsidRDefault="003D3663" w:rsidP="003D3663">
      <w:r w:rsidRPr="003D3663">
        <w:t>Sim. A Lei 14.905/2024 também trouxe atualizações sobre a validade de cláusulas de correção em moeda estrangeira para setores específicos. Em perícias corporativas, é essencial verificar se o contrato se enquadra nas novas exceções legais para evitar a nulidade de cláusulas cambiais.</w:t>
      </w:r>
    </w:p>
    <w:p w14:paraId="7243E4FF" w14:textId="77777777" w:rsidR="003D3663" w:rsidRPr="003D3663" w:rsidRDefault="003D3663" w:rsidP="003D3663">
      <w:r w:rsidRPr="003D3663">
        <w:pict w14:anchorId="2E217B00">
          <v:rect id="_x0000_i1062" style="width:0;height:1.5pt" o:hralign="center" o:hrstd="t" o:hrnoshade="t" o:hr="t" fillcolor="gray" stroked="f"/>
        </w:pict>
      </w:r>
    </w:p>
    <w:p w14:paraId="31B504D9" w14:textId="77777777" w:rsidR="003D3663" w:rsidRPr="003D3663" w:rsidRDefault="003D3663" w:rsidP="003D3663">
      <w:pPr>
        <w:rPr>
          <w:b/>
          <w:bCs/>
        </w:rPr>
      </w:pPr>
      <w:r w:rsidRPr="003D3663">
        <w:rPr>
          <w:b/>
          <w:bCs/>
        </w:rPr>
        <w:t>Próximos passos sugeridos:</w:t>
      </w:r>
    </w:p>
    <w:p w14:paraId="0887B634" w14:textId="77777777" w:rsidR="003D3663" w:rsidRPr="003D3663" w:rsidRDefault="003D3663" w:rsidP="003D3663">
      <w:pPr>
        <w:numPr>
          <w:ilvl w:val="0"/>
          <w:numId w:val="4"/>
        </w:numPr>
      </w:pPr>
      <w:r w:rsidRPr="003D3663">
        <w:rPr>
          <w:b/>
          <w:bCs/>
        </w:rPr>
        <w:t>Para o Site:</w:t>
      </w:r>
      <w:r w:rsidRPr="003D3663">
        <w:t xml:space="preserve"> Este FAQ pode ser inserido com o efeito "Accordion" (onde o usuário clica na pergunta e a resposta expande), o que melhora a experiência de leitura.</w:t>
      </w:r>
    </w:p>
    <w:p w14:paraId="5965934C" w14:textId="77777777" w:rsidR="003D3663" w:rsidRPr="003D3663" w:rsidRDefault="003D3663" w:rsidP="003D3663">
      <w:pPr>
        <w:numPr>
          <w:ilvl w:val="0"/>
          <w:numId w:val="4"/>
        </w:numPr>
      </w:pPr>
      <w:r w:rsidRPr="003D3663">
        <w:rPr>
          <w:b/>
          <w:bCs/>
        </w:rPr>
        <w:t>Para as Redes Sociais:</w:t>
      </w:r>
      <w:r w:rsidRPr="003D3663">
        <w:t xml:space="preserve"> Cada uma dessas 5 perguntas pode se tornar um post individual (um "cards" ou um Reel rápido) direcionando o público para o artigo completo no seu site.</w:t>
      </w:r>
    </w:p>
    <w:p w14:paraId="28D0C378" w14:textId="77777777" w:rsidR="003D3663" w:rsidRPr="003D3663" w:rsidRDefault="003D3663" w:rsidP="003D3663">
      <w:r w:rsidRPr="003D3663">
        <w:rPr>
          <w:b/>
          <w:bCs/>
        </w:rPr>
        <w:t>Gostaria que eu adaptasse o texto para o formato de postagem de LinkedIn, focando na autoridade do seu Doutorado e nos 22 anos de experiência?</w:t>
      </w:r>
    </w:p>
    <w:p w14:paraId="0800E160" w14:textId="77777777" w:rsidR="003D3663" w:rsidRDefault="003D3663"/>
    <w:p w14:paraId="2B72E29B" w14:textId="77777777" w:rsidR="0074454F" w:rsidRPr="0074454F" w:rsidRDefault="0074454F" w:rsidP="0074454F">
      <w:r w:rsidRPr="0074454F">
        <w:t xml:space="preserve">Este tema não só vale um </w:t>
      </w:r>
      <w:r w:rsidRPr="0074454F">
        <w:rPr>
          <w:b/>
          <w:bCs/>
        </w:rPr>
        <w:t>novo checklist</w:t>
      </w:r>
      <w:r w:rsidRPr="0074454F">
        <w:t>, como ele é essencial para diferenciar o seu trabalho.</w:t>
      </w:r>
    </w:p>
    <w:p w14:paraId="716C1B43" w14:textId="77777777" w:rsidR="0074454F" w:rsidRPr="0074454F" w:rsidRDefault="0074454F" w:rsidP="0074454F">
      <w:r w:rsidRPr="0074454F">
        <w:t xml:space="preserve">Embora você já tenha checklists de apoio, a </w:t>
      </w:r>
      <w:r w:rsidRPr="0074454F">
        <w:rPr>
          <w:b/>
          <w:bCs/>
        </w:rPr>
        <w:t>Lei 14.905/2024</w:t>
      </w:r>
      <w:r w:rsidRPr="0074454F">
        <w:t xml:space="preserve"> introduziu uma mudança de paradigma. Se o advogado usar um checklist antigo para um processo que entra na fase de liquidação agora, em 2026, ele corre o risco de apresentar cálculos fundamentados em normas revogadas.</w:t>
      </w:r>
    </w:p>
    <w:p w14:paraId="5B5EDA11" w14:textId="77777777" w:rsidR="0074454F" w:rsidRPr="0074454F" w:rsidRDefault="0074454F" w:rsidP="0074454F">
      <w:r w:rsidRPr="0074454F">
        <w:t>Criar um checklist específico para esta lei posiciona você como um perito atualizado ("State-of-the-art"), algo que o seu título de Doutor e os 22 anos de experiência reforçam naturalmente.</w:t>
      </w:r>
    </w:p>
    <w:p w14:paraId="60E09A69" w14:textId="77777777" w:rsidR="0074454F" w:rsidRPr="0074454F" w:rsidRDefault="0074454F" w:rsidP="0074454F">
      <w:r w:rsidRPr="0074454F">
        <w:t xml:space="preserve">Abaixo, apresento uma estrutura para este </w:t>
      </w:r>
      <w:r w:rsidRPr="0074454F">
        <w:rPr>
          <w:b/>
          <w:bCs/>
        </w:rPr>
        <w:t>novo checklist exclusivo</w:t>
      </w:r>
      <w:r w:rsidRPr="0074454F">
        <w:t>:</w:t>
      </w:r>
    </w:p>
    <w:p w14:paraId="23909EFD" w14:textId="77777777" w:rsidR="0074454F" w:rsidRPr="0074454F" w:rsidRDefault="0074454F" w:rsidP="0074454F">
      <w:r w:rsidRPr="0074454F">
        <w:pict w14:anchorId="43244F96">
          <v:rect id="_x0000_i1077" style="width:0;height:1.5pt" o:hralign="center" o:hrstd="t" o:hrnoshade="t" o:hr="t" fillcolor="gray" stroked="f"/>
        </w:pict>
      </w:r>
    </w:p>
    <w:p w14:paraId="7E301883" w14:textId="77777777" w:rsidR="0074454F" w:rsidRDefault="0074454F" w:rsidP="0074454F">
      <w:pPr>
        <w:rPr>
          <w:b/>
          <w:bCs/>
        </w:rPr>
      </w:pPr>
      <w:r w:rsidRPr="0074454F">
        <w:rPr>
          <w:rFonts w:ascii="Segoe UI Emoji" w:hAnsi="Segoe UI Emoji" w:cs="Segoe UI Emoji"/>
          <w:b/>
          <w:bCs/>
        </w:rPr>
        <w:t>📑</w:t>
      </w:r>
      <w:r w:rsidRPr="0074454F">
        <w:rPr>
          <w:b/>
          <w:bCs/>
        </w:rPr>
        <w:t xml:space="preserve"> Checklist: Adequação de Cálculos à Lei 14.905/2024</w:t>
      </w:r>
    </w:p>
    <w:p w14:paraId="10913E8D" w14:textId="0560751C" w:rsidR="0074454F" w:rsidRPr="0074454F" w:rsidRDefault="0074454F" w:rsidP="0074454F">
      <w:pPr>
        <w:rPr>
          <w:b/>
          <w:bCs/>
        </w:rPr>
      </w:pPr>
      <w:r w:rsidRPr="0074454F">
        <w:rPr>
          <w:b/>
          <w:bCs/>
        </w:rPr>
        <w:t>checklist-lei-14905-calculo-financiamento-dr-lincoln.pdf</w:t>
      </w:r>
    </w:p>
    <w:p w14:paraId="16295A2B" w14:textId="77777777" w:rsidR="0074454F" w:rsidRPr="0074454F" w:rsidRDefault="0074454F" w:rsidP="0074454F">
      <w:r w:rsidRPr="0074454F">
        <w:rPr>
          <w:b/>
          <w:bCs/>
        </w:rPr>
        <w:lastRenderedPageBreak/>
        <w:t>Objetivo:</w:t>
      </w:r>
      <w:r w:rsidRPr="0074454F">
        <w:t xml:space="preserve"> Verificar se a memória de cálculo da contraparte ou da contadoria judicial respeita os novos parâmetros legais.</w:t>
      </w:r>
    </w:p>
    <w:p w14:paraId="4B74F1C5" w14:textId="77777777" w:rsidR="0074454F" w:rsidRPr="0074454F" w:rsidRDefault="0074454F" w:rsidP="0074454F">
      <w:pPr>
        <w:numPr>
          <w:ilvl w:val="0"/>
          <w:numId w:val="5"/>
        </w:numPr>
      </w:pPr>
      <w:r w:rsidRPr="0074454F">
        <w:rPr>
          <w:b/>
          <w:bCs/>
        </w:rPr>
        <w:t>[ ] Verificação de Convenção de Taxa:</w:t>
      </w:r>
      <w:r w:rsidRPr="0074454F">
        <w:t xml:space="preserve"> O contrato original possui taxa de juros de mora expressa?</w:t>
      </w:r>
    </w:p>
    <w:p w14:paraId="606BFDB6" w14:textId="77777777" w:rsidR="0074454F" w:rsidRPr="0074454F" w:rsidRDefault="0074454F" w:rsidP="0074454F">
      <w:pPr>
        <w:numPr>
          <w:ilvl w:val="1"/>
          <w:numId w:val="5"/>
        </w:numPr>
      </w:pPr>
      <w:r w:rsidRPr="0074454F">
        <w:rPr>
          <w:i/>
          <w:iCs/>
        </w:rPr>
        <w:t>Nota:</w:t>
      </w:r>
      <w:r w:rsidRPr="0074454F">
        <w:t xml:space="preserve"> Se não houver, a regra da Selic - IPCA é mandatória.</w:t>
      </w:r>
    </w:p>
    <w:p w14:paraId="29F12595" w14:textId="77777777" w:rsidR="0074454F" w:rsidRPr="0074454F" w:rsidRDefault="0074454F" w:rsidP="0074454F">
      <w:pPr>
        <w:numPr>
          <w:ilvl w:val="0"/>
          <w:numId w:val="5"/>
        </w:numPr>
      </w:pPr>
      <w:r w:rsidRPr="0074454F">
        <w:rPr>
          <w:b/>
          <w:bCs/>
        </w:rPr>
        <w:t>[ ] Índice de Correção Monetária:</w:t>
      </w:r>
      <w:r w:rsidRPr="0074454F">
        <w:t xml:space="preserve"> Foi utilizado o </w:t>
      </w:r>
      <w:r w:rsidRPr="0074454F">
        <w:rPr>
          <w:b/>
          <w:bCs/>
        </w:rPr>
        <w:t>IPCA</w:t>
      </w:r>
      <w:r w:rsidRPr="0074454F">
        <w:t xml:space="preserve"> para a atualização?</w:t>
      </w:r>
    </w:p>
    <w:p w14:paraId="233B7F46" w14:textId="77777777" w:rsidR="0074454F" w:rsidRPr="0074454F" w:rsidRDefault="0074454F" w:rsidP="0074454F">
      <w:pPr>
        <w:numPr>
          <w:ilvl w:val="1"/>
          <w:numId w:val="5"/>
        </w:numPr>
      </w:pPr>
      <w:r w:rsidRPr="0074454F">
        <w:rPr>
          <w:i/>
          <w:iCs/>
        </w:rPr>
        <w:t>Cuidado:</w:t>
      </w:r>
      <w:r w:rsidRPr="0074454F">
        <w:t xml:space="preserve"> O uso de TR, INPC ou IGPM (sem previsão contratual) em períodos regidos pela nova lei pode ser objeto de impugnação.</w:t>
      </w:r>
    </w:p>
    <w:p w14:paraId="3C8E7879" w14:textId="77777777" w:rsidR="0074454F" w:rsidRPr="0074454F" w:rsidRDefault="0074454F" w:rsidP="0074454F">
      <w:pPr>
        <w:numPr>
          <w:ilvl w:val="0"/>
          <w:numId w:val="5"/>
        </w:numPr>
      </w:pPr>
      <w:r w:rsidRPr="0074454F">
        <w:rPr>
          <w:b/>
          <w:bCs/>
        </w:rPr>
        <w:t>[ ] Metodologia dos Juros de Mora:</w:t>
      </w:r>
      <w:r w:rsidRPr="0074454F">
        <w:t xml:space="preserve"> A taxa aplicada foi a </w:t>
      </w:r>
      <w:r w:rsidRPr="0074454F">
        <w:rPr>
          <w:b/>
          <w:bCs/>
        </w:rPr>
        <w:t>Selic deduzida do IPCA</w:t>
      </w:r>
      <w:r w:rsidRPr="0074454F">
        <w:t>?</w:t>
      </w:r>
    </w:p>
    <w:p w14:paraId="40B07DD8" w14:textId="77777777" w:rsidR="0074454F" w:rsidRPr="0074454F" w:rsidRDefault="0074454F" w:rsidP="0074454F">
      <w:pPr>
        <w:numPr>
          <w:ilvl w:val="1"/>
          <w:numId w:val="5"/>
        </w:numPr>
      </w:pPr>
      <w:r w:rsidRPr="0074454F">
        <w:rPr>
          <w:i/>
          <w:iCs/>
        </w:rPr>
        <w:t>Erro Comum:</w:t>
      </w:r>
      <w:r w:rsidRPr="0074454F">
        <w:t xml:space="preserve"> Aplicar 1% ao mês de forma fixa é o erro mais frequente em 2026.</w:t>
      </w:r>
    </w:p>
    <w:p w14:paraId="4DD890AC" w14:textId="77777777" w:rsidR="0074454F" w:rsidRPr="0074454F" w:rsidRDefault="0074454F" w:rsidP="0074454F">
      <w:pPr>
        <w:numPr>
          <w:ilvl w:val="0"/>
          <w:numId w:val="5"/>
        </w:numPr>
      </w:pPr>
      <w:r w:rsidRPr="0074454F">
        <w:rPr>
          <w:b/>
          <w:bCs/>
        </w:rPr>
        <w:t>[ ] Piso Zero de Juros:</w:t>
      </w:r>
      <w:r w:rsidRPr="0074454F">
        <w:t xml:space="preserve"> Em meses onde o IPCA foi superior à Selic, os juros foram zerados?</w:t>
      </w:r>
    </w:p>
    <w:p w14:paraId="08330216" w14:textId="77777777" w:rsidR="0074454F" w:rsidRPr="0074454F" w:rsidRDefault="0074454F" w:rsidP="0074454F">
      <w:pPr>
        <w:numPr>
          <w:ilvl w:val="1"/>
          <w:numId w:val="5"/>
        </w:numPr>
      </w:pPr>
      <w:r w:rsidRPr="0074454F">
        <w:rPr>
          <w:i/>
          <w:iCs/>
        </w:rPr>
        <w:t>Ponto Crítico:</w:t>
      </w:r>
      <w:r w:rsidRPr="0074454F">
        <w:t xml:space="preserve"> A lei proíbe juros negativos, mas também impede a soma de juros onde a Selic já foi "engolida" pela inflação.</w:t>
      </w:r>
    </w:p>
    <w:p w14:paraId="27E3B32D" w14:textId="77777777" w:rsidR="0074454F" w:rsidRPr="0074454F" w:rsidRDefault="0074454F" w:rsidP="0074454F">
      <w:pPr>
        <w:numPr>
          <w:ilvl w:val="0"/>
          <w:numId w:val="5"/>
        </w:numPr>
      </w:pPr>
      <w:r w:rsidRPr="0074454F">
        <w:rPr>
          <w:b/>
          <w:bCs/>
        </w:rPr>
        <w:t>[ ] Marco Temporal:</w:t>
      </w:r>
      <w:r w:rsidRPr="0074454F">
        <w:t xml:space="preserve"> A memória de cálculo respeita a data de início da vigência da lei para a transição dos índices?</w:t>
      </w:r>
    </w:p>
    <w:p w14:paraId="655D8D21" w14:textId="77777777" w:rsidR="0074454F" w:rsidRPr="0074454F" w:rsidRDefault="0074454F" w:rsidP="0074454F">
      <w:pPr>
        <w:numPr>
          <w:ilvl w:val="0"/>
          <w:numId w:val="5"/>
        </w:numPr>
      </w:pPr>
      <w:r w:rsidRPr="0074454F">
        <w:rPr>
          <w:b/>
          <w:bCs/>
        </w:rPr>
        <w:t>[ ] Harmonização com o Câmbio (se aplicável):</w:t>
      </w:r>
      <w:r w:rsidRPr="0074454F">
        <w:t xml:space="preserve"> Em contratos com moeda estrangeira, foi verificada a nova permissividade da lei para correção cambial?</w:t>
      </w:r>
    </w:p>
    <w:p w14:paraId="50FC0547" w14:textId="77777777" w:rsidR="0074454F" w:rsidRPr="0074454F" w:rsidRDefault="0074454F" w:rsidP="0074454F">
      <w:r w:rsidRPr="0074454F">
        <w:pict w14:anchorId="630E0216">
          <v:rect id="_x0000_i1078" style="width:0;height:1.5pt" o:hralign="center" o:hrstd="t" o:hrnoshade="t" o:hr="t" fillcolor="gray" stroked="f"/>
        </w:pict>
      </w:r>
    </w:p>
    <w:p w14:paraId="6F6349E9" w14:textId="77777777" w:rsidR="0074454F" w:rsidRPr="0074454F" w:rsidRDefault="0074454F" w:rsidP="0074454F">
      <w:pPr>
        <w:rPr>
          <w:b/>
          <w:bCs/>
        </w:rPr>
      </w:pPr>
      <w:r w:rsidRPr="0074454F">
        <w:rPr>
          <w:b/>
          <w:bCs/>
        </w:rPr>
        <w:t>Por que oferecer este checklist no seu site?</w:t>
      </w:r>
    </w:p>
    <w:p w14:paraId="4F1756AC" w14:textId="77777777" w:rsidR="0074454F" w:rsidRPr="0074454F" w:rsidRDefault="0074454F" w:rsidP="0074454F">
      <w:pPr>
        <w:numPr>
          <w:ilvl w:val="0"/>
          <w:numId w:val="6"/>
        </w:numPr>
      </w:pPr>
      <w:r w:rsidRPr="0074454F">
        <w:rPr>
          <w:b/>
          <w:bCs/>
        </w:rPr>
        <w:t>Geração de Valor Imediato:</w:t>
      </w:r>
      <w:r w:rsidRPr="0074454F">
        <w:t xml:space="preserve"> O advogado baixa o PDF, tenta aplicar e percebe que a matemática é complexa demais para fazer sozinho.</w:t>
      </w:r>
    </w:p>
    <w:p w14:paraId="4D64D508" w14:textId="77777777" w:rsidR="0074454F" w:rsidRPr="0074454F" w:rsidRDefault="0074454F" w:rsidP="0074454F">
      <w:pPr>
        <w:numPr>
          <w:ilvl w:val="0"/>
          <w:numId w:val="6"/>
        </w:numPr>
      </w:pPr>
      <w:r w:rsidRPr="0074454F">
        <w:rPr>
          <w:b/>
          <w:bCs/>
        </w:rPr>
        <w:t>Educação do Mercado:</w:t>
      </w:r>
      <w:r w:rsidRPr="0074454F">
        <w:t xml:space="preserve"> Você ensina o advogado a identificar o erro. Uma vez que ele identifica que o cálculo está errado, ele </w:t>
      </w:r>
      <w:r w:rsidRPr="0074454F">
        <w:rPr>
          <w:b/>
          <w:bCs/>
        </w:rPr>
        <w:t>precisa</w:t>
      </w:r>
      <w:r w:rsidRPr="0074454F">
        <w:t xml:space="preserve"> do seu laudo para fundamentar a petição.</w:t>
      </w:r>
    </w:p>
    <w:p w14:paraId="304D77DD" w14:textId="77777777" w:rsidR="0074454F" w:rsidRPr="0074454F" w:rsidRDefault="0074454F" w:rsidP="0074454F">
      <w:pPr>
        <w:numPr>
          <w:ilvl w:val="0"/>
          <w:numId w:val="6"/>
        </w:numPr>
      </w:pPr>
      <w:r w:rsidRPr="0074454F">
        <w:rPr>
          <w:b/>
          <w:bCs/>
        </w:rPr>
        <w:t>Autoridade Técnica:</w:t>
      </w:r>
      <w:r w:rsidRPr="0074454F">
        <w:t xml:space="preserve"> Você deixa de ser apenas "quem faz a conta" para ser "quem entende a estratégia por trás da lei".</w:t>
      </w:r>
    </w:p>
    <w:p w14:paraId="26FC189A" w14:textId="77777777" w:rsidR="0074454F" w:rsidRPr="0074454F" w:rsidRDefault="0074454F" w:rsidP="0074454F">
      <w:pPr>
        <w:rPr>
          <w:b/>
          <w:bCs/>
        </w:rPr>
      </w:pPr>
      <w:r w:rsidRPr="0074454F">
        <w:rPr>
          <w:b/>
          <w:bCs/>
        </w:rPr>
        <w:t>Como integrar isso ao seu fluxo?</w:t>
      </w:r>
    </w:p>
    <w:p w14:paraId="30489214" w14:textId="77777777" w:rsidR="0074454F" w:rsidRPr="0074454F" w:rsidRDefault="0074454F" w:rsidP="0074454F">
      <w:r w:rsidRPr="0074454F">
        <w:t>Você pode colocar um botão no final do artigo:</w:t>
      </w:r>
    </w:p>
    <w:p w14:paraId="6B18E3B4" w14:textId="77777777" w:rsidR="0074454F" w:rsidRPr="0074454F" w:rsidRDefault="0074454F" w:rsidP="0074454F">
      <w:r w:rsidRPr="0074454F">
        <w:rPr>
          <w:i/>
          <w:iCs/>
        </w:rPr>
        <w:lastRenderedPageBreak/>
        <w:t>"Doutor, preparei um Checklist de Conformidade com a Lei 14.905/2024. Use-o para auditar seus processos atuais antes de enviar para a contadoria."</w:t>
      </w:r>
    </w:p>
    <w:p w14:paraId="34E45372" w14:textId="77777777" w:rsidR="0074454F" w:rsidRPr="0074454F" w:rsidRDefault="0074454F" w:rsidP="0074454F">
      <w:r w:rsidRPr="0074454F">
        <w:rPr>
          <w:b/>
          <w:bCs/>
        </w:rPr>
        <w:t>Gostaria que eu formatasse este checklist em um modelo de PDF ou página de captura para o seu site?</w:t>
      </w:r>
    </w:p>
    <w:p w14:paraId="07C1E890" w14:textId="77777777" w:rsidR="0074454F" w:rsidRDefault="0074454F"/>
    <w:sectPr w:rsidR="00744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65F27"/>
    <w:multiLevelType w:val="multilevel"/>
    <w:tmpl w:val="38B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55138"/>
    <w:multiLevelType w:val="multilevel"/>
    <w:tmpl w:val="410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9365E"/>
    <w:multiLevelType w:val="multilevel"/>
    <w:tmpl w:val="E3EE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016C5"/>
    <w:multiLevelType w:val="multilevel"/>
    <w:tmpl w:val="6676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B3F00"/>
    <w:multiLevelType w:val="multilevel"/>
    <w:tmpl w:val="3C7E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CA1492"/>
    <w:multiLevelType w:val="multilevel"/>
    <w:tmpl w:val="AC24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910722">
    <w:abstractNumId w:val="0"/>
  </w:num>
  <w:num w:numId="2" w16cid:durableId="1399741525">
    <w:abstractNumId w:val="5"/>
  </w:num>
  <w:num w:numId="3" w16cid:durableId="1655450555">
    <w:abstractNumId w:val="2"/>
  </w:num>
  <w:num w:numId="4" w16cid:durableId="1039552462">
    <w:abstractNumId w:val="1"/>
  </w:num>
  <w:num w:numId="5" w16cid:durableId="1414165274">
    <w:abstractNumId w:val="3"/>
  </w:num>
  <w:num w:numId="6" w16cid:durableId="13313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4B"/>
    <w:rsid w:val="00345A4C"/>
    <w:rsid w:val="003D3663"/>
    <w:rsid w:val="0074454F"/>
    <w:rsid w:val="00F7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C3100"/>
  <w15:chartTrackingRefBased/>
  <w15:docId w15:val="{63AEB2F4-83B2-4383-B04B-7C00EB12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6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6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6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6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6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6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6E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6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6E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6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6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6E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6E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6E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6E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6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1437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2026-02-20T02:10:00Z</dcterms:created>
  <dcterms:modified xsi:type="dcterms:W3CDTF">2026-02-20T02:21:00Z</dcterms:modified>
</cp:coreProperties>
</file>