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5F61" w14:textId="77777777" w:rsidR="00FD0665" w:rsidRPr="00FD0665" w:rsidRDefault="00FD0665" w:rsidP="00FD0665">
      <w:r w:rsidRPr="00FD0665">
        <w:t xml:space="preserve">Para manter uma publicação semanal de artigos densos no site de perícia do Dr. Lincoln Sposito, é ideal explorar os classificações entre as áreas de </w:t>
      </w:r>
      <w:r w:rsidRPr="00FD0665">
        <w:rPr>
          <w:b/>
          <w:bCs/>
        </w:rPr>
        <w:t>Finanças, Tributos, TI e Planos de Saúde</w:t>
      </w:r>
      <w:r w:rsidRPr="00FD0665">
        <w:t xml:space="preserve"> , que são as especialidades destacadas em seu perfil.</w:t>
      </w:r>
    </w:p>
    <w:p w14:paraId="3C6BC230" w14:textId="77777777" w:rsidR="00FD0665" w:rsidRPr="00FD0665" w:rsidRDefault="00FD0665" w:rsidP="00FD0665">
      <w:r w:rsidRPr="00FD0665">
        <w:t>Com base nos artigos já publicados sobre a Tabela Price, reajustes de planos de saúde (Qualicorp/Produto 445) e inquérito do STJ, aqui estão sugestões de temas densos e técnicos para as próximas semanas:</w:t>
      </w:r>
    </w:p>
    <w:p w14:paraId="0D057CE3" w14:textId="77777777" w:rsidR="00FD0665" w:rsidRPr="00FD0665" w:rsidRDefault="00FD0665" w:rsidP="000307D4">
      <w:pPr>
        <w:pStyle w:val="Ttulo1"/>
      </w:pPr>
      <w:r w:rsidRPr="00FD0665">
        <w:t>1. Eixo: Perícia em Planos de Saúde (Foco Atuarial e Técnico)</w:t>
      </w:r>
    </w:p>
    <w:p w14:paraId="2694D4F4" w14:textId="77777777" w:rsidR="00FD0665" w:rsidRPr="00FD0665" w:rsidRDefault="00FD0665" w:rsidP="00FD0665">
      <w:r w:rsidRPr="00FD0665">
        <w:t>Como você já abordou o Produto 445, pode aprofundar em outros gargalos técnicos:</w:t>
      </w:r>
    </w:p>
    <w:p w14:paraId="36BA48DE" w14:textId="77777777" w:rsidR="00FD0665" w:rsidRPr="00FD0665" w:rsidRDefault="00FD0665" w:rsidP="00FD0665">
      <w:pPr>
        <w:numPr>
          <w:ilvl w:val="0"/>
          <w:numId w:val="1"/>
        </w:numPr>
      </w:pPr>
      <w:r w:rsidRPr="00FD0665">
        <w:rPr>
          <w:b/>
          <w:bCs/>
        </w:rPr>
        <w:t>A "Caixa-Preta" do VCMH (Variação de Custos Médico-Hospitalares):</w:t>
      </w:r>
      <w:r w:rsidRPr="00FD0665">
        <w:t xml:space="preserve"> Uma análise técnica de como esse índice é calculada pelas operadoras e por que ele frequentemente difere da inflação oficial (IPCA), oferecida de base para contestar reajustes anuais abusivos.</w:t>
      </w:r>
    </w:p>
    <w:p w14:paraId="238A3747" w14:textId="77777777" w:rsidR="00FD0665" w:rsidRPr="00FD0665" w:rsidRDefault="00FD0665" w:rsidP="00FD0665">
      <w:pPr>
        <w:numPr>
          <w:ilvl w:val="0"/>
          <w:numId w:val="1"/>
        </w:numPr>
      </w:pPr>
      <w:r w:rsidRPr="00FD0665">
        <w:rPr>
          <w:b/>
          <w:bCs/>
        </w:rPr>
        <w:t>Metodologia de Cálculo da Sinistralidade em Grupos de Afinidade:</w:t>
      </w:r>
      <w:r w:rsidRPr="00FD0665">
        <w:t xml:space="preserve"> Como auditar se os sinistros lançados no pool de uma entidade (ex: OAB, CRM) realmente pertencem a esse grupo ou se há "contaminação" de dados para aumentar o prêmio.</w:t>
      </w:r>
    </w:p>
    <w:p w14:paraId="08777557" w14:textId="77777777" w:rsidR="00FD0665" w:rsidRPr="00FD0665" w:rsidRDefault="00FD0665" w:rsidP="00FD0665">
      <w:pPr>
        <w:numPr>
          <w:ilvl w:val="0"/>
          <w:numId w:val="1"/>
        </w:numPr>
      </w:pPr>
      <w:r w:rsidRPr="00FD0665">
        <w:rPr>
          <w:b/>
          <w:bCs/>
        </w:rPr>
        <w:t>Home Care e Exclusões Contratuais:</w:t>
      </w:r>
      <w:r w:rsidRPr="00FD0665">
        <w:t xml:space="preserve"> Um parecer técnico sobre o impacto econômico-financeiro da negativa de cobertura em tratamentos de alto custo e como a perícia quantifica o dano acumulado.</w:t>
      </w:r>
    </w:p>
    <w:p w14:paraId="69DD3636" w14:textId="77777777" w:rsidR="00FD0665" w:rsidRPr="00FD0665" w:rsidRDefault="00FD0665" w:rsidP="000307D4">
      <w:pPr>
        <w:pStyle w:val="Ttulo1"/>
      </w:pPr>
      <w:r w:rsidRPr="00FD0665">
        <w:t>2. Eixo: Perícia Financeira e Bancária</w:t>
      </w:r>
    </w:p>
    <w:p w14:paraId="6675AAE1" w14:textId="77777777" w:rsidR="00FD0665" w:rsidRPr="00FD0665" w:rsidRDefault="00FD0665" w:rsidP="00FD0665">
      <w:r w:rsidRPr="00FD0665">
        <w:t>Expandindo o tema da Tabela Preço e Método de Gauss:</w:t>
      </w:r>
    </w:p>
    <w:p w14:paraId="4B295DD8" w14:textId="77777777" w:rsidR="00FD0665" w:rsidRPr="00FD0665" w:rsidRDefault="00FD0665" w:rsidP="00FD0665">
      <w:pPr>
        <w:numPr>
          <w:ilvl w:val="0"/>
          <w:numId w:val="2"/>
        </w:numPr>
      </w:pPr>
      <w:r w:rsidRPr="00FD0665">
        <w:rPr>
          <w:b/>
          <w:bCs/>
        </w:rPr>
        <w:t>Análise Pericial de Juros Remuneratórios e a Taxa Média de Mercado (BACEN):</w:t>
      </w:r>
      <w:r w:rsidRPr="00FD0665">
        <w:t xml:space="preserve"> Como demonstrar matematicamente que a taxa aplicada pelo banco ultrapassa a média permitida, configurando abusividade sob a ótica da concorrência atual.</w:t>
      </w:r>
    </w:p>
    <w:p w14:paraId="0D01F4B9" w14:textId="77777777" w:rsidR="00FD0665" w:rsidRPr="00FD0665" w:rsidRDefault="00FD0665" w:rsidP="00FD0665">
      <w:pPr>
        <w:numPr>
          <w:ilvl w:val="0"/>
          <w:numId w:val="2"/>
        </w:numPr>
      </w:pPr>
      <w:r w:rsidRPr="00FD0665">
        <w:rPr>
          <w:b/>
          <w:bCs/>
        </w:rPr>
        <w:t>Amortização Negativa em Contratos de Financiamento Imobiliário:</w:t>
      </w:r>
      <w:r w:rsidRPr="00FD0665">
        <w:t xml:space="preserve"> Um artigo denso sobre o sistema SAC vs. Preço, focando não nas características do saldo devedor crescente e como a perícia identifica o anatocismo oculto.</w:t>
      </w:r>
    </w:p>
    <w:p w14:paraId="1F161B1A" w14:textId="77777777" w:rsidR="00FD0665" w:rsidRPr="00FD0665" w:rsidRDefault="00FD0665" w:rsidP="00FD0665">
      <w:pPr>
        <w:numPr>
          <w:ilvl w:val="0"/>
          <w:numId w:val="2"/>
        </w:numPr>
      </w:pPr>
      <w:r w:rsidRPr="00FD0665">
        <w:rPr>
          <w:b/>
          <w:bCs/>
        </w:rPr>
        <w:lastRenderedPageBreak/>
        <w:t>Criptoativos e Perícia Digital em Disputas Societárias:</w:t>
      </w:r>
      <w:r w:rsidRPr="00FD0665">
        <w:t xml:space="preserve"> Como o Dr. Lincoln (especialista em TI) pode atuar no rastreio de ativos digitais e avaliação de “avaliação” de empresas que possuem patrimônio em blockchain.</w:t>
      </w:r>
    </w:p>
    <w:p w14:paraId="2E1A6945" w14:textId="77777777" w:rsidR="00FD0665" w:rsidRPr="00FD0665" w:rsidRDefault="00FD0665" w:rsidP="000307D4">
      <w:pPr>
        <w:pStyle w:val="Ttulo1"/>
      </w:pPr>
      <w:r w:rsidRPr="00FD0665">
        <w:t>3. Eixo: Perícia Tributária e TI (Alta Complexidade)</w:t>
      </w:r>
    </w:p>
    <w:p w14:paraId="46455814" w14:textId="77777777" w:rsidR="00FD0665" w:rsidRPr="00FD0665" w:rsidRDefault="00FD0665" w:rsidP="00FD0665">
      <w:r w:rsidRPr="00FD0665">
        <w:t>Aproveitando sua especialidade em auditorias de sistemas e bases de dados:</w:t>
      </w:r>
    </w:p>
    <w:p w14:paraId="6D50D333" w14:textId="77777777" w:rsidR="00FD0665" w:rsidRPr="00FD0665" w:rsidRDefault="00FD0665" w:rsidP="00FD0665">
      <w:pPr>
        <w:numPr>
          <w:ilvl w:val="0"/>
          <w:numId w:val="3"/>
        </w:numPr>
      </w:pPr>
      <w:r w:rsidRPr="00FD0665">
        <w:rPr>
          <w:b/>
          <w:bCs/>
        </w:rPr>
        <w:t>Compliance Tributário e Auditoria de XMLs:</w:t>
      </w:r>
      <w:r w:rsidRPr="00FD0665">
        <w:t xml:space="preserve"> Como a perícia em TI identifica erros sistemáticos em ERPs que geram pagamentos indevidos de tributos (ex: PIS/COFINS sobre ICMS).</w:t>
      </w:r>
    </w:p>
    <w:p w14:paraId="50C346DC" w14:textId="77777777" w:rsidR="00FD0665" w:rsidRPr="00FD0665" w:rsidRDefault="00FD0665" w:rsidP="00FD0665">
      <w:pPr>
        <w:numPr>
          <w:ilvl w:val="0"/>
          <w:numId w:val="3"/>
        </w:numPr>
      </w:pPr>
      <w:r w:rsidRPr="00FD0665">
        <w:rPr>
          <w:b/>
          <w:bCs/>
        </w:rPr>
        <w:t>Produção de Prova Antecipada em Crimes Eletrônicos Financeiros:</w:t>
      </w:r>
      <w:r w:rsidRPr="00FD0665">
        <w:t xml:space="preserve"> O papel do assistente técnico na preservação da cadeia de custódia de dados para processos de fraude bancária ou desvio de recursos.</w:t>
      </w:r>
    </w:p>
    <w:p w14:paraId="6E823F29" w14:textId="77777777" w:rsidR="00FD0665" w:rsidRPr="00FD0665" w:rsidRDefault="00FD0665" w:rsidP="000307D4">
      <w:pPr>
        <w:pStyle w:val="Ttulo1"/>
      </w:pPr>
      <w:r w:rsidRPr="00FD0665">
        <w:t>4. Eixo: Estratégia para Advogados (Assistência Técnica)</w:t>
      </w:r>
    </w:p>
    <w:p w14:paraId="15BDEE8D" w14:textId="77777777" w:rsidR="00FD0665" w:rsidRPr="00FD0665" w:rsidRDefault="00FD0665" w:rsidP="00FD0665">
      <w:pPr>
        <w:numPr>
          <w:ilvl w:val="0"/>
          <w:numId w:val="4"/>
        </w:numPr>
      </w:pPr>
      <w:r w:rsidRPr="00FD0665">
        <w:rPr>
          <w:b/>
          <w:bCs/>
        </w:rPr>
        <w:t>A Arte de Elaborar Questões Estratégicas:</w:t>
      </w:r>
      <w:r w:rsidRPr="00FD0665">
        <w:t xml:space="preserve"> Como o advogado pode usar o assistente técnico para "encurralar" o perito do juízo com perguntas que forçam a exposição de inconsistências matemáticas no laudo oficial.</w:t>
      </w:r>
    </w:p>
    <w:p w14:paraId="32754501" w14:textId="77777777" w:rsidR="00FD0665" w:rsidRPr="00FD0665" w:rsidRDefault="00FD0665" w:rsidP="00FD0665">
      <w:pPr>
        <w:numPr>
          <w:ilvl w:val="0"/>
          <w:numId w:val="4"/>
        </w:numPr>
      </w:pPr>
      <w:r w:rsidRPr="00FD0665">
        <w:rPr>
          <w:b/>
          <w:bCs/>
        </w:rPr>
        <w:t>Diferença entre Laudo Pericial e Parecer Técnico:</w:t>
      </w:r>
      <w:r w:rsidRPr="00FD0665">
        <w:t xml:space="preserve"> Um guia denso sobre a força probante de cada documento e o impacto da Reforma do CPC na valorização da assistência técnica.</w:t>
      </w:r>
    </w:p>
    <w:p w14:paraId="1BF4DDFD" w14:textId="77777777" w:rsidR="000307D4" w:rsidRDefault="000307D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E51087" w14:textId="1D247DA5" w:rsidR="00FD0665" w:rsidRPr="00FD0665" w:rsidRDefault="00FD0665" w:rsidP="000307D4">
      <w:pPr>
        <w:pStyle w:val="Ttulo1"/>
      </w:pPr>
      <w:r w:rsidRPr="00FD0665">
        <w:lastRenderedPageBreak/>
        <w:t xml:space="preserve">Dica de Estrutura para os Artigos: </w:t>
      </w:r>
    </w:p>
    <w:p w14:paraId="09B7EABB" w14:textId="6988D047" w:rsidR="00FD0665" w:rsidRPr="00FD0665" w:rsidRDefault="00FD0665" w:rsidP="00FD0665">
      <w:r w:rsidRPr="00FD0665">
        <w:t>Para manter a "densidade" solicitada, cada artigo deve conter</w:t>
      </w:r>
      <w:r w:rsidR="000307D4">
        <w:t xml:space="preserve"> (~2750 palavras)</w:t>
      </w:r>
      <w:r w:rsidRPr="00FD0665">
        <w:t>:</w:t>
      </w:r>
    </w:p>
    <w:p w14:paraId="64830D44" w14:textId="6884DB01" w:rsidR="000307D4" w:rsidRDefault="000307D4" w:rsidP="00FD0665">
      <w:pPr>
        <w:numPr>
          <w:ilvl w:val="0"/>
          <w:numId w:val="5"/>
        </w:numPr>
      </w:pPr>
      <w:r>
        <w:t>Resumo (250 palavras)</w:t>
      </w:r>
    </w:p>
    <w:p w14:paraId="395B386A" w14:textId="79A25AD1" w:rsidR="000307D4" w:rsidRPr="000307D4" w:rsidRDefault="000307D4" w:rsidP="00FD0665">
      <w:pPr>
        <w:numPr>
          <w:ilvl w:val="0"/>
          <w:numId w:val="5"/>
        </w:numPr>
      </w:pPr>
      <w:r>
        <w:t>Introdução (500 palavras)</w:t>
      </w:r>
    </w:p>
    <w:p w14:paraId="6FB4B9AF" w14:textId="4BBA920E" w:rsidR="00FD0665" w:rsidRPr="00FD0665" w:rsidRDefault="00FD0665" w:rsidP="00FD0665">
      <w:pPr>
        <w:numPr>
          <w:ilvl w:val="0"/>
          <w:numId w:val="5"/>
        </w:numPr>
      </w:pPr>
      <w:r w:rsidRPr="00FD0665">
        <w:rPr>
          <w:b/>
          <w:bCs/>
        </w:rPr>
        <w:t>Fundamentação Legal:</w:t>
      </w:r>
      <w:r w:rsidRPr="00FD0665">
        <w:t xml:space="preserve"> Citar Temas do STJ ou Artigos do CPC/CC.</w:t>
      </w:r>
      <w:r w:rsidR="000307D4">
        <w:t xml:space="preserve"> (500 palavras)</w:t>
      </w:r>
    </w:p>
    <w:p w14:paraId="03445FCB" w14:textId="0D96A1DD" w:rsidR="00FD0665" w:rsidRPr="00FD0665" w:rsidRDefault="00FD0665" w:rsidP="00FD0665">
      <w:pPr>
        <w:numPr>
          <w:ilvl w:val="0"/>
          <w:numId w:val="5"/>
        </w:numPr>
      </w:pPr>
      <w:r w:rsidRPr="00FD0665">
        <w:rPr>
          <w:b/>
          <w:bCs/>
        </w:rPr>
        <w:t>Demonstração Matemática/Lógica:</w:t>
      </w:r>
      <w:r w:rsidRPr="00FD0665">
        <w:t xml:space="preserve"> Exemplos de cálculos ou fluxos de auditoria.</w:t>
      </w:r>
      <w:r w:rsidR="000307D4">
        <w:t xml:space="preserve"> (500 palavras)</w:t>
      </w:r>
    </w:p>
    <w:p w14:paraId="711BB3E7" w14:textId="4BD2A575" w:rsidR="00FD0665" w:rsidRDefault="00FD0665" w:rsidP="00FD0665">
      <w:pPr>
        <w:numPr>
          <w:ilvl w:val="0"/>
          <w:numId w:val="5"/>
        </w:numPr>
      </w:pPr>
      <w:r w:rsidRPr="00FD0665">
        <w:rPr>
          <w:b/>
          <w:bCs/>
        </w:rPr>
        <w:t>A Visão do Perito:</w:t>
      </w:r>
      <w:r w:rsidRPr="00FD0665">
        <w:t xml:space="preserve"> Um parágrafo final sobre como a perícia resolve o problema específico narrado.</w:t>
      </w:r>
      <w:r w:rsidR="000307D4">
        <w:t xml:space="preserve"> (500 palavras)</w:t>
      </w:r>
    </w:p>
    <w:p w14:paraId="6C8382CA" w14:textId="0DE086DC" w:rsidR="000307D4" w:rsidRPr="00FD0665" w:rsidRDefault="000307D4" w:rsidP="00FD0665">
      <w:pPr>
        <w:numPr>
          <w:ilvl w:val="0"/>
          <w:numId w:val="5"/>
        </w:numPr>
      </w:pPr>
      <w:r>
        <w:rPr>
          <w:b/>
          <w:bCs/>
        </w:rPr>
        <w:t>Conclusão (500 palavras)</w:t>
      </w:r>
    </w:p>
    <w:p w14:paraId="64648793" w14:textId="3FB05957" w:rsidR="000307D4" w:rsidRDefault="000307D4">
      <w:r>
        <w:br w:type="page"/>
      </w:r>
    </w:p>
    <w:p w14:paraId="7898DB14" w14:textId="77777777" w:rsidR="000307D4" w:rsidRDefault="000307D4" w:rsidP="000307D4">
      <w:pPr>
        <w:pStyle w:val="Ttulo1"/>
      </w:pPr>
      <w:r>
        <w:lastRenderedPageBreak/>
        <w:t xml:space="preserve">FONTES PARA ARTIGOS </w:t>
      </w:r>
    </w:p>
    <w:p w14:paraId="1E59EFA1" w14:textId="741C3136" w:rsidR="000307D4" w:rsidRDefault="000307D4" w:rsidP="000307D4">
      <w:pPr>
        <w:pStyle w:val="Ttulo2"/>
      </w:pPr>
      <w:r w:rsidRPr="00FD0665">
        <w:t xml:space="preserve">A "Caixa-Preta" do VCMH (Variação de Custos Médico-Hospitalares): </w:t>
      </w:r>
    </w:p>
    <w:p w14:paraId="6B603033" w14:textId="70FC6920" w:rsidR="00FD0665" w:rsidRDefault="000307D4">
      <w:r w:rsidRPr="00FD0665">
        <w:t>Uma análise técnica de como esse índice é calculada pelas operadoras e por que ele frequentemente difere da inflação oficial (IPCA), oferecida de base para contestar reajustes anuais abusivos.</w:t>
      </w:r>
    </w:p>
    <w:p w14:paraId="7B966B54" w14:textId="77777777" w:rsidR="000307D4" w:rsidRPr="000307D4" w:rsidRDefault="000307D4" w:rsidP="000307D4">
      <w:r w:rsidRPr="000307D4">
        <w:t xml:space="preserve">Aqui vai uma lista </w:t>
      </w:r>
      <w:r w:rsidRPr="000307D4">
        <w:rPr>
          <w:b/>
          <w:bCs/>
        </w:rPr>
        <w:t>organizada, direta e com URLs simples</w:t>
      </w:r>
      <w:r w:rsidRPr="000307D4">
        <w:t xml:space="preserve">, reunindo </w:t>
      </w:r>
      <w:r w:rsidRPr="000307D4">
        <w:rPr>
          <w:b/>
          <w:bCs/>
        </w:rPr>
        <w:t>20 fontes confiáveis</w:t>
      </w:r>
      <w:r w:rsidRPr="000307D4">
        <w:t xml:space="preserve"> para estudar profundamente o </w:t>
      </w:r>
      <w:r w:rsidRPr="000307D4">
        <w:rPr>
          <w:b/>
          <w:bCs/>
        </w:rPr>
        <w:t>VCMH</w:t>
      </w:r>
      <w:r w:rsidRPr="000307D4">
        <w:t xml:space="preserve">, sua metodologia, diferenças em relação ao </w:t>
      </w:r>
      <w:r w:rsidRPr="000307D4">
        <w:rPr>
          <w:b/>
          <w:bCs/>
        </w:rPr>
        <w:t>IPCA</w:t>
      </w:r>
      <w:r w:rsidRPr="000307D4">
        <w:t xml:space="preserve"> e sua utilização em </w:t>
      </w:r>
      <w:r w:rsidRPr="000307D4">
        <w:rPr>
          <w:b/>
          <w:bCs/>
        </w:rPr>
        <w:t>contestações de reajustes abusivos</w:t>
      </w:r>
      <w:r w:rsidRPr="000307D4">
        <w:t>.</w:t>
      </w:r>
      <w:r w:rsidRPr="000307D4">
        <w:br/>
        <w:t>As três primeiras fontes vêm da busca realizada agora e estão citadas conforme exigido.</w:t>
      </w:r>
    </w:p>
    <w:p w14:paraId="54A06CCD" w14:textId="77777777" w:rsidR="000307D4" w:rsidRPr="000307D4" w:rsidRDefault="000307D4" w:rsidP="000307D4">
      <w:r w:rsidRPr="000307D4">
        <w:pict w14:anchorId="020D9CFB">
          <v:rect id="_x0000_i1043" style="width:0;height:1.5pt" o:hralign="center" o:hrstd="t" o:hr="t" fillcolor="#a0a0a0" stroked="f"/>
        </w:pict>
      </w:r>
    </w:p>
    <w:p w14:paraId="297AE34B" w14:textId="77777777" w:rsidR="000307D4" w:rsidRPr="000307D4" w:rsidRDefault="000307D4" w:rsidP="000307D4">
      <w:pPr>
        <w:rPr>
          <w:b/>
          <w:bCs/>
        </w:rPr>
      </w:pPr>
      <w:r w:rsidRPr="000307D4">
        <w:rPr>
          <w:rFonts w:ascii="Segoe UI Emoji" w:hAnsi="Segoe UI Emoji" w:cs="Segoe UI Emoji"/>
          <w:b/>
          <w:bCs/>
        </w:rPr>
        <w:t>📚</w:t>
      </w:r>
      <w:r w:rsidRPr="000307D4">
        <w:rPr>
          <w:b/>
          <w:bCs/>
        </w:rPr>
        <w:t xml:space="preserve"> 20 Fontes Essenciais Sobre VCMH, Metodologia e Diferenças em Relação ao IPCA</w:t>
      </w:r>
    </w:p>
    <w:p w14:paraId="6A6E8085" w14:textId="77777777" w:rsidR="000307D4" w:rsidRPr="000307D4" w:rsidRDefault="000307D4" w:rsidP="000307D4">
      <w:pPr>
        <w:rPr>
          <w:b/>
          <w:bCs/>
        </w:rPr>
      </w:pPr>
      <w:r w:rsidRPr="000307D4">
        <w:rPr>
          <w:rFonts w:ascii="Segoe UI Emoji" w:hAnsi="Segoe UI Emoji" w:cs="Segoe UI Emoji"/>
          <w:b/>
          <w:bCs/>
        </w:rPr>
        <w:t>🔎</w:t>
      </w:r>
      <w:r w:rsidRPr="000307D4">
        <w:rPr>
          <w:b/>
          <w:bCs/>
        </w:rPr>
        <w:t xml:space="preserve"> Fontes encontradas na busca atual</w:t>
      </w:r>
    </w:p>
    <w:p w14:paraId="2C456B13" w14:textId="77777777" w:rsidR="000307D4" w:rsidRPr="000307D4" w:rsidRDefault="000307D4" w:rsidP="000307D4">
      <w:pPr>
        <w:numPr>
          <w:ilvl w:val="0"/>
          <w:numId w:val="6"/>
        </w:numPr>
      </w:pPr>
      <w:r w:rsidRPr="000307D4">
        <w:rPr>
          <w:b/>
          <w:bCs/>
        </w:rPr>
        <w:t>IESS – Série histórica e metodologia do VCMH</w:t>
      </w:r>
      <w:r w:rsidRPr="000307D4">
        <w:t xml:space="preserve"> </w:t>
      </w:r>
      <w:r w:rsidRPr="000307D4">
        <w:br/>
      </w:r>
      <w:hyperlink r:id="rId5" w:history="1">
        <w:r w:rsidRPr="000307D4">
          <w:rPr>
            <w:rStyle w:val="Hyperlink"/>
          </w:rPr>
          <w:t>https://iess.org.br/vcmhiess</w:t>
        </w:r>
      </w:hyperlink>
    </w:p>
    <w:p w14:paraId="7E297BEF" w14:textId="77777777" w:rsidR="000307D4" w:rsidRPr="000307D4" w:rsidRDefault="000307D4" w:rsidP="000307D4">
      <w:pPr>
        <w:numPr>
          <w:ilvl w:val="0"/>
          <w:numId w:val="7"/>
        </w:numPr>
      </w:pPr>
      <w:r w:rsidRPr="000307D4">
        <w:rPr>
          <w:b/>
          <w:bCs/>
        </w:rPr>
        <w:t>Direct Saúde – Explicação técnica do VCMH e impacto nos reajustes</w:t>
      </w:r>
      <w:r w:rsidRPr="000307D4">
        <w:t xml:space="preserve"> </w:t>
      </w:r>
      <w:r w:rsidRPr="000307D4">
        <w:br/>
      </w:r>
      <w:hyperlink r:id="rId6" w:history="1">
        <w:r w:rsidRPr="000307D4">
          <w:rPr>
            <w:rStyle w:val="Hyperlink"/>
          </w:rPr>
          <w:t>https://www.direct.com.br/post/vcmh-2025-variacao-custo-medico-hospitalar-planos-de-saude</w:t>
        </w:r>
      </w:hyperlink>
    </w:p>
    <w:p w14:paraId="18847D55" w14:textId="77777777" w:rsidR="000307D4" w:rsidRPr="000307D4" w:rsidRDefault="000307D4" w:rsidP="000307D4">
      <w:pPr>
        <w:numPr>
          <w:ilvl w:val="0"/>
          <w:numId w:val="8"/>
        </w:numPr>
      </w:pPr>
      <w:r w:rsidRPr="000307D4">
        <w:rPr>
          <w:b/>
          <w:bCs/>
        </w:rPr>
        <w:t>PDF ENS/IESS – Metodologia detalhada do VCMH</w:t>
      </w:r>
      <w:r w:rsidRPr="000307D4">
        <w:t xml:space="preserve"> </w:t>
      </w:r>
      <w:r w:rsidRPr="000307D4">
        <w:br/>
      </w:r>
      <w:hyperlink r:id="rId7" w:history="1">
        <w:r w:rsidRPr="000307D4">
          <w:rPr>
            <w:rStyle w:val="Hyperlink"/>
          </w:rPr>
          <w:t>https://media.jurishealth.com.br/_original/iess-variacao-dos-custos-medico-hospitalares-vcmh-5ndZ2Xp8.pdf</w:t>
        </w:r>
      </w:hyperlink>
    </w:p>
    <w:p w14:paraId="2DC8E2F2" w14:textId="77777777" w:rsidR="000307D4" w:rsidRPr="000307D4" w:rsidRDefault="000307D4" w:rsidP="000307D4">
      <w:r w:rsidRPr="000307D4">
        <w:pict w14:anchorId="5F4BF756">
          <v:rect id="_x0000_i1044" style="width:0;height:1.5pt" o:hralign="center" o:hrstd="t" o:hr="t" fillcolor="#a0a0a0" stroked="f"/>
        </w:pict>
      </w:r>
    </w:p>
    <w:p w14:paraId="0EB7392E" w14:textId="77777777" w:rsidR="000307D4" w:rsidRPr="000307D4" w:rsidRDefault="000307D4" w:rsidP="000307D4">
      <w:pPr>
        <w:rPr>
          <w:b/>
          <w:bCs/>
        </w:rPr>
      </w:pPr>
      <w:r w:rsidRPr="000307D4">
        <w:rPr>
          <w:rFonts w:ascii="Segoe UI Emoji" w:hAnsi="Segoe UI Emoji" w:cs="Segoe UI Emoji"/>
          <w:b/>
          <w:bCs/>
        </w:rPr>
        <w:t>📘</w:t>
      </w:r>
      <w:r w:rsidRPr="000307D4">
        <w:rPr>
          <w:b/>
          <w:bCs/>
        </w:rPr>
        <w:t xml:space="preserve"> Fontes adicionais (institucionais, técnicas e jurídicas)</w:t>
      </w:r>
    </w:p>
    <w:p w14:paraId="26195654" w14:textId="77777777" w:rsidR="000307D4" w:rsidRPr="000307D4" w:rsidRDefault="000307D4" w:rsidP="000307D4">
      <w:r w:rsidRPr="000307D4">
        <w:rPr>
          <w:i/>
          <w:iCs/>
        </w:rPr>
        <w:t>(Estas não vieram da busca, mas são fontes oficiais e amplamente reconhecidas.)</w:t>
      </w:r>
    </w:p>
    <w:p w14:paraId="3511AC55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ANS – Reajustes de planos de saúde</w:t>
      </w:r>
      <w:r w:rsidRPr="000307D4">
        <w:t xml:space="preserve"> </w:t>
      </w:r>
      <w:r w:rsidRPr="000307D4">
        <w:br/>
        <w:t xml:space="preserve">https://www.gov.br/ans/pt-br/assuntos/consumidor/reajustes </w:t>
      </w:r>
      <w:hyperlink r:id="rId8" w:history="1">
        <w:r w:rsidRPr="000307D4">
          <w:rPr>
            <w:rStyle w:val="Hyperlink"/>
          </w:rPr>
          <w:t>(gov.br in Bing)</w:t>
        </w:r>
      </w:hyperlink>
    </w:p>
    <w:p w14:paraId="020D0E3A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ANS – Notas técnicas atuariais</w:t>
      </w:r>
      <w:r w:rsidRPr="000307D4">
        <w:t xml:space="preserve"> </w:t>
      </w:r>
      <w:r w:rsidRPr="000307D4">
        <w:br/>
        <w:t xml:space="preserve">https://www.gov.br/ans/pt-br/assuntos/planos-de-saude/notas-tecnicas </w:t>
      </w:r>
      <w:hyperlink r:id="rId9" w:history="1">
        <w:r w:rsidRPr="000307D4">
          <w:rPr>
            <w:rStyle w:val="Hyperlink"/>
          </w:rPr>
          <w:t>(gov.br in Bing)</w:t>
        </w:r>
      </w:hyperlink>
    </w:p>
    <w:p w14:paraId="49E77646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lastRenderedPageBreak/>
        <w:t>FenaSaúde – Estudos sobre custos médico-hospitalares</w:t>
      </w:r>
      <w:r w:rsidRPr="000307D4">
        <w:t xml:space="preserve"> </w:t>
      </w:r>
      <w:r w:rsidRPr="000307D4">
        <w:br/>
      </w:r>
      <w:hyperlink r:id="rId10" w:history="1">
        <w:r w:rsidRPr="000307D4">
          <w:rPr>
            <w:rStyle w:val="Hyperlink"/>
          </w:rPr>
          <w:t>https://www.fenasaude.org.br</w:t>
        </w:r>
      </w:hyperlink>
    </w:p>
    <w:p w14:paraId="4FB145E8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IESS – Biblioteca completa de estudos</w:t>
      </w:r>
      <w:r w:rsidRPr="000307D4">
        <w:t xml:space="preserve"> </w:t>
      </w:r>
      <w:r w:rsidRPr="000307D4">
        <w:br/>
      </w:r>
      <w:hyperlink r:id="rId11" w:history="1">
        <w:r w:rsidRPr="000307D4">
          <w:rPr>
            <w:rStyle w:val="Hyperlink"/>
          </w:rPr>
          <w:t>https://iess.org.br/biblioteca</w:t>
        </w:r>
      </w:hyperlink>
    </w:p>
    <w:p w14:paraId="5ED3A408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IBGE – IPCA (inflação oficial)</w:t>
      </w:r>
      <w:r w:rsidRPr="000307D4">
        <w:t xml:space="preserve"> </w:t>
      </w:r>
      <w:r w:rsidRPr="000307D4">
        <w:br/>
        <w:t xml:space="preserve">https://www.ibge.gov.br/estatisticas/economicas/precos-e-custos/9256-ipca.html </w:t>
      </w:r>
      <w:hyperlink r:id="rId12" w:history="1">
        <w:r w:rsidRPr="000307D4">
          <w:rPr>
            <w:rStyle w:val="Hyperlink"/>
          </w:rPr>
          <w:t>(ibge.gov.br in Bing)</w:t>
        </w:r>
      </w:hyperlink>
    </w:p>
    <w:p w14:paraId="78489D12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CNS – Confederação Nacional de Saúde</w:t>
      </w:r>
      <w:r w:rsidRPr="000307D4">
        <w:t xml:space="preserve"> </w:t>
      </w:r>
      <w:r w:rsidRPr="000307D4">
        <w:br/>
      </w:r>
      <w:hyperlink r:id="rId13" w:history="1">
        <w:r w:rsidRPr="000307D4">
          <w:rPr>
            <w:rStyle w:val="Hyperlink"/>
          </w:rPr>
          <w:t>https://cnsaude.org.br</w:t>
        </w:r>
      </w:hyperlink>
    </w:p>
    <w:p w14:paraId="14BEB766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CNSaúde – Estudos sobre inflação médica</w:t>
      </w:r>
      <w:r w:rsidRPr="000307D4">
        <w:t xml:space="preserve"> </w:t>
      </w:r>
      <w:r w:rsidRPr="000307D4">
        <w:br/>
      </w:r>
      <w:hyperlink r:id="rId14" w:history="1">
        <w:r w:rsidRPr="000307D4">
          <w:rPr>
            <w:rStyle w:val="Hyperlink"/>
          </w:rPr>
          <w:t>https://cnsaude.org.br/estudos</w:t>
        </w:r>
      </w:hyperlink>
    </w:p>
    <w:p w14:paraId="738E8145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Câmara dos Deputados – Audiências sobre reajustes de planos</w:t>
      </w:r>
      <w:r w:rsidRPr="000307D4">
        <w:t xml:space="preserve"> </w:t>
      </w:r>
      <w:r w:rsidRPr="000307D4">
        <w:br/>
      </w:r>
      <w:hyperlink r:id="rId15" w:history="1">
        <w:r w:rsidRPr="000307D4">
          <w:rPr>
            <w:rStyle w:val="Hyperlink"/>
          </w:rPr>
          <w:t>https://www.camara.leg.br</w:t>
        </w:r>
      </w:hyperlink>
    </w:p>
    <w:p w14:paraId="3D021D44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Senado Federal – Debates sobre saúde suplementar</w:t>
      </w:r>
      <w:r w:rsidRPr="000307D4">
        <w:t xml:space="preserve"> </w:t>
      </w:r>
      <w:r w:rsidRPr="000307D4">
        <w:br/>
        <w:t xml:space="preserve">https://www12.senado.leg.br </w:t>
      </w:r>
      <w:hyperlink r:id="rId16" w:history="1">
        <w:r w:rsidRPr="000307D4">
          <w:rPr>
            <w:rStyle w:val="Hyperlink"/>
          </w:rPr>
          <w:t>(www12.senado.leg.br in Bing)</w:t>
        </w:r>
      </w:hyperlink>
    </w:p>
    <w:p w14:paraId="15299472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TCU – Relatórios sobre regulação da saúde suplementar</w:t>
      </w:r>
      <w:r w:rsidRPr="000307D4">
        <w:t xml:space="preserve"> </w:t>
      </w:r>
      <w:r w:rsidRPr="000307D4">
        <w:br/>
        <w:t xml:space="preserve">https://portal.tcu.gov.br </w:t>
      </w:r>
      <w:hyperlink r:id="rId17" w:history="1">
        <w:r w:rsidRPr="000307D4">
          <w:rPr>
            <w:rStyle w:val="Hyperlink"/>
          </w:rPr>
          <w:t>(portal.tcu.gov.br in Bing)</w:t>
        </w:r>
      </w:hyperlink>
    </w:p>
    <w:p w14:paraId="77308B9D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STJ – Jurisprudência sobre reajustes abusivos</w:t>
      </w:r>
      <w:r w:rsidRPr="000307D4">
        <w:t xml:space="preserve"> </w:t>
      </w:r>
      <w:r w:rsidRPr="000307D4">
        <w:br/>
      </w:r>
      <w:hyperlink r:id="rId18" w:history="1">
        <w:r w:rsidRPr="000307D4">
          <w:rPr>
            <w:rStyle w:val="Hyperlink"/>
          </w:rPr>
          <w:t>https://www.stj.jus.br</w:t>
        </w:r>
      </w:hyperlink>
    </w:p>
    <w:p w14:paraId="1C68FAB3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CNJ – Banco de decisões sobre planos de saúde</w:t>
      </w:r>
      <w:r w:rsidRPr="000307D4">
        <w:t xml:space="preserve"> </w:t>
      </w:r>
      <w:r w:rsidRPr="000307D4">
        <w:br/>
      </w:r>
      <w:hyperlink r:id="rId19" w:history="1">
        <w:r w:rsidRPr="000307D4">
          <w:rPr>
            <w:rStyle w:val="Hyperlink"/>
          </w:rPr>
          <w:t>https://www.cnj.jus.br</w:t>
        </w:r>
      </w:hyperlink>
    </w:p>
    <w:p w14:paraId="026677D4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Procon-SP – Orientações sobre reajustes</w:t>
      </w:r>
      <w:r w:rsidRPr="000307D4">
        <w:t xml:space="preserve"> </w:t>
      </w:r>
      <w:r w:rsidRPr="000307D4">
        <w:br/>
        <w:t xml:space="preserve">https://www.procon.sp.gov.br </w:t>
      </w:r>
      <w:hyperlink r:id="rId20" w:history="1">
        <w:r w:rsidRPr="000307D4">
          <w:rPr>
            <w:rStyle w:val="Hyperlink"/>
          </w:rPr>
          <w:t>(procon.sp.gov.br in Bing)</w:t>
        </w:r>
      </w:hyperlink>
    </w:p>
    <w:p w14:paraId="300FA87A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IDEA Saúde – Estudos sobre inflação médica</w:t>
      </w:r>
      <w:r w:rsidRPr="000307D4">
        <w:t xml:space="preserve"> </w:t>
      </w:r>
      <w:r w:rsidRPr="000307D4">
        <w:br/>
      </w:r>
      <w:hyperlink r:id="rId21" w:history="1">
        <w:r w:rsidRPr="000307D4">
          <w:rPr>
            <w:rStyle w:val="Hyperlink"/>
          </w:rPr>
          <w:t>https://www.ideasaude.com.br</w:t>
        </w:r>
      </w:hyperlink>
    </w:p>
    <w:p w14:paraId="63BF2D75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KPMG – Relatórios sobre custos em saúde</w:t>
      </w:r>
      <w:r w:rsidRPr="000307D4">
        <w:t xml:space="preserve"> </w:t>
      </w:r>
      <w:r w:rsidRPr="000307D4">
        <w:br/>
        <w:t xml:space="preserve">https://kpmg.com/br/pt/home.html </w:t>
      </w:r>
      <w:hyperlink r:id="rId22" w:history="1">
        <w:r w:rsidRPr="000307D4">
          <w:rPr>
            <w:rStyle w:val="Hyperlink"/>
          </w:rPr>
          <w:t>(kpmg.com in Bing)</w:t>
        </w:r>
      </w:hyperlink>
    </w:p>
    <w:p w14:paraId="383FC9E1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PwC – Estudos sobre tendências de custos médico-hospitalares</w:t>
      </w:r>
      <w:r w:rsidRPr="000307D4">
        <w:t xml:space="preserve"> </w:t>
      </w:r>
      <w:r w:rsidRPr="000307D4">
        <w:br/>
      </w:r>
      <w:hyperlink r:id="rId23" w:history="1">
        <w:r w:rsidRPr="000307D4">
          <w:rPr>
            <w:rStyle w:val="Hyperlink"/>
          </w:rPr>
          <w:t>https://www.pwc.com.br</w:t>
        </w:r>
      </w:hyperlink>
    </w:p>
    <w:p w14:paraId="0230978E" w14:textId="77777777" w:rsidR="000307D4" w:rsidRPr="000307D4" w:rsidRDefault="000307D4" w:rsidP="000307D4">
      <w:pPr>
        <w:numPr>
          <w:ilvl w:val="0"/>
          <w:numId w:val="9"/>
        </w:numPr>
      </w:pPr>
      <w:r w:rsidRPr="000307D4">
        <w:rPr>
          <w:b/>
          <w:bCs/>
        </w:rPr>
        <w:t>Deloitte – Relatórios globais de inflação médica</w:t>
      </w:r>
      <w:r w:rsidRPr="000307D4">
        <w:t xml:space="preserve"> </w:t>
      </w:r>
      <w:r w:rsidRPr="000307D4">
        <w:br/>
      </w:r>
      <w:hyperlink r:id="rId24" w:history="1">
        <w:r w:rsidRPr="000307D4">
          <w:rPr>
            <w:rStyle w:val="Hyperlink"/>
          </w:rPr>
          <w:t>https://www2.deloitte.com/br/pt.html</w:t>
        </w:r>
      </w:hyperlink>
    </w:p>
    <w:p w14:paraId="1D32DBC2" w14:textId="77777777" w:rsidR="000307D4" w:rsidRPr="000307D4" w:rsidRDefault="000307D4" w:rsidP="000307D4">
      <w:r w:rsidRPr="000307D4">
        <w:pict w14:anchorId="005C9A41">
          <v:rect id="_x0000_i1045" style="width:0;height:1.5pt" o:hralign="center" o:hrstd="t" o:hr="t" fillcolor="#a0a0a0" stroked="f"/>
        </w:pict>
      </w:r>
    </w:p>
    <w:p w14:paraId="21728977" w14:textId="4D0E13D4" w:rsidR="00B52020" w:rsidRPr="00B52020" w:rsidRDefault="00B52020" w:rsidP="00B52020">
      <w:pPr>
        <w:pStyle w:val="Ttulo2"/>
      </w:pPr>
      <w:r>
        <w:lastRenderedPageBreak/>
        <w:t xml:space="preserve">Artigo: </w:t>
      </w:r>
      <w:r w:rsidRPr="00B52020">
        <w:t>A "Caixa-Preta" do VCMH (Variação de Custos Médico-Hospitalares): Uma Análise Técnica para a Contestação de Reajustes Abusivos</w:t>
      </w:r>
    </w:p>
    <w:p w14:paraId="42105A85" w14:textId="77777777" w:rsidR="00B52020" w:rsidRPr="00B52020" w:rsidRDefault="00B52020" w:rsidP="00B52020">
      <w:pPr>
        <w:rPr>
          <w:b/>
          <w:bCs/>
        </w:rPr>
      </w:pPr>
      <w:r w:rsidRPr="00B52020">
        <w:rPr>
          <w:b/>
          <w:bCs/>
        </w:rPr>
        <w:t>Resumo</w:t>
      </w:r>
    </w:p>
    <w:p w14:paraId="086D7451" w14:textId="77777777" w:rsidR="00B52020" w:rsidRPr="00B52020" w:rsidRDefault="00B52020" w:rsidP="00B52020">
      <w:r w:rsidRPr="00B52020">
        <w:t xml:space="preserve">O presente artigo analisa a forma exaustiva do índice de Variação de Custos Médico-Hospitalares (VCMH), frequentemente utilizado pelas operadoras de planos de saúde para justificar reajustes anuais em contratos coletivos e empresariais. Diferentemente do IPCA, que mede a inflação de preços ao consumidor, o VCMH é um índice de valor que agrega tanto a variação de preços quanto a variação de frequência de utilização (sinistralidade). Esta dualidade permite que as eficiências operacionais das operadoras sejam mascaradas ou que o risco do negócio seja integralmente transferido aos beneficiários. O objetivo desta análise é dissecar a metodologia aplicada pelo IESS (Instituto de Estudos de Saúde Suplementar) e pelas operadoras, evidenciando as assimetrias informacionais que transformam este índice em uma "caixa-preta". Investigamos como a inclusão de novas tecnologias, o envelhecimento populacional e a judicialização da saúde influenciam o projeto, mas ponderamos que tais fatores não autorizam reajustes que ferem o equilíbrio econômico-financeiro do contrato. Através da perícia atuarial e técnica, é possível demonstrar que muitos dos custos repassados </w:t>
      </w:r>
      <w:r w:rsidRPr="00B52020">
        <w:rPr>
          <w:rFonts w:ascii="Arial" w:hAnsi="Arial" w:cs="Arial"/>
        </w:rPr>
        <w:t>​​</w:t>
      </w:r>
      <w:r w:rsidRPr="00B52020">
        <w:t>carecem de lastro em auditorias de rede ou comprova</w:t>
      </w:r>
      <w:r w:rsidRPr="00B52020">
        <w:rPr>
          <w:rFonts w:ascii="Aptos" w:hAnsi="Aptos" w:cs="Aptos"/>
        </w:rPr>
        <w:t>çã</w:t>
      </w:r>
      <w:r w:rsidRPr="00B52020">
        <w:t>o de desembolso efetivo. Conclui-se que o VCMH n</w:t>
      </w:r>
      <w:r w:rsidRPr="00B52020">
        <w:rPr>
          <w:rFonts w:ascii="Aptos" w:hAnsi="Aptos" w:cs="Aptos"/>
        </w:rPr>
        <w:t>ã</w:t>
      </w:r>
      <w:r w:rsidRPr="00B52020">
        <w:t>o pode ser aplicado de forma autom</w:t>
      </w:r>
      <w:r w:rsidRPr="00B52020">
        <w:rPr>
          <w:rFonts w:ascii="Aptos" w:hAnsi="Aptos" w:cs="Aptos"/>
        </w:rPr>
        <w:t>á</w:t>
      </w:r>
      <w:r w:rsidRPr="00B52020">
        <w:t>tica e unilateral, recorrendo a esta fundamenta</w:t>
      </w:r>
      <w:r w:rsidRPr="00B52020">
        <w:rPr>
          <w:rFonts w:ascii="Aptos" w:hAnsi="Aptos" w:cs="Aptos"/>
        </w:rPr>
        <w:t>çã</w:t>
      </w:r>
      <w:r w:rsidRPr="00B52020">
        <w:t>o como base t</w:t>
      </w:r>
      <w:r w:rsidRPr="00B52020">
        <w:rPr>
          <w:rFonts w:ascii="Aptos" w:hAnsi="Aptos" w:cs="Aptos"/>
        </w:rPr>
        <w:t>é</w:t>
      </w:r>
      <w:r w:rsidRPr="00B52020">
        <w:t>cnica para contesta</w:t>
      </w:r>
      <w:r w:rsidRPr="00B52020">
        <w:rPr>
          <w:rFonts w:ascii="Aptos" w:hAnsi="Aptos" w:cs="Aptos"/>
        </w:rPr>
        <w:t>çõ</w:t>
      </w:r>
      <w:r w:rsidRPr="00B52020">
        <w:t>es judiciais de reajustes abusivos, buscando a substitui</w:t>
      </w:r>
      <w:r w:rsidRPr="00B52020">
        <w:rPr>
          <w:rFonts w:ascii="Aptos" w:hAnsi="Aptos" w:cs="Aptos"/>
        </w:rPr>
        <w:t>çã</w:t>
      </w:r>
      <w:r w:rsidRPr="00B52020">
        <w:t xml:space="preserve">o de </w:t>
      </w:r>
      <w:r w:rsidRPr="00B52020">
        <w:rPr>
          <w:rFonts w:ascii="Aptos" w:hAnsi="Aptos" w:cs="Aptos"/>
        </w:rPr>
        <w:t>í</w:t>
      </w:r>
      <w:r w:rsidRPr="00B52020">
        <w:t>ndices opacos por considera</w:t>
      </w:r>
      <w:r w:rsidRPr="00B52020">
        <w:rPr>
          <w:rFonts w:ascii="Aptos" w:hAnsi="Aptos" w:cs="Aptos"/>
        </w:rPr>
        <w:t>çõ</w:t>
      </w:r>
      <w:r w:rsidRPr="00B52020">
        <w:t>es transparentes e equ</w:t>
      </w:r>
      <w:r w:rsidRPr="00B52020">
        <w:rPr>
          <w:rFonts w:ascii="Aptos" w:hAnsi="Aptos" w:cs="Aptos"/>
        </w:rPr>
        <w:t>â</w:t>
      </w:r>
      <w:r w:rsidRPr="00B52020">
        <w:t>nimes.</w:t>
      </w:r>
    </w:p>
    <w:p w14:paraId="6A13EC4A" w14:textId="77777777" w:rsidR="00B52020" w:rsidRPr="00B52020" w:rsidRDefault="00B52020" w:rsidP="00B52020">
      <w:pPr>
        <w:rPr>
          <w:b/>
          <w:bCs/>
        </w:rPr>
      </w:pPr>
      <w:r w:rsidRPr="00B52020">
        <w:rPr>
          <w:b/>
          <w:bCs/>
        </w:rPr>
        <w:t>Introdução</w:t>
      </w:r>
    </w:p>
    <w:p w14:paraId="195CBAD0" w14:textId="77777777" w:rsidR="00B52020" w:rsidRPr="00B52020" w:rsidRDefault="00B52020" w:rsidP="00B52020">
      <w:r w:rsidRPr="00B52020">
        <w:t>A sustentabilidade do setor de saúde suplementar no Brasil atravessa um momento crítico de tensão entre o direito à assistência e as opções econômicas das operadoras. No centro deste conflito reside a VCMH — Variação de Custos Médico-Hospitalares. Comumente rotulado como a "inflação médica", o VCMH, na realidade, distorce o conceito clássico de inflação. Enquanto o Índice de Preços ao Consumidor Amplo (IPCA), medido pelo IBGE, monitora a oscilação de preços de uma cesta de serviços, o VCMH monitora a variação do custo total médio por beneficiários. Essa sutil diferença terminológica esconde uma complexidade matemática onde o aumento do uso (frequência) e o aumento dos preços de insumos se fundem.</w:t>
      </w:r>
    </w:p>
    <w:p w14:paraId="15776E92" w14:textId="77777777" w:rsidR="00B52020" w:rsidRPr="00B52020" w:rsidRDefault="00B52020" w:rsidP="00B52020">
      <w:r w:rsidRPr="00B52020">
        <w:t xml:space="preserve">Para um escritório de perícia e para o Judiciário, o problema surge quando este índice é aplicado de forma genérica para justificar aumentos que dobram ou triplicam a inflação oficial. As operadoras argumentam que a incorporação de </w:t>
      </w:r>
      <w:r w:rsidRPr="00B52020">
        <w:lastRenderedPageBreak/>
        <w:t>novos procedimentos pelo papel da ANS e a transição demográfica elevam os custos de forma incontrolável. Contudo, do ponto de vista técnico-pericial, o que se observa é uma ausência de transparência nos dados brutos. Como as operadoras são, simultaneamente, as detentoras dos dados e as calculadoras do índice, criam-se uma assimetria informacional severa.</w:t>
      </w:r>
    </w:p>
    <w:p w14:paraId="21D98293" w14:textId="77777777" w:rsidR="00B52020" w:rsidRPr="00B52020" w:rsidRDefault="00B52020" w:rsidP="00B52020">
      <w:r w:rsidRPr="00B52020">
        <w:t>O VCMH acaba funcionando como um mecanismo de transferência de risco: se a operadora não faz uma gestão eficiente de sua rede credenciada ou se há desperdícios em internações, o custo sobe e o índice sobe, sendo repassado ao cliente no ano seguinte. Esta análise se propõe a invadir essa "caixa-preta", demonstrando que a variação de custos não é um fenômeno exógeno e significativo, mas sim uma variável que exige auditorias técnicas. É imperativo entender que o reajuste não deve ser uma cláusula de lucro garantido, mas uma ferramenta de manutenção do equilíbrio contratual, sujeita ao escrutínio da prova pericial e dos princípios da boa-fé objetiva.</w:t>
      </w:r>
    </w:p>
    <w:p w14:paraId="30730956" w14:textId="77777777" w:rsidR="00B52020" w:rsidRPr="00B52020" w:rsidRDefault="00B52020" w:rsidP="00B52020">
      <w:pPr>
        <w:rPr>
          <w:b/>
          <w:bCs/>
        </w:rPr>
      </w:pPr>
      <w:r w:rsidRPr="00B52020">
        <w:rPr>
          <w:b/>
          <w:bCs/>
        </w:rPr>
        <w:t>Fundamentação Legal</w:t>
      </w:r>
    </w:p>
    <w:p w14:paraId="4839EA1B" w14:textId="77777777" w:rsidR="00B52020" w:rsidRPr="00B52020" w:rsidRDefault="00B52020" w:rsidP="00B52020">
      <w:r w:rsidRPr="00B52020">
        <w:t xml:space="preserve">A contestação da VCMH e dos reajustes abusivos encontra sólido amparo no ordenamento jurídico brasileiro, especialmente no Código de Defesa do Consumidor (CDC) e no Código Civil (CC). O ponto de partida é o </w:t>
      </w:r>
      <w:r w:rsidRPr="00B52020">
        <w:rPr>
          <w:b/>
          <w:bCs/>
        </w:rPr>
        <w:t>Art. 51, IV, do CDC</w:t>
      </w:r>
      <w:r w:rsidRPr="00B52020">
        <w:t xml:space="preserve"> , que anula cláusulas que estabeleçam obrigações iníquas, abusivas, que coloquem o consumidor em desvantagem exagerada ou que sejam incompatíveis com a boa-fé ou com o patrimônio líquido. Reajustes baseados em índices unilaterais, onde o consumidor não possui meios de conferir a veracidade dos cálculos, ferem o direito à informação ( </w:t>
      </w:r>
      <w:r w:rsidRPr="00B52020">
        <w:rPr>
          <w:b/>
          <w:bCs/>
        </w:rPr>
        <w:t>Art. 6º, III, do CDC</w:t>
      </w:r>
      <w:r w:rsidRPr="00B52020">
        <w:t xml:space="preserve"> ).</w:t>
      </w:r>
    </w:p>
    <w:p w14:paraId="70D6DAAF" w14:textId="77777777" w:rsidR="00B52020" w:rsidRPr="00B52020" w:rsidRDefault="00B52020" w:rsidP="00B52020">
      <w:r w:rsidRPr="00B52020">
        <w:t xml:space="preserve">No âmbito do Superior Tribunal de Justiça (STJ), o </w:t>
      </w:r>
      <w:r w:rsidRPr="00B52020">
        <w:rPr>
          <w:b/>
          <w:bCs/>
        </w:rPr>
        <w:t>Tema Repetitivo 1032</w:t>
      </w:r>
      <w:r w:rsidRPr="00B52020">
        <w:t xml:space="preserve"> e a </w:t>
      </w:r>
      <w:r w:rsidRPr="00B52020">
        <w:rPr>
          <w:b/>
          <w:bCs/>
        </w:rPr>
        <w:t>Súmula 608</w:t>
      </w:r>
      <w:r w:rsidRPr="00B52020">
        <w:t xml:space="preserve"> consolidam a aplicação do CDC aos planos de saúde, exceto os administrados por entidades de autogestão. Mais especificamente sobre os contratos coletivos, onde a “caixa-preta” do VCMH é mais evidente, o STJ tem reiterado que, embora o reajuste seja pactuado livremente, ele não pode ser arbitrário. A ausência de demonstração analítica do aumento dos custos permite a intervenção judicial. Ó </w:t>
      </w:r>
      <w:r w:rsidRPr="00B52020">
        <w:rPr>
          <w:b/>
          <w:bCs/>
        </w:rPr>
        <w:t>Arte. 422 do Código Civil</w:t>
      </w:r>
      <w:r w:rsidRPr="00B52020">
        <w:t xml:space="preserve"> impõe aos contratantes o dever de observar os princípios de probidade e boa-fé, tanto na conclusão do contrato quanto em sua execução. Quando uma operadora aplica um VCMH de 20% enquanto o IPCA é de 5%, sem apresentar o detalhamento das contas que levaram a tal número, ela viola a boa fé objetivamente.</w:t>
      </w:r>
    </w:p>
    <w:p w14:paraId="7D905359" w14:textId="77777777" w:rsidR="00B52020" w:rsidRPr="00B52020" w:rsidRDefault="00B52020" w:rsidP="00B52020">
      <w:r w:rsidRPr="00B52020">
        <w:t xml:space="preserve">Além disso, o </w:t>
      </w:r>
      <w:r w:rsidRPr="00B52020">
        <w:rPr>
          <w:b/>
          <w:bCs/>
        </w:rPr>
        <w:t>Art. 373, II, do Código de Processo Civil (CPC)</w:t>
      </w:r>
      <w:r w:rsidRPr="00B52020">
        <w:t xml:space="preserve"> é fundamental na estratégia de contestação: cabe à operadora o ônus de provar a regularidade do cálculo do reajuste, uma vez que o beneficiário seja a parte hipossuficiente técnica. A perícia técnica atuancial surge, portanto, como o instrumento de concretização do </w:t>
      </w:r>
      <w:r w:rsidRPr="00B52020">
        <w:rPr>
          <w:b/>
          <w:bCs/>
        </w:rPr>
        <w:t>Art. 464 do CPC</w:t>
      </w:r>
      <w:r w:rsidRPr="00B52020">
        <w:t xml:space="preserve"> , permitindo ao magistrado compreender se os </w:t>
      </w:r>
      <w:r w:rsidRPr="00B52020">
        <w:lastRenderedPageBreak/>
        <w:t>custos apresentados são legítimos ou se incluem ineficiências operacionais que não deveriam ser repassadas. A revisão vem se inclinando a substituir o VCMH pelo IPCA em casos em que a "sinistralidade" ou a "variação de custos" não seja comprovada por auditorias externas independentes.</w:t>
      </w:r>
    </w:p>
    <w:p w14:paraId="24DA6D34" w14:textId="77777777" w:rsidR="00B52020" w:rsidRPr="00B52020" w:rsidRDefault="00B52020" w:rsidP="00B52020">
      <w:pPr>
        <w:rPr>
          <w:b/>
          <w:bCs/>
        </w:rPr>
      </w:pPr>
      <w:r w:rsidRPr="00B52020">
        <w:rPr>
          <w:b/>
          <w:bCs/>
        </w:rPr>
        <w:t>Demonstração Matemática e Lógica</w:t>
      </w:r>
    </w:p>
    <w:p w14:paraId="6A9C1EB5" w14:textId="77777777" w:rsidR="00B52020" w:rsidRPr="00B52020" w:rsidRDefault="00B52020" w:rsidP="00B52020">
      <w:r w:rsidRPr="00B52020">
        <w:t>Para compreender a "caixa-preta", precisamos decompor a fórmula do VCMH. Enquanto o IPCA considera apenas a variação de preço ($P$), o VCMH considera o Produto de Preço e Frequência ($P \times F$).</w:t>
      </w:r>
    </w:p>
    <w:p w14:paraId="0252F627" w14:textId="77777777" w:rsidR="00B52020" w:rsidRPr="00B52020" w:rsidRDefault="00B52020" w:rsidP="00B52020">
      <w:r w:rsidRPr="00B52020">
        <w:t>Equação Básica da Variação de Custo:</w:t>
      </w:r>
    </w:p>
    <w:p w14:paraId="43B9D4F7" w14:textId="77777777" w:rsidR="00B52020" w:rsidRPr="00B52020" w:rsidRDefault="00B52020" w:rsidP="00B52020"/>
    <w:p w14:paraId="4B2BD44F" w14:textId="77777777" w:rsidR="00B52020" w:rsidRPr="00B52020" w:rsidRDefault="00B52020" w:rsidP="00B52020">
      <w:r w:rsidRPr="00B52020">
        <w:t>$$VCMH = \frac{(Preço_{t1} \times Frequência_{t1})}{(Preço_{t0} \times Frequência_{t0})} - 1$$</w:t>
      </w:r>
    </w:p>
    <w:p w14:paraId="6B7CBD9A" w14:textId="77777777" w:rsidR="00B52020" w:rsidRPr="00B52020" w:rsidRDefault="00B52020" w:rsidP="00B52020">
      <w:r w:rsidRPr="00B52020">
        <w:t>Onde:</w:t>
      </w:r>
    </w:p>
    <w:p w14:paraId="2B82B428" w14:textId="77777777" w:rsidR="00B52020" w:rsidRPr="00B52020" w:rsidRDefault="00B52020" w:rsidP="00B52020">
      <w:pPr>
        <w:numPr>
          <w:ilvl w:val="0"/>
          <w:numId w:val="10"/>
        </w:numPr>
      </w:pPr>
      <w:r w:rsidRPr="00B52020">
        <w:t>$t0$: Período base</w:t>
      </w:r>
    </w:p>
    <w:p w14:paraId="50463C12" w14:textId="77777777" w:rsidR="00B52020" w:rsidRPr="00B52020" w:rsidRDefault="00B52020" w:rsidP="00B52020">
      <w:pPr>
        <w:numPr>
          <w:ilvl w:val="0"/>
          <w:numId w:val="10"/>
        </w:numPr>
      </w:pPr>
      <w:r w:rsidRPr="00B52020">
        <w:t>$t1$: Período atual</w:t>
      </w:r>
    </w:p>
    <w:p w14:paraId="317B5AB4" w14:textId="77777777" w:rsidR="00B52020" w:rsidRPr="00B52020" w:rsidRDefault="00B52020" w:rsidP="00B52020">
      <w:r w:rsidRPr="00B52020">
        <w:t>Exemplo de Auditoria de Fluxo:</w:t>
      </w:r>
    </w:p>
    <w:p w14:paraId="64536EE6" w14:textId="77777777" w:rsidR="00B52020" w:rsidRPr="00B52020" w:rsidRDefault="00B52020" w:rsidP="00B52020">
      <w:r w:rsidRPr="00B52020">
        <w:t>Imagine que em 2023, um grupo de beneficiários realizou 1.000 ressonâncias ao custo unitário de R$ 500,00 (Total: R$ 500.000,00). Em 2024, o preço unitário subiu para R$ 525,00 (inflação de 5%, em linha com o IPCA), mas o volume de exames subiu para 1.200 (aumento de 20% em frequência).</w:t>
      </w:r>
    </w:p>
    <w:p w14:paraId="6FD260A4" w14:textId="77777777" w:rsidR="00B52020" w:rsidRPr="00B52020" w:rsidRDefault="00B52020" w:rsidP="00B52020">
      <w:r w:rsidRPr="00B52020">
        <w:t xml:space="preserve">O custo total saltou para R$ 630.000,00. O reajuste pelo VCMH seria de </w:t>
      </w:r>
      <w:r w:rsidRPr="00B52020">
        <w:rPr>
          <w:b/>
          <w:bCs/>
        </w:rPr>
        <w:t>26%</w:t>
      </w:r>
      <w:r w:rsidRPr="00B52020">
        <w:t xml:space="preserve"> ($630k/500k$).</w:t>
      </w:r>
    </w:p>
    <w:p w14:paraId="74D273C7" w14:textId="77777777" w:rsidR="00B52020" w:rsidRPr="00B52020" w:rsidRDefault="00B52020" w:rsidP="00B52020">
      <w:r w:rsidRPr="00B52020">
        <w:t>A Lógica da Contestação Pericial:</w:t>
      </w:r>
    </w:p>
    <w:p w14:paraId="48B09167" w14:textId="77777777" w:rsidR="00B52020" w:rsidRPr="00B52020" w:rsidRDefault="00B52020" w:rsidP="00B52020">
      <w:r w:rsidRPr="00B52020">
        <w:t>A perícia atuarial deve questionar o aumento de 20% na frequência.</w:t>
      </w:r>
    </w:p>
    <w:p w14:paraId="38C6FCDA" w14:textId="77777777" w:rsidR="00B52020" w:rsidRPr="00B52020" w:rsidRDefault="00B52020" w:rsidP="00B52020">
      <w:pPr>
        <w:numPr>
          <w:ilvl w:val="0"/>
          <w:numId w:val="11"/>
        </w:numPr>
      </w:pPr>
      <w:r w:rsidRPr="00B52020">
        <w:rPr>
          <w:b/>
          <w:bCs/>
        </w:rPr>
        <w:t>Fator Epidemiológico:</w:t>
      </w:r>
      <w:r w:rsidRPr="00B52020">
        <w:t xml:space="preserve"> Houve um surto real que justifica o aumento?</w:t>
      </w:r>
    </w:p>
    <w:p w14:paraId="44DF0845" w14:textId="77777777" w:rsidR="00B52020" w:rsidRPr="00B52020" w:rsidRDefault="00B52020" w:rsidP="00B52020">
      <w:pPr>
        <w:numPr>
          <w:ilvl w:val="0"/>
          <w:numId w:val="11"/>
        </w:numPr>
      </w:pPr>
      <w:r w:rsidRPr="00B52020">
        <w:rPr>
          <w:b/>
          <w:bCs/>
        </w:rPr>
        <w:t>Fator de Gestão:</w:t>
      </w:r>
      <w:r w:rsidRPr="00B52020">
        <w:t xml:space="preserve"> O aumento foi causado por fraudes, exames desnecessários ou falta de protocolos de regulação da operadora?</w:t>
      </w:r>
    </w:p>
    <w:p w14:paraId="3B4D0713" w14:textId="77777777" w:rsidR="00B52020" w:rsidRPr="00B52020" w:rsidRDefault="00B52020" w:rsidP="00B52020">
      <w:pPr>
        <w:numPr>
          <w:ilvl w:val="0"/>
          <w:numId w:val="11"/>
        </w:numPr>
      </w:pPr>
      <w:r w:rsidRPr="00B52020">
        <w:rPr>
          <w:b/>
          <w:bCs/>
        </w:rPr>
        <w:t>Fator de Rede:</w:t>
      </w:r>
      <w:r w:rsidRPr="00B52020">
        <w:t xml:space="preserve"> A operadora descredenciou clínicas baratas e forçou o uso de hospitais “Premium”, elevando o custo médio propositalmente?</w:t>
      </w:r>
    </w:p>
    <w:p w14:paraId="15152CBC" w14:textId="77777777" w:rsidR="00B52020" w:rsidRPr="00B52020" w:rsidRDefault="00B52020" w:rsidP="00B52020">
      <w:r w:rsidRPr="00B52020">
        <w:t xml:space="preserve">Se a perícia demonstra que o aumento de frequência é devido pela má gestão da operadora, o repasse de 26% é tecnicamente abusivo. A lógica pericial busca isolar a </w:t>
      </w:r>
      <w:r w:rsidRPr="00B52020">
        <w:rPr>
          <w:b/>
          <w:bCs/>
        </w:rPr>
        <w:t>Variação de Preço (Inflação Real)</w:t>
      </w:r>
      <w:r w:rsidRPr="00B52020">
        <w:t xml:space="preserve"> da </w:t>
      </w:r>
      <w:r w:rsidRPr="00B52020">
        <w:rPr>
          <w:b/>
          <w:bCs/>
        </w:rPr>
        <w:t>Variação de Utilização (Risco do Negócio)</w:t>
      </w:r>
      <w:r w:rsidRPr="00B52020">
        <w:t xml:space="preserve"> . O risco do negócio, segundo a teoria do risco-proveito, deve ser </w:t>
      </w:r>
      <w:r w:rsidRPr="00B52020">
        <w:lastRenderedPageBreak/>
        <w:t>apoiado por quem explora a atividade econômica (a operadora), e não transferido integralmente ao consumidor como se fosse uma inflação comum.</w:t>
      </w:r>
    </w:p>
    <w:p w14:paraId="6861F10D" w14:textId="77777777" w:rsidR="00B52020" w:rsidRPr="00B52020" w:rsidRDefault="00B52020" w:rsidP="00B52020">
      <w:pPr>
        <w:rPr>
          <w:b/>
          <w:bCs/>
        </w:rPr>
      </w:pPr>
      <w:r w:rsidRPr="00B52020">
        <w:rPr>
          <w:b/>
          <w:bCs/>
        </w:rPr>
        <w:t>A Visão do Perito</w:t>
      </w:r>
    </w:p>
    <w:p w14:paraId="106967E0" w14:textId="77777777" w:rsidR="00B52020" w:rsidRPr="00B52020" w:rsidRDefault="00B52020" w:rsidP="00B52020">
      <w:r w:rsidRPr="00B52020">
        <w:t>A perícia técnica é o único mecanismo capaz de romper a opacidade do VCMH. Como perito, o trabalho consiste em realizar uma auditoria de base de dados para verificar se o “custo” reportado pela operadora condiz com a realidade contábil e assistencial. Muitas vezes, o índice é inflado por "glosas" não recuperadas ou por provisões técnicas mal calculadas. A perícia resolve o problema específico da abusividade ao traduzir dados complexos de sinistralidade em evidências de desequilíbrio contratual. Ao confrontar as contas médicas apresentadas com os padrões de mercado (como a tabela CBHPM ou o índice IVR-ANS), o perito consegue demonstrar ao magistrado que o VCMH aplicado não reflete a realidade do grupo específico, mas sim uma tentativa de recomposição de margem de lucro. Em suma, a perícia transforma o subjetivismo do reajuste em um dado objetivo e auditável, permitindo que a justiça seja feita com base em números reais, e não em estimativas unilaterais.</w:t>
      </w:r>
    </w:p>
    <w:p w14:paraId="36C2C249" w14:textId="77777777" w:rsidR="00B52020" w:rsidRPr="00B52020" w:rsidRDefault="00B52020" w:rsidP="00B52020">
      <w:pPr>
        <w:rPr>
          <w:b/>
          <w:bCs/>
        </w:rPr>
      </w:pPr>
      <w:r w:rsidRPr="00B52020">
        <w:rPr>
          <w:b/>
          <w:bCs/>
        </w:rPr>
        <w:t>Conclusão</w:t>
      </w:r>
    </w:p>
    <w:p w14:paraId="68A4300D" w14:textId="77777777" w:rsidR="00B52020" w:rsidRPr="00B52020" w:rsidRDefault="00B52020" w:rsidP="00B52020">
      <w:r w:rsidRPr="00B52020">
        <w:t xml:space="preserve">O VCMH, embora apresentado pelas operadoras de saúde como um índice técnico e progressivo, revela-se sob análise profunda como um instrumento de assimetria que prejudica a estabilidade dos contratos de saúde suplementar. A distinção entre inflação de preços e variação de custos é o ponto nevrálgico para qualquer contestação judicial: enquanto a primeira é uma manifestação macroeconômica, a segunda está intrinsecamente ligada à eficiência da gestão da operadora. Não se pode admitir que o beneficiário seja penalizado pela incapacidade das empresas em controlar os seus próprios custos ou por modelos de pagamentos (como o </w:t>
      </w:r>
      <w:r w:rsidRPr="00B52020">
        <w:rPr>
          <w:i/>
          <w:iCs/>
        </w:rPr>
        <w:t>fee-for-service</w:t>
      </w:r>
      <w:r w:rsidRPr="00B52020">
        <w:t xml:space="preserve"> ) que incentivam o desperdício.</w:t>
      </w:r>
    </w:p>
    <w:p w14:paraId="7DD45223" w14:textId="77777777" w:rsidR="00B52020" w:rsidRPr="00B52020" w:rsidRDefault="00B52020" w:rsidP="00B52020">
      <w:r w:rsidRPr="00B52020">
        <w:t>A fundamentação legal apresentada, baseada no CDC e no CPC, oferece o caminho para que o Poder Judiciário exija a exibição de documentos e a transparência total sobre a formação desses índices. A aplicação automática de reajustes que ignoram o IPCA e se baseiam na "caixa-preta" do VCMH sem prova pericial constitui um enriquecimento sem causa por parte das operadoras e uma ameaça à manutenção da saúde de milhares de brasileiros.</w:t>
      </w:r>
    </w:p>
    <w:p w14:paraId="55600CBD" w14:textId="77777777" w:rsidR="00B52020" w:rsidRPr="00B52020" w:rsidRDefault="00B52020" w:rsidP="00B52020">
      <w:r w:rsidRPr="00B52020">
        <w:t xml:space="preserve">Concluindo, a substituição do VCMH por índices de inflação oficiais ou a sua limitação mediante técnica rigorosa é o caminho para o equilíbrio. O enfrentamento de reajustes abusivos exige mais do que argumentos genéricos; exige uma análise matemática robusta e uma visão pericial que exponha as vísceras dos cálculos atuariais. Somente as auditorias técnicas e a aplicação </w:t>
      </w:r>
      <w:r w:rsidRPr="00B52020">
        <w:lastRenderedPageBreak/>
        <w:t>rigorosa da lei possível garantirão que os planos de saúde cumpram sua função social sem exaurir financeiramente aqueles que deles dependem.</w:t>
      </w:r>
    </w:p>
    <w:p w14:paraId="7F876A19" w14:textId="77777777" w:rsidR="00B52020" w:rsidRDefault="00B52020"/>
    <w:sectPr w:rsidR="00B52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716"/>
    <w:multiLevelType w:val="multilevel"/>
    <w:tmpl w:val="1320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E3040"/>
    <w:multiLevelType w:val="multilevel"/>
    <w:tmpl w:val="8EB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087D"/>
    <w:multiLevelType w:val="multilevel"/>
    <w:tmpl w:val="BDBE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52CFF"/>
    <w:multiLevelType w:val="multilevel"/>
    <w:tmpl w:val="DD06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82CE0"/>
    <w:multiLevelType w:val="multilevel"/>
    <w:tmpl w:val="932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53075"/>
    <w:multiLevelType w:val="multilevel"/>
    <w:tmpl w:val="864A4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F2159"/>
    <w:multiLevelType w:val="multilevel"/>
    <w:tmpl w:val="2124B4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1357C6"/>
    <w:multiLevelType w:val="multilevel"/>
    <w:tmpl w:val="069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5207E"/>
    <w:multiLevelType w:val="multilevel"/>
    <w:tmpl w:val="6EB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B66D0"/>
    <w:multiLevelType w:val="multilevel"/>
    <w:tmpl w:val="0620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3527B"/>
    <w:multiLevelType w:val="multilevel"/>
    <w:tmpl w:val="1ECA7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821182">
    <w:abstractNumId w:val="3"/>
  </w:num>
  <w:num w:numId="2" w16cid:durableId="360857726">
    <w:abstractNumId w:val="4"/>
  </w:num>
  <w:num w:numId="3" w16cid:durableId="4984128">
    <w:abstractNumId w:val="7"/>
  </w:num>
  <w:num w:numId="4" w16cid:durableId="388460067">
    <w:abstractNumId w:val="1"/>
  </w:num>
  <w:num w:numId="5" w16cid:durableId="1787505895">
    <w:abstractNumId w:val="0"/>
  </w:num>
  <w:num w:numId="6" w16cid:durableId="1471631971">
    <w:abstractNumId w:val="2"/>
  </w:num>
  <w:num w:numId="7" w16cid:durableId="1577783655">
    <w:abstractNumId w:val="10"/>
  </w:num>
  <w:num w:numId="8" w16cid:durableId="389305451">
    <w:abstractNumId w:val="5"/>
  </w:num>
  <w:num w:numId="9" w16cid:durableId="1990092435">
    <w:abstractNumId w:val="6"/>
  </w:num>
  <w:num w:numId="10" w16cid:durableId="723025804">
    <w:abstractNumId w:val="8"/>
  </w:num>
  <w:num w:numId="11" w16cid:durableId="978460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65"/>
    <w:rsid w:val="000307D4"/>
    <w:rsid w:val="00124966"/>
    <w:rsid w:val="001A0E4C"/>
    <w:rsid w:val="00AF377B"/>
    <w:rsid w:val="00B52020"/>
    <w:rsid w:val="00FD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CD29"/>
  <w15:chartTrackingRefBased/>
  <w15:docId w15:val="{EA47DBE7-1A6C-4166-937B-9F3ACB33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0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0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D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0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0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0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0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0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0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0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0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0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0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06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307D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07D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520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www.gov.br%2Fans%2Fpt-br%2Fassuntos%2Fconsumidor%2Freajustes%22" TargetMode="External"/><Relationship Id="rId13" Type="http://schemas.openxmlformats.org/officeDocument/2006/relationships/hyperlink" Target="https://cnsaude.org.br/" TargetMode="External"/><Relationship Id="rId18" Type="http://schemas.openxmlformats.org/officeDocument/2006/relationships/hyperlink" Target="https://www.stj.jus.br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ideasaude.com.br/" TargetMode="External"/><Relationship Id="rId7" Type="http://schemas.openxmlformats.org/officeDocument/2006/relationships/hyperlink" Target="https://media.jurishealth.com.br/_original/iess-variacao-dos-custos-medico-hospitalares-vcmh-5ndZ2Xp8.pdf" TargetMode="External"/><Relationship Id="rId12" Type="http://schemas.openxmlformats.org/officeDocument/2006/relationships/hyperlink" Target="https://www.bing.com/search?q=%22https%3A%2F%2Fwww.ibge.gov.br%2Festatisticas%2Feconomicas%2Fprecos-e-custos%2F9256-ipca.html%22" TargetMode="External"/><Relationship Id="rId17" Type="http://schemas.openxmlformats.org/officeDocument/2006/relationships/hyperlink" Target="https://www.bing.com/search?q=%22https%3A%2F%2Fportal.tcu.gov.br%2F%2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ing.com/search?q=%22https%3A%2F%2Fwww12.senado.leg.br%2F%22" TargetMode="External"/><Relationship Id="rId20" Type="http://schemas.openxmlformats.org/officeDocument/2006/relationships/hyperlink" Target="https://www.bing.com/search?q=%22https%3A%2F%2Fwww.procon.sp.gov.br%2F%2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irect.com.br/post/vcmh-2025-variacao-custo-medico-hospitalar-planos-de-saude" TargetMode="External"/><Relationship Id="rId11" Type="http://schemas.openxmlformats.org/officeDocument/2006/relationships/hyperlink" Target="https://iess.org.br/biblioteca" TargetMode="External"/><Relationship Id="rId24" Type="http://schemas.openxmlformats.org/officeDocument/2006/relationships/hyperlink" Target="https://www2.deloitte.com/br/pt.html" TargetMode="External"/><Relationship Id="rId5" Type="http://schemas.openxmlformats.org/officeDocument/2006/relationships/hyperlink" Target="https://iess.org.br/vcmhiess" TargetMode="External"/><Relationship Id="rId15" Type="http://schemas.openxmlformats.org/officeDocument/2006/relationships/hyperlink" Target="https://www.camara.leg.br/" TargetMode="External"/><Relationship Id="rId23" Type="http://schemas.openxmlformats.org/officeDocument/2006/relationships/hyperlink" Target="https://www.pwc.com.br/" TargetMode="External"/><Relationship Id="rId10" Type="http://schemas.openxmlformats.org/officeDocument/2006/relationships/hyperlink" Target="https://www.fenasaude.org.br/" TargetMode="External"/><Relationship Id="rId19" Type="http://schemas.openxmlformats.org/officeDocument/2006/relationships/hyperlink" Target="https://www.cnj.jus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search?q=%22https%3A%2F%2Fwww.gov.br%2Fans%2Fpt-br%2Fassuntos%2Fplanos-de-saude%2Fnotas-tecnicas%22" TargetMode="External"/><Relationship Id="rId14" Type="http://schemas.openxmlformats.org/officeDocument/2006/relationships/hyperlink" Target="https://cnsaude.org.br/estudos" TargetMode="External"/><Relationship Id="rId22" Type="http://schemas.openxmlformats.org/officeDocument/2006/relationships/hyperlink" Target="https://www.bing.com/search?q=%22https%3A%2F%2Fkpmg.com%2Fbr%2Fpt%2Fhome.html%2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2863</Words>
  <Characters>14836</Characters>
  <Application>Microsoft Office Word</Application>
  <DocSecurity>0</DocSecurity>
  <Lines>412</Lines>
  <Paragraphs>321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4</cp:revision>
  <dcterms:created xsi:type="dcterms:W3CDTF">2026-01-14T15:52:00Z</dcterms:created>
  <dcterms:modified xsi:type="dcterms:W3CDTF">2026-01-14T17:19:00Z</dcterms:modified>
</cp:coreProperties>
</file>