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2034C" w14:textId="77777777" w:rsidR="001772D0" w:rsidRPr="001772D0" w:rsidRDefault="001772D0" w:rsidP="001772D0">
      <w:pPr>
        <w:rPr>
          <w:b/>
          <w:bCs/>
        </w:rPr>
      </w:pPr>
      <w:r w:rsidRPr="001772D0">
        <w:rPr>
          <w:b/>
          <w:bCs/>
        </w:rPr>
        <w:t>A Armadilha da Carência: Como Dias Adicionais Distorcem o Custo Efetivo Total</w:t>
      </w:r>
    </w:p>
    <w:p w14:paraId="61757604" w14:textId="77777777" w:rsidR="001772D0" w:rsidRPr="001772D0" w:rsidRDefault="001772D0" w:rsidP="001772D0">
      <w:r w:rsidRPr="001772D0">
        <w:t>O intervalo temporal entre a assinatura de uma Cédula de Crédito Bancário (CCB) e o efetivo pagamento da primeira prestação, comumente denominado "prazo de carência", é frequentemente comercializado pelas instituições financeiras como uma benesse ou um fôlego financeiro para o tomador do crédito. Todavia, sob a ótica da perícia financeira e estatística, esse hiato cronológico revela-se como uma das ferramentas mais eficazes para a elevação artificial e opaca do saldo devedor. No cenário atual, onde grandes bancos de varejo e instituições de médio porte competem agressivamente por fatias de mercado, a manipulação dos dias adicionais de carência tornou-se uma prática sistêmica que distorce o Custo Efetivo Total (CET) e retira do contrato a transparência exigida pelo ordenamento jurídico pátrio. O presente artigo disseca os mecanismos técnicos por trás dessa armadilha, demonstrando como a ineficiência — proposital ou sistêmica — na gestão das datas de vencimento compromete a integridade matemática das operações de crédito.</w:t>
      </w:r>
    </w:p>
    <w:p w14:paraId="723D5795" w14:textId="77777777" w:rsidR="001772D0" w:rsidRPr="001772D0" w:rsidRDefault="001772D0" w:rsidP="001772D0">
      <w:pPr>
        <w:rPr>
          <w:b/>
          <w:bCs/>
        </w:rPr>
      </w:pPr>
      <w:r w:rsidRPr="001772D0">
        <w:rPr>
          <w:b/>
          <w:bCs/>
        </w:rPr>
        <w:t>A Engenharia do Silêncio: O Intervalo entre a Assinatura e o Vencimento</w:t>
      </w:r>
    </w:p>
    <w:p w14:paraId="3655F10E" w14:textId="77777777" w:rsidR="001772D0" w:rsidRPr="001772D0" w:rsidRDefault="001772D0" w:rsidP="001772D0">
      <w:r w:rsidRPr="001772D0">
        <w:t>A gênese da distorção financeira reside no período em que o capital já foi disponibilizado ao consumidor, mas a fase de amortização ainda não se iniciou. Matematicamente, o dinheiro possui um valor no tempo, e as instituições financeiras, sediadas em grandes centros de decisão, programam seus algoritmos para garantir que nem um único dia de exposição ao risco fique sem a respectiva remuneração. O problema jurídico e pericial surge quando este período de carência não é explicitamente detalhado no quadro resumo do contrato ou quando o cálculo dos juros remuneratórios desse intervalo é incorporado ao saldo devedor de forma capitalizada sem o conhecimento do devedor.</w:t>
      </w:r>
    </w:p>
    <w:p w14:paraId="1A0D7EBB" w14:textId="77777777" w:rsidR="001772D0" w:rsidRPr="001772D0" w:rsidRDefault="001772D0" w:rsidP="001772D0">
      <w:r w:rsidRPr="001772D0">
        <w:t>Diferente do que o senso comum sugere, a carência não interrompe a fluência dos juros; ela apenas posterga o pagamento do principal. Entretanto, na maioria das CCBs analisadas, observa-se que as instituições utilizam uma data de vencimento da primeira parcela que excede o padrão de 30 dias após a liberação. Esse "prazo elástico" — por vezes chegando a 45 ou 60 dias — é o vetor de uma capitalização de juros antecipada. Se o contrato não prevê de forma clara como esses dias adicionais serão remunerados, a instituição acaba por praticar o anatocismo na origem, pois os juros desses dias extras são somados ao capital para, somente então, calcular-se o valor das prestações pela Tabela Price.</w:t>
      </w:r>
    </w:p>
    <w:p w14:paraId="12C37AD7" w14:textId="77777777" w:rsidR="001772D0" w:rsidRPr="001772D0" w:rsidRDefault="001772D0" w:rsidP="001772D0">
      <w:pPr>
        <w:rPr>
          <w:b/>
          <w:bCs/>
        </w:rPr>
      </w:pPr>
      <w:r w:rsidRPr="001772D0">
        <w:rPr>
          <w:b/>
          <w:bCs/>
        </w:rPr>
        <w:t>A Tabela Price e o Desvio de Trajetória</w:t>
      </w:r>
    </w:p>
    <w:p w14:paraId="704C58B4" w14:textId="6351D017" w:rsidR="001772D0" w:rsidRPr="001772D0" w:rsidRDefault="001772D0" w:rsidP="001772D0">
      <w:r w:rsidRPr="001772D0">
        <w:t>O sistema de amortização francês, ou Tabela Price, pressupõe uma regularidade de intervalos e uma base de cálculo estática no momento inicial (</w:t>
      </w:r>
      <w:r w:rsidR="009B00D1">
        <w:t>PV</w:t>
      </w:r>
      <w:r w:rsidRPr="001772D0">
        <w:t>). Quando a instituição financeira introduz dias adicionais de carência mal calculados, ela altera o valor de PV para um novo patamar, o qual denominamos na perícia como "Saldo Devedor Contaminado". A fórmula padrão de juros compostos aplicada nesse intervalo é:</w:t>
      </w:r>
    </w:p>
    <w:p w14:paraId="2B735EAA" w14:textId="77777777" w:rsidR="009B00D1" w:rsidRDefault="009B00D1" w:rsidP="001772D0">
      <w:r w:rsidRPr="009B00D1">
        <w:drawing>
          <wp:inline distT="0" distB="0" distL="0" distR="0" wp14:anchorId="16FB224A" wp14:editId="285F0DAF">
            <wp:extent cx="1348857" cy="198137"/>
            <wp:effectExtent l="0" t="0" r="3810" b="0"/>
            <wp:docPr id="13000186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18647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4A449" w14:textId="77794EF9" w:rsidR="001772D0" w:rsidRPr="001772D0" w:rsidRDefault="001772D0" w:rsidP="001772D0">
      <w:r w:rsidRPr="001772D0">
        <w:t xml:space="preserve">Onde </w:t>
      </w:r>
      <w:r w:rsidRPr="001772D0">
        <w:rPr>
          <w:b/>
          <w:bCs/>
        </w:rPr>
        <w:t>n</w:t>
      </w:r>
      <w:r w:rsidRPr="001772D0">
        <w:t xml:space="preserve"> representa a fração de meses ou o número de dias excedentes. O impacto dessa "pequena" correção inicial é devastador ao longo de 48 ou 60 meses. Ao iniciar a série de pagamentos com um saldo devedor inflado por juros de carência não pactuados de forma transparente, toda a trajetória de amortização é deslocada para cima. O consumidor passa a pagar juros sobre os juros que foram gerados antes mesmo da primeira fatura chegar às suas mãos. Em termos periciais, isso configura </w:t>
      </w:r>
      <w:r w:rsidRPr="001772D0">
        <w:lastRenderedPageBreak/>
        <w:t>uma alteração no Custo Efetivo Total (CET) informado na assinatura, tornando-o uma peça de ficção contábil, uma vez que o custo real da operação é majorado pelo banco no processamento sistêmico do fluxo de caixa.</w:t>
      </w:r>
    </w:p>
    <w:p w14:paraId="7F7F40E8" w14:textId="77777777" w:rsidR="001772D0" w:rsidRPr="001772D0" w:rsidRDefault="001772D0" w:rsidP="001772D0">
      <w:pPr>
        <w:rPr>
          <w:b/>
          <w:bCs/>
        </w:rPr>
      </w:pPr>
      <w:r w:rsidRPr="001772D0">
        <w:rPr>
          <w:b/>
          <w:bCs/>
        </w:rPr>
        <w:t>Resultados Periciais: O Relato do Excesso Invisível</w:t>
      </w:r>
    </w:p>
    <w:p w14:paraId="4FEA13EB" w14:textId="77777777" w:rsidR="001772D0" w:rsidRPr="001772D0" w:rsidRDefault="001772D0" w:rsidP="001772D0">
      <w:r w:rsidRPr="001772D0">
        <w:t xml:space="preserve">A investigação pericial sobre contratos de instituições financeiras de médio porte, muitas vezes operando com sistemas de TI menos flexíveis ou configurados para maximizar o </w:t>
      </w:r>
      <w:r w:rsidRPr="001772D0">
        <w:rPr>
          <w:i/>
          <w:iCs/>
        </w:rPr>
        <w:t>spread</w:t>
      </w:r>
      <w:r w:rsidRPr="001772D0">
        <w:t xml:space="preserve"> diário, revela resultados numéricos contundentes. No caso estudado, a instituição financeira utilizou um intervalo de carência que não guardava relação com a taxa mensal informada no contrato, gerando um resíduo financeiro que se propagou por todas as parcelas subsequentes.</w:t>
      </w:r>
    </w:p>
    <w:p w14:paraId="620B0027" w14:textId="77777777" w:rsidR="001772D0" w:rsidRPr="001772D0" w:rsidRDefault="001772D0" w:rsidP="001772D0">
      <w:r w:rsidRPr="001772D0">
        <w:t>A tabela abaixo demonstra a evolução do saldo devedor e a diferença entre o cenário pactuado (transparente) e o cenário executado (com carência opaca):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5"/>
        <w:gridCol w:w="2569"/>
        <w:gridCol w:w="2913"/>
        <w:gridCol w:w="2163"/>
      </w:tblGrid>
      <w:tr w:rsidR="001772D0" w:rsidRPr="001772D0" w14:paraId="14D71B1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11B394" w14:textId="77777777" w:rsidR="001772D0" w:rsidRPr="001772D0" w:rsidRDefault="001772D0" w:rsidP="001772D0">
            <w:r w:rsidRPr="001772D0">
              <w:rPr>
                <w:b/>
                <w:bCs/>
              </w:rPr>
              <w:t>Evento Cronológico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325AF" w14:textId="77777777" w:rsidR="001772D0" w:rsidRPr="001772D0" w:rsidRDefault="001772D0" w:rsidP="001772D0">
            <w:r w:rsidRPr="001772D0">
              <w:rPr>
                <w:b/>
                <w:bCs/>
              </w:rPr>
              <w:t>Cenário Contratual (Pactuado)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97A26" w14:textId="77777777" w:rsidR="001772D0" w:rsidRPr="001772D0" w:rsidRDefault="001772D0" w:rsidP="001772D0">
            <w:r w:rsidRPr="001772D0">
              <w:rPr>
                <w:b/>
                <w:bCs/>
              </w:rPr>
              <w:t>Cenário Real (Executado pelo Banco)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FD9E7" w14:textId="77777777" w:rsidR="001772D0" w:rsidRPr="001772D0" w:rsidRDefault="001772D0" w:rsidP="001772D0">
            <w:r w:rsidRPr="001772D0">
              <w:rPr>
                <w:b/>
                <w:bCs/>
              </w:rPr>
              <w:t>Divergência Apurada</w:t>
            </w:r>
          </w:p>
        </w:tc>
      </w:tr>
      <w:tr w:rsidR="001772D0" w:rsidRPr="001772D0" w14:paraId="321135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B5E5" w14:textId="77777777" w:rsidR="001772D0" w:rsidRPr="001772D0" w:rsidRDefault="001772D0" w:rsidP="001772D0">
            <w:r w:rsidRPr="001772D0">
              <w:rPr>
                <w:b/>
                <w:bCs/>
              </w:rPr>
              <w:t>Data de Assinatura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ECCDB0" w14:textId="77777777" w:rsidR="001772D0" w:rsidRPr="001772D0" w:rsidRDefault="001772D0" w:rsidP="001772D0">
            <w:r w:rsidRPr="001772D0">
              <w:t>R$ 32.500,00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9B94F5" w14:textId="77777777" w:rsidR="001772D0" w:rsidRPr="001772D0" w:rsidRDefault="001772D0" w:rsidP="001772D0">
            <w:r w:rsidRPr="001772D0">
              <w:t>R$ 32.500,00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E4170" w14:textId="77777777" w:rsidR="001772D0" w:rsidRPr="001772D0" w:rsidRDefault="001772D0" w:rsidP="001772D0">
            <w:r w:rsidRPr="001772D0">
              <w:t>R$ 0,00</w:t>
            </w:r>
          </w:p>
        </w:tc>
      </w:tr>
      <w:tr w:rsidR="001772D0" w:rsidRPr="001772D0" w14:paraId="020269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80C9" w14:textId="77777777" w:rsidR="001772D0" w:rsidRPr="001772D0" w:rsidRDefault="001772D0" w:rsidP="001772D0">
            <w:r w:rsidRPr="001772D0">
              <w:rPr>
                <w:b/>
                <w:bCs/>
              </w:rPr>
              <w:t>Juros de Carência (15 dias extras)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07F4E" w14:textId="77777777" w:rsidR="001772D0" w:rsidRPr="001772D0" w:rsidRDefault="001772D0" w:rsidP="001772D0">
            <w:r w:rsidRPr="001772D0">
              <w:t>R$ 0,00 (Não previsto)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109679" w14:textId="77777777" w:rsidR="001772D0" w:rsidRPr="001772D0" w:rsidRDefault="001772D0" w:rsidP="001772D0">
            <w:r w:rsidRPr="001772D0">
              <w:t>R$ 310,45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97034" w14:textId="77777777" w:rsidR="001772D0" w:rsidRPr="001772D0" w:rsidRDefault="001772D0" w:rsidP="001772D0">
            <w:r w:rsidRPr="001772D0">
              <w:t>+ R$ 310,45</w:t>
            </w:r>
          </w:p>
        </w:tc>
      </w:tr>
      <w:tr w:rsidR="001772D0" w:rsidRPr="001772D0" w14:paraId="062855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FD80B" w14:textId="77777777" w:rsidR="001772D0" w:rsidRPr="001772D0" w:rsidRDefault="001772D0" w:rsidP="001772D0">
            <w:r w:rsidRPr="001772D0">
              <w:rPr>
                <w:b/>
                <w:bCs/>
              </w:rPr>
              <w:t>Saldo Devedor na 1ª Parcela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5FE2A1" w14:textId="77777777" w:rsidR="001772D0" w:rsidRPr="001772D0" w:rsidRDefault="001772D0" w:rsidP="001772D0">
            <w:r w:rsidRPr="001772D0">
              <w:t>R$ 32.500,00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63A04" w14:textId="77777777" w:rsidR="001772D0" w:rsidRPr="001772D0" w:rsidRDefault="001772D0" w:rsidP="001772D0">
            <w:r w:rsidRPr="001772D0">
              <w:t>R$ 32.810,45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C8B49" w14:textId="77777777" w:rsidR="001772D0" w:rsidRPr="001772D0" w:rsidRDefault="001772D0" w:rsidP="001772D0">
            <w:r w:rsidRPr="001772D0">
              <w:t>+ R$ 310,45</w:t>
            </w:r>
          </w:p>
        </w:tc>
      </w:tr>
      <w:tr w:rsidR="001772D0" w:rsidRPr="001772D0" w14:paraId="782C08E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7AB03" w14:textId="77777777" w:rsidR="001772D0" w:rsidRPr="001772D0" w:rsidRDefault="001772D0" w:rsidP="001772D0">
            <w:r w:rsidRPr="001772D0">
              <w:rPr>
                <w:b/>
                <w:bCs/>
              </w:rPr>
              <w:t>Parcela Calculada (Price)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87E4A" w14:textId="77777777" w:rsidR="001772D0" w:rsidRPr="001772D0" w:rsidRDefault="001772D0" w:rsidP="001772D0">
            <w:r w:rsidRPr="001772D0">
              <w:t>R$ 1.129,88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19B73" w14:textId="77777777" w:rsidR="001772D0" w:rsidRPr="001772D0" w:rsidRDefault="001772D0" w:rsidP="001772D0">
            <w:r w:rsidRPr="001772D0">
              <w:t>R$ 1.250,64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557F5" w14:textId="77777777" w:rsidR="001772D0" w:rsidRPr="001772D0" w:rsidRDefault="001772D0" w:rsidP="001772D0">
            <w:r w:rsidRPr="001772D0">
              <w:t>+ R$ 120,76</w:t>
            </w:r>
          </w:p>
        </w:tc>
      </w:tr>
      <w:tr w:rsidR="001772D0" w:rsidRPr="001772D0" w14:paraId="69232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F4B68" w14:textId="77777777" w:rsidR="001772D0" w:rsidRPr="001772D0" w:rsidRDefault="001772D0" w:rsidP="001772D0">
            <w:r w:rsidRPr="001772D0">
              <w:rPr>
                <w:b/>
                <w:bCs/>
              </w:rPr>
              <w:t>Custo Final Acumulado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CB06A" w14:textId="77777777" w:rsidR="001772D0" w:rsidRPr="001772D0" w:rsidRDefault="001772D0" w:rsidP="001772D0">
            <w:r w:rsidRPr="001772D0">
              <w:t>R$ 54.234,24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8D854" w14:textId="77777777" w:rsidR="001772D0" w:rsidRPr="001772D0" w:rsidRDefault="001772D0" w:rsidP="001772D0">
            <w:r w:rsidRPr="001772D0">
              <w:t>R$ 60.030,72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FF83E" w14:textId="77777777" w:rsidR="001772D0" w:rsidRPr="001772D0" w:rsidRDefault="001772D0" w:rsidP="001772D0">
            <w:r w:rsidRPr="001772D0">
              <w:rPr>
                <w:b/>
                <w:bCs/>
              </w:rPr>
              <w:t>R$ 5.796,48</w:t>
            </w:r>
          </w:p>
        </w:tc>
      </w:tr>
    </w:tbl>
    <w:p w14:paraId="03C4BC05" w14:textId="77777777" w:rsidR="001772D0" w:rsidRPr="001772D0" w:rsidRDefault="001772D0" w:rsidP="001772D0">
      <w:r w:rsidRPr="001772D0">
        <w:t>A análise do gráfico de divergência permite constatar que o erro de carência atua como um "pedágio inicial". O valor da parcela salta de R$ 1.129,88 para R$ 1.250,64 não apenas por um erro de cálculo direto na prestação, mas porque a base de cálculo foi corrompida no período de carência. A instituição financeira aproveita a vulnerabilidade técnica do consumidor para inserir datas de vencimento que favorecem o acúmulo de juros diários, muitas vezes ignorando feriados ou utilizando a convenção de dias corridos em detrimento do mês comercial de 30 dias quando isso lhe é mais lucrativo.</w:t>
      </w:r>
    </w:p>
    <w:p w14:paraId="2D6DB242" w14:textId="77777777" w:rsidR="001772D0" w:rsidRPr="001772D0" w:rsidRDefault="001772D0" w:rsidP="001772D0">
      <w:pPr>
        <w:rPr>
          <w:b/>
          <w:bCs/>
        </w:rPr>
      </w:pPr>
      <w:r w:rsidRPr="001772D0">
        <w:rPr>
          <w:b/>
          <w:bCs/>
        </w:rPr>
        <w:t>Fundamentação Jurídica: O Anatocismo na Origem e a Falta de Transparência</w:t>
      </w:r>
    </w:p>
    <w:p w14:paraId="645C486B" w14:textId="77777777" w:rsidR="001772D0" w:rsidRPr="001772D0" w:rsidRDefault="001772D0" w:rsidP="001772D0">
      <w:r w:rsidRPr="001772D0">
        <w:t xml:space="preserve">A prática de capitalizar juros durante a carência sem previsão contratual clara e destacada afronta o Código de Defesa do Consumidor (CDC) em seus pilares mais básicos: o direito à informação adequada e a proteção contra cláusulas abusivas (Art. 6º, III e Art. 51, IV). O Superior Tribunal de </w:t>
      </w:r>
      <w:r w:rsidRPr="001772D0">
        <w:lastRenderedPageBreak/>
        <w:t>Justiça (STJ), através da Súmula 539, permite a capitalização de juros desde que expressamente pactuada. Contudo, a incidência de juros sobre o saldo devedor durante a carência, sem que o valor exato desse encargo esteja refletido no CET, configura uma pactuação obscura ou inexistente.</w:t>
      </w:r>
    </w:p>
    <w:p w14:paraId="435324C9" w14:textId="77777777" w:rsidR="001772D0" w:rsidRPr="001772D0" w:rsidRDefault="001772D0" w:rsidP="001772D0">
      <w:r w:rsidRPr="001772D0">
        <w:t>Do ponto de vista do Código Civil, a imposição de datas de vencimento que geram um ônus excessivo sem contrapartida de informação fere a boa-fé objetiva. O magistrado, ao deparar-se com uma perícia que demonstra o aumento do saldo devedor antes do primeiro pagamento, deve reconhecer que houve uma alteração unilateral das bases do contrato. Se o banco informa uma taxa mensal, mas na prática aplica uma taxa diária capitalizada durante a carência para inflar o principal, ele está praticando o que a doutrina moderna chama de "anatocismo de origem", uma manobra que visa burlar o teto das taxas informadas e mascarar o custo real do dinheiro.</w:t>
      </w:r>
    </w:p>
    <w:p w14:paraId="67B70CC8" w14:textId="77777777" w:rsidR="001772D0" w:rsidRPr="001772D0" w:rsidRDefault="001772D0" w:rsidP="001772D0">
      <w:pPr>
        <w:rPr>
          <w:b/>
          <w:bCs/>
        </w:rPr>
      </w:pPr>
      <w:r w:rsidRPr="001772D0">
        <w:rPr>
          <w:b/>
          <w:bCs/>
        </w:rPr>
        <w:t>Recomendações para a Atuação Processual</w:t>
      </w:r>
    </w:p>
    <w:p w14:paraId="747245B8" w14:textId="77777777" w:rsidR="001772D0" w:rsidRPr="001772D0" w:rsidRDefault="001772D0" w:rsidP="001772D0">
      <w:r w:rsidRPr="001772D0">
        <w:t>Para advogados e operadores do direito, a recomendação estratégica é a exigência da exibição dos "extratos de evolução do saldo devedor" desde a data da assinatura, e não apenas a partir da primeira parcela. É no intervalo zero que se escondem os maiores desvios. É imperativo questionar a instituição financeira sobre a metodologia de cálculo dos juros de carência: se foi utilizado juro simples ou composto e se esse montante foi incorporado ao principal para fins de cálculo da prestação.</w:t>
      </w:r>
    </w:p>
    <w:p w14:paraId="5EE9A7B7" w14:textId="77777777" w:rsidR="001772D0" w:rsidRPr="001772D0" w:rsidRDefault="001772D0" w:rsidP="001772D0">
      <w:r w:rsidRPr="001772D0">
        <w:t>Aos juízes e promotores, orienta-se o olhar crítico para as datas de vencimento. Muitas vezes, o banco oferece "60 dias para começar a pagar", mas não avisa que esses 60 dias custarão, ao final do contrato, o equivalente a três ou quatro parcelas adicionais em juros escondidos. A perícia técnica é a única ferramenta capaz de isolar o custo dessa carência e devolvê-lo ao devedor através do recálculo da trajetória de amortização, expurgando o que não foi cristalinamente pactuado.</w:t>
      </w:r>
    </w:p>
    <w:p w14:paraId="44D40BB2" w14:textId="77777777" w:rsidR="001772D0" w:rsidRPr="001772D0" w:rsidRDefault="001772D0" w:rsidP="001772D0">
      <w:pPr>
        <w:rPr>
          <w:b/>
          <w:bCs/>
        </w:rPr>
      </w:pPr>
      <w:r w:rsidRPr="001772D0">
        <w:rPr>
          <w:b/>
          <w:bCs/>
        </w:rPr>
        <w:t>Conclusão: A Perícia como Escudo contra a Opacidade Bancária</w:t>
      </w:r>
    </w:p>
    <w:p w14:paraId="15D17AF1" w14:textId="77777777" w:rsidR="001772D0" w:rsidRPr="001772D0" w:rsidRDefault="001772D0" w:rsidP="001772D0">
      <w:r w:rsidRPr="001772D0">
        <w:t>A "Armadilha da Carência" é um exemplo sofisticado de como a técnica financeira pode ser utilizada para criar assimetrias informacionais. O que parece ser um benefício temporal é, na verdade, um acelerador de dívida que opera no escuro, longe da compreensão do cidadão comum e até mesmo de muitos profissionais do direito. A diferença apurada de quase R$ 6.000,00 em um contrato de porte médio é o testemunho silencioso de uma gestão bancária que prioriza a margem de lucro em detrimento da exatidão contratual.</w:t>
      </w:r>
    </w:p>
    <w:p w14:paraId="50293B06" w14:textId="487F640A" w:rsidR="001772D0" w:rsidRDefault="001772D0">
      <w:r w:rsidRPr="001772D0">
        <w:t xml:space="preserve">A perícia técnica conduzida por Lincoln Sposito utiliza ferramentas de </w:t>
      </w:r>
      <w:r w:rsidRPr="001772D0">
        <w:rPr>
          <w:i/>
          <w:iCs/>
        </w:rPr>
        <w:t>Data Science</w:t>
      </w:r>
      <w:r w:rsidRPr="001772D0">
        <w:t xml:space="preserve"> e um rigor estatístico profundo para traduzir esses erros sistêmicos em evidências jurídicas incontestáveis. Ao reconstruir cada dia do fluxo de caixa e confrontar as datas de vencimento com a matemática financeira pura, o trabalho pericial garante o reequilíbrio financeiro do contrato. A justiça econômica só é plenamente alcançada quando a verdade dos números prevalece sobre a conveniência dos algoritmos bancários, assegurando que cada centavo cobrado possua um lastro ético, jurídico e matemático inquestionável.</w:t>
      </w:r>
    </w:p>
    <w:sectPr w:rsidR="001772D0" w:rsidSect="001772D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D0"/>
    <w:rsid w:val="000A1BBD"/>
    <w:rsid w:val="001772D0"/>
    <w:rsid w:val="009B0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C938CD"/>
  <w15:chartTrackingRefBased/>
  <w15:docId w15:val="{FC4E79DC-8A84-4EAB-800E-DD0F61E0E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7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7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72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7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72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7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7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7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7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72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72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72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72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72D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72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72D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72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72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7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7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72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7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72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72D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72D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72D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72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72D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72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1385</Words>
  <Characters>7485</Characters>
  <Application>Microsoft Office Word</Application>
  <DocSecurity>0</DocSecurity>
  <Lines>62</Lines>
  <Paragraphs>17</Paragraphs>
  <ScaleCrop>false</ScaleCrop>
  <Company/>
  <LinksUpToDate>false</LinksUpToDate>
  <CharactersWithSpaces>8853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Lincoln Sposito</dc:creator>
  <cp:keywords/>
  <dc:description/>
  <cp:lastModifiedBy>Lincoln Sposito</cp:lastModifiedBy>
  <cp:revision>2</cp:revision>
  <dcterms:created xsi:type="dcterms:W3CDTF">2026-02-07T19:30:00Z</dcterms:created>
  <dcterms:modified xsi:type="dcterms:W3CDTF">2026-02-07T19:36:00Z</dcterms:modified>
</cp:coreProperties>
</file>