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3E7ADA1C" w:rsidR="007C08EF" w:rsidRDefault="007C08EF">
          <w:pPr>
            <w:pStyle w:val="SemEspaamento"/>
            <w:rPr>
              <w:sz w:val="2"/>
            </w:rPr>
          </w:pPr>
        </w:p>
        <w:p w14:paraId="155ACA12" w14:textId="77777777" w:rsidR="007C08EF" w:rsidRDefault="007C08E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3D5BCEC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B186928" w14:textId="7C360E07" w:rsidR="007C08EF" w:rsidRDefault="002032A4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2032A4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Checklist de Admissibilidade Técnica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186928" w14:textId="7C360E07" w:rsidR="007C08EF" w:rsidRDefault="002032A4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2032A4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Checklist de Admissibilidade Técnica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525A11A3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Doutor em Administração de Empresas e Perito Financeiro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525A11A3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Doutor em Administração de Empresas e Perito Financeiro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1091A530" w:rsidR="007C08EF" w:rsidRDefault="007C08EF">
          <w:pPr>
            <w:ind w:firstLine="0"/>
          </w:pPr>
          <w:r>
            <w:rPr>
              <w:b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-61414487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6FC53D7" w14:textId="59568F12" w:rsidR="007C08EF" w:rsidRDefault="007C08EF" w:rsidP="007C08EF">
          <w:pPr>
            <w:pStyle w:val="CabealhodoSumrio"/>
          </w:pPr>
          <w:r>
            <w:t>Sumário</w:t>
          </w:r>
        </w:p>
        <w:p w14:paraId="31F833C4" w14:textId="56B43170" w:rsidR="00377CF8" w:rsidRDefault="007C08EF">
          <w:pPr>
            <w:pStyle w:val="Sumrio1"/>
            <w:tabs>
              <w:tab w:val="right" w:leader="dot" w:pos="973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36749" w:history="1">
            <w:r w:rsidR="00377CF8" w:rsidRPr="00E438A3">
              <w:rPr>
                <w:rStyle w:val="Hyperlink"/>
                <w:noProof/>
              </w:rPr>
              <w:t>Checklist de Admissibilidade: Reajustes em Planos de Saúde (Produto 445)</w:t>
            </w:r>
            <w:r w:rsidR="00377CF8">
              <w:rPr>
                <w:noProof/>
                <w:webHidden/>
              </w:rPr>
              <w:tab/>
            </w:r>
            <w:r w:rsidR="00377CF8">
              <w:rPr>
                <w:noProof/>
                <w:webHidden/>
              </w:rPr>
              <w:fldChar w:fldCharType="begin"/>
            </w:r>
            <w:r w:rsidR="00377CF8">
              <w:rPr>
                <w:noProof/>
                <w:webHidden/>
              </w:rPr>
              <w:instrText xml:space="preserve"> PAGEREF _Toc219836749 \h </w:instrText>
            </w:r>
            <w:r w:rsidR="00377CF8">
              <w:rPr>
                <w:noProof/>
                <w:webHidden/>
              </w:rPr>
            </w:r>
            <w:r w:rsidR="00377CF8">
              <w:rPr>
                <w:noProof/>
                <w:webHidden/>
              </w:rPr>
              <w:fldChar w:fldCharType="separate"/>
            </w:r>
            <w:r w:rsidR="00377CF8">
              <w:rPr>
                <w:noProof/>
                <w:webHidden/>
              </w:rPr>
              <w:t>2</w:t>
            </w:r>
            <w:r w:rsidR="00377CF8">
              <w:rPr>
                <w:noProof/>
                <w:webHidden/>
              </w:rPr>
              <w:fldChar w:fldCharType="end"/>
            </w:r>
          </w:hyperlink>
        </w:p>
        <w:p w14:paraId="19E6AAB1" w14:textId="076D01A4" w:rsidR="00377CF8" w:rsidRDefault="00377CF8">
          <w:pPr>
            <w:pStyle w:val="Sumrio1"/>
            <w:tabs>
              <w:tab w:val="right" w:leader="dot" w:pos="9736"/>
            </w:tabs>
            <w:rPr>
              <w:rFonts w:eastAsiaTheme="minorEastAsia"/>
              <w:noProof/>
              <w:lang w:eastAsia="pt-BR"/>
            </w:rPr>
          </w:pPr>
          <w:hyperlink w:anchor="_Toc219836750" w:history="1">
            <w:r w:rsidRPr="00E438A3">
              <w:rPr>
                <w:rStyle w:val="Hyperlink"/>
                <w:noProof/>
              </w:rPr>
              <w:t>Checklist de Admissibilidade: Financiamentos (Tabela Price vs. Gauss)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EFC87" w14:textId="0EDAEEBA" w:rsidR="00377CF8" w:rsidRDefault="00377CF8">
          <w:pPr>
            <w:pStyle w:val="Sumrio1"/>
            <w:tabs>
              <w:tab w:val="right" w:leader="dot" w:pos="9736"/>
            </w:tabs>
            <w:rPr>
              <w:rFonts w:eastAsiaTheme="minorEastAsia"/>
              <w:noProof/>
              <w:lang w:eastAsia="pt-BR"/>
            </w:rPr>
          </w:pPr>
          <w:hyperlink w:anchor="_Toc219836751" w:history="1">
            <w:r w:rsidRPr="00E438A3">
              <w:rPr>
                <w:rStyle w:val="Hyperlink"/>
                <w:noProof/>
              </w:rPr>
              <w:t>Checklist de Admissibilidade Técnica - Financiamento de Veículos (CDC)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283C" w14:textId="429A91AC" w:rsidR="007C08EF" w:rsidRDefault="007C08EF">
          <w:r>
            <w:rPr>
              <w:b/>
              <w:bCs/>
            </w:rPr>
            <w:fldChar w:fldCharType="end"/>
          </w:r>
        </w:p>
      </w:sdtContent>
    </w:sdt>
    <w:p w14:paraId="4F2B5EF3" w14:textId="3263199F" w:rsidR="007C08EF" w:rsidRDefault="007C08EF">
      <w:r>
        <w:br w:type="page"/>
      </w:r>
    </w:p>
    <w:p w14:paraId="3B93F013" w14:textId="01D6FFD3" w:rsidR="0074569C" w:rsidRPr="0074569C" w:rsidRDefault="0074569C" w:rsidP="00527FE1">
      <w:pPr>
        <w:pStyle w:val="Ttulo1"/>
      </w:pPr>
      <w:bookmarkStart w:id="0" w:name="_Toc219836749"/>
      <w:r w:rsidRPr="0074569C">
        <w:lastRenderedPageBreak/>
        <w:t>Checklist de Admissibilidade: Reajustes em Planos de Saúde (Produto 445)</w:t>
      </w:r>
      <w:bookmarkEnd w:id="0"/>
    </w:p>
    <w:p w14:paraId="356DD362" w14:textId="77777777" w:rsidR="0074569C" w:rsidRPr="0074569C" w:rsidRDefault="0074569C" w:rsidP="0074569C">
      <w:pPr>
        <w:ind w:firstLine="0"/>
      </w:pPr>
      <w:r w:rsidRPr="0074569C">
        <w:rPr>
          <w:b/>
          <w:bCs/>
        </w:rPr>
        <w:t>Objetivo:</w:t>
      </w:r>
      <w:r w:rsidRPr="0074569C">
        <w:t xml:space="preserve"> identificar se o contrato coletivo por adesão (ex: Qualicorp) possui brechas técnicas para contestação do VCMH ou Sinistralidade.</w:t>
      </w:r>
    </w:p>
    <w:p w14:paraId="51531F35" w14:textId="77777777" w:rsidR="0074569C" w:rsidRPr="0074569C" w:rsidRDefault="0074569C" w:rsidP="0074569C">
      <w:pPr>
        <w:numPr>
          <w:ilvl w:val="0"/>
          <w:numId w:val="9"/>
        </w:numPr>
      </w:pPr>
      <w:proofErr w:type="gramStart"/>
      <w:r w:rsidRPr="0074569C">
        <w:rPr>
          <w:b/>
          <w:bCs/>
        </w:rPr>
        <w:t>[ ]</w:t>
      </w:r>
      <w:proofErr w:type="gramEnd"/>
      <w:r w:rsidRPr="0074569C">
        <w:rPr>
          <w:b/>
          <w:bCs/>
        </w:rPr>
        <w:t xml:space="preserve"> 1. Natureza do Vínculo Estipulante:</w:t>
      </w:r>
      <w:r w:rsidRPr="0074569C">
        <w:t xml:space="preserve"> Verifique se o cliente possui vínculo real (associativo/profissional) com a entidade estipulante. A ausência de vínculo legítimo pode caracterizar fraude à lei para evitar reajustes da ANS.</w:t>
      </w:r>
    </w:p>
    <w:p w14:paraId="7CE10E77" w14:textId="77777777" w:rsidR="0074569C" w:rsidRPr="0074569C" w:rsidRDefault="0074569C" w:rsidP="0074569C">
      <w:pPr>
        <w:numPr>
          <w:ilvl w:val="0"/>
          <w:numId w:val="9"/>
        </w:numPr>
      </w:pPr>
      <w:proofErr w:type="gramStart"/>
      <w:r w:rsidRPr="0074569C">
        <w:rPr>
          <w:b/>
          <w:bCs/>
        </w:rPr>
        <w:t>[ ]</w:t>
      </w:r>
      <w:proofErr w:type="gramEnd"/>
      <w:r w:rsidRPr="0074569C">
        <w:rPr>
          <w:b/>
          <w:bCs/>
        </w:rPr>
        <w:t xml:space="preserve"> 2. Índice de Reajuste Aplicado (VCMH):</w:t>
      </w:r>
      <w:r w:rsidRPr="0074569C">
        <w:t xml:space="preserve"> Identifique se o reajuste anual ultrapassa significativamente a inflação médica divulgada ou o índice da ANS para planos individuais. Reajustes acima de 15% sem justificativa específica são críticos.</w:t>
      </w:r>
    </w:p>
    <w:p w14:paraId="60F4DFBE" w14:textId="77777777" w:rsidR="0074569C" w:rsidRPr="0074569C" w:rsidRDefault="0074569C" w:rsidP="0074569C">
      <w:pPr>
        <w:numPr>
          <w:ilvl w:val="0"/>
          <w:numId w:val="9"/>
        </w:numPr>
      </w:pPr>
      <w:proofErr w:type="gramStart"/>
      <w:r w:rsidRPr="0074569C">
        <w:rPr>
          <w:b/>
          <w:bCs/>
        </w:rPr>
        <w:t>[ ]</w:t>
      </w:r>
      <w:proofErr w:type="gramEnd"/>
      <w:r w:rsidRPr="0074569C">
        <w:rPr>
          <w:b/>
          <w:bCs/>
        </w:rPr>
        <w:t xml:space="preserve"> 3. Falta de Transparência na Sinistralidade:</w:t>
      </w:r>
      <w:r w:rsidRPr="0074569C">
        <w:t xml:space="preserve"> A operadora apresentou a memória de design detalhada com o número de usuários, custos hospitalares totais e a receita do grupo específico? Alegações genéricas de "aumento de custos" não bastam.</w:t>
      </w:r>
    </w:p>
    <w:p w14:paraId="2D38673F" w14:textId="77777777" w:rsidR="0074569C" w:rsidRPr="0074569C" w:rsidRDefault="0074569C" w:rsidP="0074569C">
      <w:pPr>
        <w:numPr>
          <w:ilvl w:val="0"/>
          <w:numId w:val="9"/>
        </w:numPr>
      </w:pPr>
      <w:proofErr w:type="gramStart"/>
      <w:r w:rsidRPr="0074569C">
        <w:rPr>
          <w:b/>
          <w:bCs/>
        </w:rPr>
        <w:t>[ ]</w:t>
      </w:r>
      <w:proofErr w:type="gramEnd"/>
      <w:r w:rsidRPr="0074569C">
        <w:rPr>
          <w:b/>
          <w:bCs/>
        </w:rPr>
        <w:t xml:space="preserve"> 4. Vigência e Retroatividade:</w:t>
      </w:r>
      <w:r w:rsidRPr="0074569C">
        <w:t xml:space="preserve"> O contrato é anterior a 2019? Há aplicação de índices retroativos ou “ajustes de carteira” que não estavam previstos nas cláusulas originais?</w:t>
      </w:r>
    </w:p>
    <w:p w14:paraId="67DDB2F4" w14:textId="77777777" w:rsidR="0074569C" w:rsidRDefault="0074569C" w:rsidP="0074569C">
      <w:pPr>
        <w:numPr>
          <w:ilvl w:val="0"/>
          <w:numId w:val="9"/>
        </w:numPr>
      </w:pPr>
      <w:proofErr w:type="gramStart"/>
      <w:r w:rsidRPr="0074569C">
        <w:rPr>
          <w:b/>
          <w:bCs/>
        </w:rPr>
        <w:t>[ ]</w:t>
      </w:r>
      <w:proofErr w:type="gramEnd"/>
      <w:r w:rsidRPr="0074569C">
        <w:rPr>
          <w:b/>
          <w:bCs/>
        </w:rPr>
        <w:t xml:space="preserve"> 5. Presença de "Caixa-Preta" Atuarial:</w:t>
      </w:r>
      <w:r w:rsidRPr="0074569C">
        <w:t xml:space="preserve"> O design do reajuste mistura sinistralidade com VCMH de forma que o usuário não consiga auditar o peso de cada um? Se sim, há violação do dever de informação (CDC).</w:t>
      </w:r>
    </w:p>
    <w:p w14:paraId="7F34C3AB" w14:textId="77777777" w:rsidR="007A259C" w:rsidRDefault="007A259C" w:rsidP="007A259C"/>
    <w:p w14:paraId="0705E8BA" w14:textId="77777777" w:rsidR="007A259C" w:rsidRPr="0074569C" w:rsidRDefault="007A259C" w:rsidP="007A259C"/>
    <w:p w14:paraId="49554309" w14:textId="1C2EFFAA" w:rsidR="00527FE1" w:rsidRDefault="00527FE1">
      <w:pPr>
        <w:ind w:firstLine="0"/>
      </w:pPr>
    </w:p>
    <w:p w14:paraId="6B9AAC39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2E2A13" wp14:editId="06A6D110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561512477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DF2AB0" id="Conector reto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3A017A7B" w14:textId="0C3E86AA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65CF1A20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24877A6E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01235B57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0FF750" wp14:editId="648F8337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895378775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74FA5" id="Conector reto 1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05F3F6E7" w14:textId="58E78111" w:rsidR="007A259C" w:rsidRPr="007A259C" w:rsidRDefault="007A259C" w:rsidP="007A259C">
      <w:pPr>
        <w:spacing w:after="0"/>
        <w:ind w:firstLine="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t>Advogado (Nome)</w:t>
      </w:r>
    </w:p>
    <w:p w14:paraId="45AE2113" w14:textId="77777777" w:rsidR="009E02C6" w:rsidRDefault="009E02C6">
      <w:pPr>
        <w:ind w:firstLine="0"/>
      </w:pPr>
    </w:p>
    <w:p w14:paraId="25E26EC5" w14:textId="77777777" w:rsidR="009E02C6" w:rsidRDefault="009E02C6">
      <w:pPr>
        <w:ind w:firstLine="0"/>
      </w:pPr>
    </w:p>
    <w:p w14:paraId="3AD0BF8C" w14:textId="77777777" w:rsidR="009E02C6" w:rsidRDefault="009E02C6">
      <w:pPr>
        <w:ind w:firstLine="0"/>
      </w:pPr>
    </w:p>
    <w:p w14:paraId="07036191" w14:textId="60A46161" w:rsidR="007A259C" w:rsidRPr="009E02C6" w:rsidRDefault="00FC485C" w:rsidP="009E02C6">
      <w:pPr>
        <w:ind w:firstLine="0"/>
        <w:jc w:val="center"/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9" w:anchor="contato" w:history="1">
        <w:r w:rsidR="009E02C6" w:rsidRPr="009E02C6">
          <w:rPr>
            <w:rStyle w:val="Hyperlink"/>
            <w:b/>
            <w:bCs/>
            <w:u w:val="none"/>
          </w:rPr>
          <w:t>Perícia técnica</w:t>
        </w:r>
      </w:hyperlink>
      <w:r w:rsidR="007A259C" w:rsidRPr="009E02C6">
        <w:br w:type="page"/>
      </w:r>
    </w:p>
    <w:p w14:paraId="59AB3FF5" w14:textId="4E96B750" w:rsidR="0074569C" w:rsidRPr="0074569C" w:rsidRDefault="0074569C" w:rsidP="00527FE1">
      <w:pPr>
        <w:pStyle w:val="Ttulo1"/>
      </w:pPr>
      <w:bookmarkStart w:id="1" w:name="_Toc219836750"/>
      <w:r w:rsidRPr="0074569C">
        <w:lastRenderedPageBreak/>
        <w:t>Checklist de Admissibilidade: Financiamentos (Tabela Price vs. Gauss)</w:t>
      </w:r>
      <w:bookmarkEnd w:id="1"/>
    </w:p>
    <w:p w14:paraId="19C180BC" w14:textId="77777777" w:rsidR="0074569C" w:rsidRPr="0074569C" w:rsidRDefault="0074569C" w:rsidP="0074569C">
      <w:pPr>
        <w:ind w:firstLine="0"/>
      </w:pPr>
      <w:r w:rsidRPr="0074569C">
        <w:rPr>
          <w:b/>
          <w:bCs/>
        </w:rPr>
        <w:t>Objetivo:</w:t>
      </w:r>
      <w:r w:rsidRPr="0074569C">
        <w:t xml:space="preserve"> Verificar se o contrato bancário permite a tese de substituições de sistemas de amortização por capitalização composta de juros.</w:t>
      </w:r>
    </w:p>
    <w:p w14:paraId="2F7460E6" w14:textId="4DDC976E" w:rsidR="0074569C" w:rsidRPr="0074569C" w:rsidRDefault="0074569C" w:rsidP="0074569C">
      <w:pPr>
        <w:numPr>
          <w:ilvl w:val="0"/>
          <w:numId w:val="10"/>
        </w:numPr>
      </w:pPr>
      <w:proofErr w:type="gramStart"/>
      <w:r w:rsidRPr="0074569C">
        <w:rPr>
          <w:b/>
          <w:bCs/>
        </w:rPr>
        <w:t>[ ]</w:t>
      </w:r>
      <w:proofErr w:type="gramEnd"/>
      <w:r w:rsidRPr="0074569C">
        <w:rPr>
          <w:b/>
          <w:bCs/>
        </w:rPr>
        <w:t xml:space="preserve"> 1. Identificação da Capitalização (Anatocismo):</w:t>
      </w:r>
      <w:r w:rsidRPr="0074569C">
        <w:t xml:space="preserve"> Verifique se a taxa de juros anual é superior a 12 vezes a taxa mensal. Isso indica a presença de juros compostos à Tabela Price.</w:t>
      </w:r>
    </w:p>
    <w:p w14:paraId="1EB61EAA" w14:textId="77777777" w:rsidR="0074569C" w:rsidRPr="0074569C" w:rsidRDefault="0074569C" w:rsidP="0074569C">
      <w:pPr>
        <w:numPr>
          <w:ilvl w:val="0"/>
          <w:numId w:val="10"/>
        </w:numPr>
      </w:pPr>
      <w:proofErr w:type="gramStart"/>
      <w:r w:rsidRPr="0074569C">
        <w:rPr>
          <w:b/>
          <w:bCs/>
        </w:rPr>
        <w:t>[ ]</w:t>
      </w:r>
      <w:proofErr w:type="gramEnd"/>
      <w:r w:rsidRPr="0074569C">
        <w:rPr>
          <w:b/>
          <w:bCs/>
        </w:rPr>
        <w:t xml:space="preserve"> 2. Saldo Devedor Crescente:</w:t>
      </w:r>
      <w:r w:rsidRPr="0074569C">
        <w:t xml:space="preserve"> Observe se, em algum período (especialmente carência), o valor da prestação foi inferior aos juros devidos, gerando "amortização negativa".</w:t>
      </w:r>
    </w:p>
    <w:p w14:paraId="4BC321B2" w14:textId="77777777" w:rsidR="0074569C" w:rsidRPr="0074569C" w:rsidRDefault="0074569C" w:rsidP="0074569C">
      <w:pPr>
        <w:numPr>
          <w:ilvl w:val="0"/>
          <w:numId w:val="10"/>
        </w:numPr>
      </w:pPr>
      <w:proofErr w:type="gramStart"/>
      <w:r w:rsidRPr="0074569C">
        <w:rPr>
          <w:b/>
          <w:bCs/>
        </w:rPr>
        <w:t>[ ]</w:t>
      </w:r>
      <w:proofErr w:type="gramEnd"/>
      <w:r w:rsidRPr="0074569C">
        <w:rPr>
          <w:b/>
          <w:bCs/>
        </w:rPr>
        <w:t xml:space="preserve"> 3. Previsão de Substituição de Índice:</w:t>
      </w:r>
      <w:r w:rsidRPr="0074569C">
        <w:t xml:space="preserve"> O contrato prevê a TR ou outro índice que possa camuflar a evolução real da dívida acima da capacidade de pagamento do mutuário?</w:t>
      </w:r>
    </w:p>
    <w:p w14:paraId="17F07D83" w14:textId="77777777" w:rsidR="0074569C" w:rsidRPr="0074569C" w:rsidRDefault="0074569C" w:rsidP="0074569C">
      <w:pPr>
        <w:numPr>
          <w:ilvl w:val="0"/>
          <w:numId w:val="10"/>
        </w:numPr>
      </w:pPr>
      <w:proofErr w:type="gramStart"/>
      <w:r w:rsidRPr="0074569C">
        <w:rPr>
          <w:b/>
          <w:bCs/>
        </w:rPr>
        <w:t>[ ]</w:t>
      </w:r>
      <w:proofErr w:type="gramEnd"/>
      <w:r w:rsidRPr="0074569C">
        <w:rPr>
          <w:b/>
          <w:bCs/>
        </w:rPr>
        <w:t xml:space="preserve"> 4. Transparência Algorítmica:</w:t>
      </w:r>
      <w:r w:rsidRPr="0074569C">
        <w:t xml:space="preserve"> O contrato explica de forma clara ao consumidor como a fórmula da Tabela Price funciona ou apenas apresenta o valor da parcela? A falta de clareza sobre o regime de juros é o ponto central para o Método de Gauss.</w:t>
      </w:r>
    </w:p>
    <w:p w14:paraId="65F6FE04" w14:textId="77777777" w:rsidR="007A259C" w:rsidRDefault="0074569C" w:rsidP="007A259C">
      <w:pPr>
        <w:numPr>
          <w:ilvl w:val="0"/>
          <w:numId w:val="9"/>
        </w:numPr>
      </w:pPr>
      <w:proofErr w:type="gramStart"/>
      <w:r w:rsidRPr="0074569C">
        <w:rPr>
          <w:b/>
          <w:bCs/>
        </w:rPr>
        <w:t>[ ]</w:t>
      </w:r>
      <w:proofErr w:type="gramEnd"/>
      <w:r w:rsidRPr="0074569C">
        <w:rPr>
          <w:b/>
          <w:bCs/>
        </w:rPr>
        <w:t xml:space="preserve"> 5. Desequilíbrio Contratual:</w:t>
      </w:r>
      <w:r w:rsidRPr="0074569C">
        <w:t xml:space="preserve"> A evolução da dívida consome uma fatia cada vez maior da renda do cliente em comparação ao início do contrato? (Fundamental para pedidos de reequilíbrio).</w:t>
      </w:r>
    </w:p>
    <w:p w14:paraId="4F7BBB17" w14:textId="77777777" w:rsidR="007A259C" w:rsidRDefault="007A259C" w:rsidP="007A259C"/>
    <w:p w14:paraId="58C540D0" w14:textId="77777777" w:rsidR="007A259C" w:rsidRPr="0074569C" w:rsidRDefault="007A259C" w:rsidP="007A259C"/>
    <w:p w14:paraId="22545523" w14:textId="77777777" w:rsidR="007A259C" w:rsidRDefault="007A259C" w:rsidP="007A259C">
      <w:pPr>
        <w:ind w:firstLine="0"/>
      </w:pPr>
    </w:p>
    <w:p w14:paraId="1852F6EF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9CD3BF" wp14:editId="5C741BE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54957450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7DD79C" id="Conector reto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41D7F2C9" w14:textId="77777777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1489D932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075E1448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3F3CBBB7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5E6A3E" wp14:editId="5A1EAEC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068737375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435F95" id="Conector reto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0BCD964" w14:textId="54AFE210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Advogado (Nome)</w:t>
      </w:r>
    </w:p>
    <w:p w14:paraId="5C7464D8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9510E00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2EE5B55A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CFD5C46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F54F108" w14:textId="77777777" w:rsidR="009E02C6" w:rsidRDefault="009E02C6" w:rsidP="007A259C">
      <w:pPr>
        <w:spacing w:after="0"/>
        <w:ind w:firstLine="0"/>
      </w:pPr>
    </w:p>
    <w:p w14:paraId="0DC23AD4" w14:textId="3491D9B6" w:rsidR="002032A4" w:rsidRDefault="009E02C6" w:rsidP="009E02C6">
      <w:pPr>
        <w:spacing w:after="0"/>
        <w:ind w:firstLine="0"/>
        <w:jc w:val="center"/>
        <w:rPr>
          <w:b/>
          <w:bCs/>
        </w:rPr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10" w:anchor="contato" w:history="1">
        <w:r w:rsidRPr="009E02C6">
          <w:rPr>
            <w:rStyle w:val="Hyperlink"/>
            <w:b/>
            <w:bCs/>
            <w:u w:val="none"/>
          </w:rPr>
          <w:t>Períc</w:t>
        </w:r>
        <w:r w:rsidRPr="009E02C6">
          <w:rPr>
            <w:rStyle w:val="Hyperlink"/>
            <w:b/>
            <w:bCs/>
            <w:u w:val="none"/>
          </w:rPr>
          <w:t>i</w:t>
        </w:r>
        <w:r w:rsidRPr="009E02C6">
          <w:rPr>
            <w:rStyle w:val="Hyperlink"/>
            <w:b/>
            <w:bCs/>
            <w:u w:val="none"/>
          </w:rPr>
          <w:t>a técnica</w:t>
        </w:r>
      </w:hyperlink>
    </w:p>
    <w:p w14:paraId="5E9FA735" w14:textId="77777777" w:rsidR="002032A4" w:rsidRDefault="002032A4" w:rsidP="002032A4">
      <w:pPr>
        <w:pStyle w:val="Ttulo1"/>
      </w:pPr>
      <w:bookmarkStart w:id="2" w:name="_Toc219836751"/>
      <w:r w:rsidRPr="002032A4">
        <w:lastRenderedPageBreak/>
        <w:t>Checklist de Admissibilidade Técnica - Financiamento de Veículos (CDC)</w:t>
      </w:r>
      <w:bookmarkEnd w:id="2"/>
    </w:p>
    <w:p w14:paraId="7B28CC42" w14:textId="2BDA90AA" w:rsidR="002032A4" w:rsidRPr="002032A4" w:rsidRDefault="002032A4" w:rsidP="002032A4">
      <w:pPr>
        <w:ind w:firstLine="0"/>
        <w:rPr>
          <w:b/>
          <w:bCs/>
        </w:rPr>
      </w:pPr>
      <w:r w:rsidRPr="002032A4">
        <w:rPr>
          <w:b/>
          <w:bCs/>
        </w:rPr>
        <w:t>1. Análise Documental Básica</w:t>
      </w:r>
    </w:p>
    <w:p w14:paraId="6730F1B7" w14:textId="77777777" w:rsidR="002032A4" w:rsidRPr="002032A4" w:rsidRDefault="002032A4" w:rsidP="002032A4">
      <w:pPr>
        <w:numPr>
          <w:ilvl w:val="0"/>
          <w:numId w:val="12"/>
        </w:numPr>
      </w:pPr>
      <w:proofErr w:type="gramStart"/>
      <w:r w:rsidRPr="002032A4">
        <w:t>[ ]</w:t>
      </w:r>
      <w:proofErr w:type="gramEnd"/>
      <w:r w:rsidRPr="002032A4">
        <w:t xml:space="preserve"> O Custo Efetivo Total (CET) é superior à taxa de juros nominais em mais de 2% ao ano?</w:t>
      </w:r>
    </w:p>
    <w:p w14:paraId="5BB5EF7E" w14:textId="77777777" w:rsidR="002032A4" w:rsidRPr="002032A4" w:rsidRDefault="002032A4" w:rsidP="002032A4">
      <w:pPr>
        <w:numPr>
          <w:ilvl w:val="0"/>
          <w:numId w:val="12"/>
        </w:numPr>
      </w:pPr>
      <w:proofErr w:type="gramStart"/>
      <w:r w:rsidRPr="002032A4">
        <w:t>[ ]</w:t>
      </w:r>
      <w:proofErr w:type="gramEnd"/>
      <w:r w:rsidRPr="002032A4">
        <w:t xml:space="preserve"> Há discriminação de "Serviços de Terceiros" ou "Correspondente" acima de R$ 500,00?</w:t>
      </w:r>
    </w:p>
    <w:p w14:paraId="6DB191D5" w14:textId="77777777" w:rsidR="002032A4" w:rsidRPr="002032A4" w:rsidRDefault="002032A4" w:rsidP="002032A4">
      <w:pPr>
        <w:ind w:firstLine="0"/>
        <w:rPr>
          <w:b/>
          <w:bCs/>
        </w:rPr>
      </w:pPr>
      <w:r w:rsidRPr="002032A4">
        <w:rPr>
          <w:b/>
          <w:bCs/>
        </w:rPr>
        <w:t>2. Verificação de Venda Casada</w:t>
      </w:r>
    </w:p>
    <w:p w14:paraId="50348925" w14:textId="77777777" w:rsidR="002032A4" w:rsidRPr="002032A4" w:rsidRDefault="002032A4" w:rsidP="002032A4">
      <w:pPr>
        <w:numPr>
          <w:ilvl w:val="0"/>
          <w:numId w:val="13"/>
        </w:numPr>
      </w:pPr>
      <w:proofErr w:type="gramStart"/>
      <w:r w:rsidRPr="002032A4">
        <w:t>[ ]</w:t>
      </w:r>
      <w:proofErr w:type="gramEnd"/>
      <w:r w:rsidRPr="002032A4">
        <w:t xml:space="preserve"> O Seguro Prestamista foi incluído no valor financiado sem opção clara de exclusão?</w:t>
      </w:r>
    </w:p>
    <w:p w14:paraId="0A7E3885" w14:textId="77777777" w:rsidR="002032A4" w:rsidRPr="002032A4" w:rsidRDefault="002032A4" w:rsidP="002032A4">
      <w:pPr>
        <w:numPr>
          <w:ilvl w:val="0"/>
          <w:numId w:val="13"/>
        </w:numPr>
      </w:pPr>
      <w:proofErr w:type="gramStart"/>
      <w:r w:rsidRPr="002032A4">
        <w:t>[ ]</w:t>
      </w:r>
      <w:proofErr w:type="gramEnd"/>
      <w:r w:rsidRPr="002032A4">
        <w:t xml:space="preserve"> Existe cobrança de "Título de Capitalização" ou "Assistência 24h" embutida?</w:t>
      </w:r>
    </w:p>
    <w:p w14:paraId="274B0542" w14:textId="77777777" w:rsidR="002032A4" w:rsidRPr="002032A4" w:rsidRDefault="002032A4" w:rsidP="002032A4">
      <w:pPr>
        <w:ind w:firstLine="0"/>
        <w:rPr>
          <w:b/>
          <w:bCs/>
        </w:rPr>
      </w:pPr>
      <w:r w:rsidRPr="002032A4">
        <w:rPr>
          <w:b/>
          <w:bCs/>
        </w:rPr>
        <w:t>3. Auditoria de Juros e Capitalização</w:t>
      </w:r>
    </w:p>
    <w:p w14:paraId="04157EA3" w14:textId="77777777" w:rsidR="002032A4" w:rsidRPr="002032A4" w:rsidRDefault="002032A4" w:rsidP="002032A4">
      <w:pPr>
        <w:numPr>
          <w:ilvl w:val="0"/>
          <w:numId w:val="14"/>
        </w:numPr>
      </w:pPr>
      <w:proofErr w:type="gramStart"/>
      <w:r w:rsidRPr="002032A4">
        <w:t>[ ]</w:t>
      </w:r>
      <w:proofErr w:type="gramEnd"/>
      <w:r w:rsidRPr="002032A4">
        <w:t xml:space="preserve"> Um táxon anual é superior ao milésimo do táxon mensal multiplicado por 12? (Confirma Anatocismo).</w:t>
      </w:r>
    </w:p>
    <w:p w14:paraId="47A7D588" w14:textId="77777777" w:rsidR="002032A4" w:rsidRPr="002032A4" w:rsidRDefault="002032A4" w:rsidP="002032A4">
      <w:pPr>
        <w:numPr>
          <w:ilvl w:val="0"/>
          <w:numId w:val="14"/>
        </w:numPr>
      </w:pPr>
      <w:proofErr w:type="gramStart"/>
      <w:r w:rsidRPr="002032A4">
        <w:t>[ ]</w:t>
      </w:r>
      <w:proofErr w:type="gramEnd"/>
      <w:r w:rsidRPr="002032A4">
        <w:t xml:space="preserve"> A taxa praticada é 1,5x acima da Taxa Média do BACEN para a época da contratação?</w:t>
      </w:r>
    </w:p>
    <w:p w14:paraId="415E8B25" w14:textId="77777777" w:rsidR="002032A4" w:rsidRDefault="002032A4" w:rsidP="002032A4">
      <w:pPr>
        <w:numPr>
          <w:ilvl w:val="0"/>
          <w:numId w:val="9"/>
        </w:numPr>
      </w:pPr>
      <w:r w:rsidRPr="002032A4">
        <w:rPr>
          <w:b/>
          <w:bCs/>
        </w:rPr>
        <w:t>Conclusão Preliminar</w:t>
      </w:r>
      <w:r w:rsidRPr="002032A4">
        <w:t>: Se houver 2 ou mais itens marcados, o contrato possui fundamentação técnica para pedido de revisão ou reprodução de indébito.</w:t>
      </w:r>
    </w:p>
    <w:p w14:paraId="630CD166" w14:textId="77777777" w:rsidR="002032A4" w:rsidRDefault="002032A4" w:rsidP="002032A4"/>
    <w:p w14:paraId="7DCA106A" w14:textId="77777777" w:rsidR="002032A4" w:rsidRPr="0074569C" w:rsidRDefault="002032A4" w:rsidP="002032A4"/>
    <w:p w14:paraId="4BE4B4F5" w14:textId="77777777" w:rsidR="002032A4" w:rsidRDefault="002032A4" w:rsidP="002032A4">
      <w:pPr>
        <w:ind w:firstLine="0"/>
      </w:pPr>
    </w:p>
    <w:p w14:paraId="1FFEFDFD" w14:textId="77777777" w:rsidR="002032A4" w:rsidRDefault="002032A4" w:rsidP="002032A4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B5BAA6" wp14:editId="6FC6634C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608972630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1E5D3" id="Conector reto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1462845E" w14:textId="77777777" w:rsidR="002032A4" w:rsidRDefault="002032A4" w:rsidP="002032A4">
      <w:pPr>
        <w:spacing w:after="0"/>
        <w:ind w:firstLine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227CB921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25D6FC8F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4F9C32AF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43A3BE0F" w14:textId="77777777" w:rsidR="002032A4" w:rsidRDefault="002032A4" w:rsidP="002032A4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DC483B" wp14:editId="25CBCF62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62131374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99E894" id="Conector reto 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BBF238E" w14:textId="77777777" w:rsidR="002032A4" w:rsidRDefault="002032A4" w:rsidP="002032A4">
      <w:pPr>
        <w:spacing w:after="0"/>
        <w:ind w:firstLine="0"/>
        <w:rPr>
          <w:b/>
          <w:bCs/>
        </w:rPr>
      </w:pPr>
      <w:r>
        <w:rPr>
          <w:b/>
          <w:bCs/>
        </w:rPr>
        <w:t>Advogado (Nome)</w:t>
      </w:r>
    </w:p>
    <w:p w14:paraId="6EC4042E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70E153D1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0F59638D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734CDDFA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66ECC424" w14:textId="77777777" w:rsidR="002032A4" w:rsidRDefault="002032A4" w:rsidP="002032A4">
      <w:pPr>
        <w:spacing w:after="0"/>
        <w:ind w:firstLine="0"/>
      </w:pPr>
    </w:p>
    <w:p w14:paraId="0CB7A397" w14:textId="01136F16" w:rsidR="002032A4" w:rsidRPr="002032A4" w:rsidRDefault="002032A4" w:rsidP="002032A4">
      <w:pPr>
        <w:spacing w:after="0"/>
        <w:ind w:firstLine="0"/>
        <w:jc w:val="center"/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11" w:anchor="contato" w:history="1">
        <w:r w:rsidRPr="009E02C6">
          <w:rPr>
            <w:rStyle w:val="Hyperlink"/>
            <w:b/>
            <w:bCs/>
            <w:u w:val="none"/>
          </w:rPr>
          <w:t>Perícia técnica</w:t>
        </w:r>
      </w:hyperlink>
    </w:p>
    <w:p w14:paraId="4F3DB252" w14:textId="7C0BA1E2" w:rsidR="002032A4" w:rsidRDefault="002032A4">
      <w:pPr>
        <w:ind w:firstLine="0"/>
        <w:rPr>
          <w:b/>
          <w:bCs/>
        </w:rPr>
      </w:pPr>
    </w:p>
    <w:sectPr w:rsidR="002032A4" w:rsidSect="007C08EF">
      <w:headerReference w:type="default" r:id="rId12"/>
      <w:footerReference w:type="default" r:id="rId13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F7125" w14:textId="77777777" w:rsidR="005F439A" w:rsidRDefault="005F439A" w:rsidP="007C08EF">
      <w:pPr>
        <w:spacing w:after="0" w:line="240" w:lineRule="auto"/>
      </w:pPr>
      <w:r>
        <w:separator/>
      </w:r>
    </w:p>
  </w:endnote>
  <w:endnote w:type="continuationSeparator" w:id="0">
    <w:p w14:paraId="7451DF60" w14:textId="77777777" w:rsidR="005F439A" w:rsidRDefault="005F439A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9FA98" w14:textId="77777777" w:rsidR="005F439A" w:rsidRDefault="005F439A" w:rsidP="007C08EF">
      <w:pPr>
        <w:spacing w:after="0" w:line="240" w:lineRule="auto"/>
      </w:pPr>
      <w:r>
        <w:separator/>
      </w:r>
    </w:p>
  </w:footnote>
  <w:footnote w:type="continuationSeparator" w:id="0">
    <w:p w14:paraId="3D8140AC" w14:textId="77777777" w:rsidR="005F439A" w:rsidRDefault="005F439A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  <w:ind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2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proofErr w:type="spellStart"/>
                    <w:r w:rsidRPr="00A04A9B">
                      <w:rPr>
                        <w:sz w:val="16"/>
                        <w:szCs w:val="16"/>
                      </w:rPr>
                      <w:t>Tel</w:t>
                    </w:r>
                    <w:proofErr w:type="spellEnd"/>
                    <w:r w:rsidRPr="00A04A9B">
                      <w:rPr>
                        <w:sz w:val="16"/>
                        <w:szCs w:val="16"/>
                      </w:rPr>
                      <w:t xml:space="preserve">: (011) 9-1461-2603 – e-mail: </w:t>
                    </w:r>
                    <w:hyperlink r:id="rId3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11"/>
  </w:num>
  <w:num w:numId="2" w16cid:durableId="1138761069">
    <w:abstractNumId w:val="12"/>
  </w:num>
  <w:num w:numId="3" w16cid:durableId="1806003128">
    <w:abstractNumId w:val="4"/>
  </w:num>
  <w:num w:numId="4" w16cid:durableId="1065108849">
    <w:abstractNumId w:val="8"/>
  </w:num>
  <w:num w:numId="5" w16cid:durableId="984243797">
    <w:abstractNumId w:val="10"/>
  </w:num>
  <w:num w:numId="6" w16cid:durableId="1977635509">
    <w:abstractNumId w:val="0"/>
  </w:num>
  <w:num w:numId="7" w16cid:durableId="573704786">
    <w:abstractNumId w:val="7"/>
  </w:num>
  <w:num w:numId="8" w16cid:durableId="519972706">
    <w:abstractNumId w:val="2"/>
  </w:num>
  <w:num w:numId="9" w16cid:durableId="349648290">
    <w:abstractNumId w:val="5"/>
  </w:num>
  <w:num w:numId="10" w16cid:durableId="354619506">
    <w:abstractNumId w:val="9"/>
  </w:num>
  <w:num w:numId="11" w16cid:durableId="986589213">
    <w:abstractNumId w:val="6"/>
  </w:num>
  <w:num w:numId="12" w16cid:durableId="478807677">
    <w:abstractNumId w:val="1"/>
  </w:num>
  <w:num w:numId="13" w16cid:durableId="533270061">
    <w:abstractNumId w:val="3"/>
  </w:num>
  <w:num w:numId="14" w16cid:durableId="11157593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2032A4"/>
    <w:rsid w:val="00377CF8"/>
    <w:rsid w:val="00394C91"/>
    <w:rsid w:val="004E2213"/>
    <w:rsid w:val="00527FE1"/>
    <w:rsid w:val="005D62DD"/>
    <w:rsid w:val="005F439A"/>
    <w:rsid w:val="006B11AB"/>
    <w:rsid w:val="0074569C"/>
    <w:rsid w:val="007A259C"/>
    <w:rsid w:val="007C08EF"/>
    <w:rsid w:val="009E02C6"/>
    <w:rsid w:val="00BD3D15"/>
    <w:rsid w:val="00ED70D9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A4"/>
    <w:pPr>
      <w:ind w:firstLine="709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C08EF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8EF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positol.github.io/pericia.judicial/index.html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spositol.github.io/pericia.judicial/index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spositol.github.io/pericia.judicial/index.htm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hyperlink" Target="mailto:lincolnsposito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736</Words>
  <Characters>3982</Characters>
  <Application>Microsoft Office Word</Application>
  <DocSecurity>0</DocSecurity>
  <Lines>165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Prático: Perguntas Estratégicas para Perícias Financeiras e Revisionais</vt:lpstr>
    </vt:vector>
  </TitlesOfParts>
  <Company>Lincoln Sposito</Company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Admissibilidade Técnica</dc:title>
  <dc:subject>Reajustes em Planos de Saúde (Produto 445) e Financiamentos (Tabela Price vs. Gauss)</dc:subject>
  <dc:creator>Lincoln Sposito</dc:creator>
  <cp:keywords/>
  <dc:description/>
  <cp:lastModifiedBy>Lincoln Sposito</cp:lastModifiedBy>
  <cp:revision>9</cp:revision>
  <dcterms:created xsi:type="dcterms:W3CDTF">2026-01-13T00:27:00Z</dcterms:created>
  <dcterms:modified xsi:type="dcterms:W3CDTF">2026-01-21T00:25:00Z</dcterms:modified>
  <cp:category>Doutor em Administração de Empresas e Perito Financeiro</cp:category>
</cp:coreProperties>
</file>